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D05" w:rsidRPr="0010238C" w:rsidRDefault="00D53D05" w:rsidP="00FE4D1F">
      <w:pPr>
        <w:pStyle w:val="Tytu"/>
        <w:spacing w:after="240"/>
        <w:ind w:firstLine="357"/>
        <w:jc w:val="left"/>
        <w:rPr>
          <w:sz w:val="28"/>
          <w:szCs w:val="28"/>
        </w:rPr>
      </w:pPr>
      <w:r w:rsidRPr="0010238C">
        <w:rPr>
          <w:sz w:val="28"/>
          <w:szCs w:val="28"/>
        </w:rPr>
        <w:t>Rolnicze</w:t>
      </w:r>
      <w:r>
        <w:rPr>
          <w:sz w:val="28"/>
          <w:szCs w:val="28"/>
        </w:rPr>
        <w:t xml:space="preserve"> spółdzielnie produkcyjne w 201</w:t>
      </w:r>
      <w:r w:rsidR="003E0CF5">
        <w:rPr>
          <w:sz w:val="28"/>
          <w:szCs w:val="28"/>
        </w:rPr>
        <w:t>1</w:t>
      </w:r>
      <w:r w:rsidRPr="0010238C">
        <w:rPr>
          <w:sz w:val="28"/>
          <w:szCs w:val="28"/>
        </w:rPr>
        <w:t xml:space="preserve"> roku</w:t>
      </w:r>
      <w:r>
        <w:rPr>
          <w:sz w:val="28"/>
          <w:szCs w:val="28"/>
        </w:rPr>
        <w:t xml:space="preserve"> -</w:t>
      </w:r>
      <w:r w:rsidRPr="0010238C">
        <w:rPr>
          <w:sz w:val="28"/>
          <w:szCs w:val="28"/>
        </w:rPr>
        <w:t xml:space="preserve"> najlepsza setka</w:t>
      </w:r>
    </w:p>
    <w:p w:rsidR="00D53D05" w:rsidRPr="00DD19F0" w:rsidRDefault="00C8798E" w:rsidP="00D53D05">
      <w:pPr>
        <w:spacing w:after="0" w:line="264" w:lineRule="auto"/>
        <w:ind w:firstLine="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 raz dwunasty </w:t>
      </w:r>
      <w:r w:rsidR="00D53D05" w:rsidRPr="00DD19F0">
        <w:rPr>
          <w:rFonts w:ascii="Times New Roman" w:eastAsia="Times New Roman" w:hAnsi="Times New Roman"/>
          <w:sz w:val="24"/>
          <w:szCs w:val="24"/>
          <w:lang w:eastAsia="pl-PL"/>
        </w:rPr>
        <w:t>Instytut Ekonomiki Rolnictwa i Gospodarki Żywnościowej – Państwowy Instytut Badawczy</w:t>
      </w:r>
      <w:r w:rsidR="00D53D05">
        <w:rPr>
          <w:rFonts w:ascii="Times New Roman" w:eastAsia="Times New Roman" w:hAnsi="Times New Roman"/>
          <w:sz w:val="24"/>
          <w:szCs w:val="24"/>
          <w:lang w:eastAsia="pl-PL"/>
        </w:rPr>
        <w:t xml:space="preserve"> </w:t>
      </w:r>
      <w:r w:rsidR="00D53D05" w:rsidRPr="00DD19F0">
        <w:rPr>
          <w:rFonts w:ascii="Times New Roman" w:eastAsia="Times New Roman" w:hAnsi="Times New Roman"/>
          <w:sz w:val="24"/>
          <w:szCs w:val="24"/>
          <w:lang w:eastAsia="pl-PL"/>
        </w:rPr>
        <w:t xml:space="preserve">opracował ranking rolniczych spółdzielni produkcyjnych. </w:t>
      </w:r>
      <w:r>
        <w:rPr>
          <w:rFonts w:ascii="Times New Roman" w:eastAsia="Times New Roman" w:hAnsi="Times New Roman"/>
          <w:sz w:val="24"/>
          <w:szCs w:val="24"/>
          <w:lang w:eastAsia="pl-PL"/>
        </w:rPr>
        <w:t xml:space="preserve">Podstawowym kryterium konstrukcji rankingu była </w:t>
      </w:r>
      <w:r w:rsidR="00430FF7">
        <w:rPr>
          <w:rFonts w:ascii="Times New Roman" w:eastAsia="Times New Roman" w:hAnsi="Times New Roman"/>
          <w:sz w:val="24"/>
          <w:szCs w:val="24"/>
          <w:lang w:eastAsia="pl-PL"/>
        </w:rPr>
        <w:t xml:space="preserve">sytuacja ekonomiczna spółdzielni. </w:t>
      </w:r>
      <w:r w:rsidR="00B451A6">
        <w:rPr>
          <w:rFonts w:ascii="Times New Roman" w:eastAsia="Times New Roman" w:hAnsi="Times New Roman"/>
          <w:sz w:val="24"/>
          <w:szCs w:val="24"/>
          <w:lang w:eastAsia="pl-PL"/>
        </w:rPr>
        <w:t xml:space="preserve">Do jej oceny posłużyły </w:t>
      </w:r>
      <w:r w:rsidR="00D53D05" w:rsidRPr="00DD19F0">
        <w:rPr>
          <w:rFonts w:ascii="Times New Roman" w:eastAsia="Times New Roman" w:hAnsi="Times New Roman"/>
          <w:sz w:val="24"/>
          <w:szCs w:val="24"/>
          <w:lang w:eastAsia="pl-PL"/>
        </w:rPr>
        <w:t>wskaźniki</w:t>
      </w:r>
      <w:r w:rsidR="00D53D05">
        <w:rPr>
          <w:rFonts w:ascii="Times New Roman" w:eastAsia="Times New Roman" w:hAnsi="Times New Roman"/>
          <w:sz w:val="24"/>
          <w:szCs w:val="24"/>
          <w:lang w:eastAsia="pl-PL"/>
        </w:rPr>
        <w:t>:</w:t>
      </w:r>
      <w:r w:rsidR="00D53D05" w:rsidRPr="00DD19F0">
        <w:rPr>
          <w:rFonts w:ascii="Times New Roman" w:eastAsia="Times New Roman" w:hAnsi="Times New Roman"/>
          <w:sz w:val="24"/>
          <w:szCs w:val="24"/>
          <w:lang w:eastAsia="pl-PL"/>
        </w:rPr>
        <w:t xml:space="preserve"> dochodowości pracy, dzia</w:t>
      </w:r>
      <w:r w:rsidR="00D53D05">
        <w:rPr>
          <w:rFonts w:ascii="Times New Roman" w:eastAsia="Times New Roman" w:hAnsi="Times New Roman"/>
          <w:sz w:val="24"/>
          <w:szCs w:val="24"/>
          <w:lang w:eastAsia="pl-PL"/>
        </w:rPr>
        <w:t>łalności gospodarczej, wydajności</w:t>
      </w:r>
      <w:r w:rsidR="00D53D05" w:rsidRPr="00DD19F0">
        <w:rPr>
          <w:rFonts w:ascii="Times New Roman" w:eastAsia="Times New Roman" w:hAnsi="Times New Roman"/>
          <w:sz w:val="24"/>
          <w:szCs w:val="24"/>
          <w:lang w:eastAsia="pl-PL"/>
        </w:rPr>
        <w:t xml:space="preserve"> pracy, przychod</w:t>
      </w:r>
      <w:r w:rsidR="00D53D05">
        <w:rPr>
          <w:rFonts w:ascii="Times New Roman" w:eastAsia="Times New Roman" w:hAnsi="Times New Roman"/>
          <w:sz w:val="24"/>
          <w:szCs w:val="24"/>
          <w:lang w:eastAsia="pl-PL"/>
        </w:rPr>
        <w:t>ów</w:t>
      </w:r>
      <w:r w:rsidR="00D53D05" w:rsidRPr="00DD19F0">
        <w:rPr>
          <w:rFonts w:ascii="Times New Roman" w:eastAsia="Times New Roman" w:hAnsi="Times New Roman"/>
          <w:sz w:val="24"/>
          <w:szCs w:val="24"/>
          <w:lang w:eastAsia="pl-PL"/>
        </w:rPr>
        <w:t xml:space="preserve"> ogółem oraz indeks tworzenia wartości. </w:t>
      </w:r>
      <w:r w:rsidR="00B451A6">
        <w:rPr>
          <w:rFonts w:ascii="Times New Roman" w:eastAsia="Times New Roman" w:hAnsi="Times New Roman"/>
          <w:sz w:val="24"/>
          <w:szCs w:val="24"/>
          <w:lang w:eastAsia="pl-PL"/>
        </w:rPr>
        <w:t>Tradycyjnie</w:t>
      </w:r>
      <w:r w:rsidR="00D53D05" w:rsidRPr="00DD19F0">
        <w:rPr>
          <w:rFonts w:ascii="Times New Roman" w:eastAsia="Times New Roman" w:hAnsi="Times New Roman"/>
          <w:sz w:val="24"/>
          <w:szCs w:val="24"/>
          <w:lang w:eastAsia="pl-PL"/>
        </w:rPr>
        <w:t xml:space="preserve"> o miejscu na liście decydował</w:t>
      </w:r>
      <w:r w:rsidR="00D53D05">
        <w:rPr>
          <w:rFonts w:ascii="Times New Roman" w:eastAsia="Times New Roman" w:hAnsi="Times New Roman"/>
          <w:sz w:val="24"/>
          <w:szCs w:val="24"/>
          <w:lang w:eastAsia="pl-PL"/>
        </w:rPr>
        <w:t xml:space="preserve"> miernik syntetyczny, sumujący lokaty wszystkich</w:t>
      </w:r>
      <w:r w:rsidR="00D53D05" w:rsidRPr="00DD19F0">
        <w:rPr>
          <w:rFonts w:ascii="Times New Roman" w:eastAsia="Times New Roman" w:hAnsi="Times New Roman"/>
          <w:sz w:val="24"/>
          <w:szCs w:val="24"/>
          <w:lang w:eastAsia="pl-PL"/>
        </w:rPr>
        <w:t xml:space="preserve"> </w:t>
      </w:r>
      <w:r w:rsidR="00B451A6">
        <w:rPr>
          <w:rFonts w:ascii="Times New Roman" w:eastAsia="Times New Roman" w:hAnsi="Times New Roman"/>
          <w:sz w:val="24"/>
          <w:szCs w:val="24"/>
          <w:lang w:eastAsia="pl-PL"/>
        </w:rPr>
        <w:t>wymienionych wskaźników</w:t>
      </w:r>
      <w:r w:rsidR="00D53D05" w:rsidRPr="00DD19F0">
        <w:rPr>
          <w:rFonts w:ascii="Times New Roman" w:eastAsia="Times New Roman" w:hAnsi="Times New Roman"/>
          <w:sz w:val="24"/>
          <w:szCs w:val="24"/>
          <w:lang w:eastAsia="pl-PL"/>
        </w:rPr>
        <w:t>.</w:t>
      </w:r>
    </w:p>
    <w:p w:rsidR="00D53D05" w:rsidRPr="00DD19F0" w:rsidRDefault="00B451A6" w:rsidP="00D53D05">
      <w:pPr>
        <w:spacing w:after="0" w:line="264" w:lineRule="auto"/>
        <w:ind w:firstLine="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związku z publikacją </w:t>
      </w:r>
      <w:r w:rsidR="00D53D05" w:rsidRPr="00DD19F0">
        <w:rPr>
          <w:rFonts w:ascii="Times New Roman" w:eastAsia="Times New Roman" w:hAnsi="Times New Roman"/>
          <w:sz w:val="24"/>
          <w:szCs w:val="24"/>
          <w:lang w:eastAsia="pl-PL"/>
        </w:rPr>
        <w:t xml:space="preserve">rankingu, biorącym </w:t>
      </w:r>
      <w:r w:rsidR="00D53D05">
        <w:rPr>
          <w:rFonts w:ascii="Times New Roman" w:eastAsia="Times New Roman" w:hAnsi="Times New Roman"/>
          <w:sz w:val="24"/>
          <w:szCs w:val="24"/>
          <w:lang w:eastAsia="pl-PL"/>
        </w:rPr>
        <w:t xml:space="preserve">w nim </w:t>
      </w:r>
      <w:r w:rsidR="00D53D05" w:rsidRPr="00DD19F0">
        <w:rPr>
          <w:rFonts w:ascii="Times New Roman" w:eastAsia="Times New Roman" w:hAnsi="Times New Roman"/>
          <w:sz w:val="24"/>
          <w:szCs w:val="24"/>
          <w:lang w:eastAsia="pl-PL"/>
        </w:rPr>
        <w:t>udział w rolniczym spółdzielniom produkcyjnym</w:t>
      </w:r>
      <w:r w:rsidR="00D53D05">
        <w:rPr>
          <w:rFonts w:ascii="Times New Roman" w:eastAsia="Times New Roman" w:hAnsi="Times New Roman"/>
          <w:sz w:val="24"/>
          <w:szCs w:val="24"/>
          <w:lang w:eastAsia="pl-PL"/>
        </w:rPr>
        <w:t>,</w:t>
      </w:r>
      <w:r w:rsidR="00D53D05" w:rsidRPr="00DD19F0">
        <w:rPr>
          <w:rFonts w:ascii="Times New Roman" w:eastAsia="Times New Roman" w:hAnsi="Times New Roman"/>
          <w:sz w:val="24"/>
          <w:szCs w:val="24"/>
          <w:lang w:eastAsia="pl-PL"/>
        </w:rPr>
        <w:t xml:space="preserve"> chcieliśmy pogratulować osiągnięć ekonomicznych i zajętych miejsc na „Liście </w:t>
      </w:r>
      <w:smartTag w:uri="urn:schemas-microsoft-com:office:smarttags" w:element="metricconverter">
        <w:smartTagPr>
          <w:attr w:name="ProductID" w:val="100”"/>
        </w:smartTagPr>
        <w:r w:rsidR="00D53D05" w:rsidRPr="00DD19F0">
          <w:rPr>
            <w:rFonts w:ascii="Times New Roman" w:eastAsia="Times New Roman" w:hAnsi="Times New Roman"/>
            <w:sz w:val="24"/>
            <w:szCs w:val="24"/>
            <w:lang w:eastAsia="pl-PL"/>
          </w:rPr>
          <w:t>100”</w:t>
        </w:r>
      </w:smartTag>
      <w:r w:rsidR="00D53D05" w:rsidRPr="00DD19F0">
        <w:rPr>
          <w:rFonts w:ascii="Times New Roman" w:eastAsia="Times New Roman" w:hAnsi="Times New Roman"/>
          <w:sz w:val="24"/>
          <w:szCs w:val="24"/>
          <w:lang w:eastAsia="pl-PL"/>
        </w:rPr>
        <w:t xml:space="preserve">. </w:t>
      </w:r>
      <w:r w:rsidR="00430FF7">
        <w:rPr>
          <w:rFonts w:ascii="Times New Roman" w:eastAsia="Times New Roman" w:hAnsi="Times New Roman"/>
          <w:sz w:val="24"/>
          <w:szCs w:val="24"/>
          <w:lang w:eastAsia="pl-PL"/>
        </w:rPr>
        <w:t>Tradycyjnie również</w:t>
      </w:r>
      <w:r>
        <w:rPr>
          <w:rFonts w:ascii="Times New Roman" w:eastAsia="Times New Roman" w:hAnsi="Times New Roman"/>
          <w:sz w:val="24"/>
          <w:szCs w:val="24"/>
          <w:lang w:eastAsia="pl-PL"/>
        </w:rPr>
        <w:t xml:space="preserve"> podziękowania należą się</w:t>
      </w:r>
      <w:r w:rsidR="00D53D05" w:rsidRPr="00DD19F0">
        <w:rPr>
          <w:rFonts w:ascii="Times New Roman" w:eastAsia="Times New Roman" w:hAnsi="Times New Roman"/>
          <w:sz w:val="24"/>
          <w:szCs w:val="24"/>
          <w:lang w:eastAsia="pl-PL"/>
        </w:rPr>
        <w:t xml:space="preserve"> wszystkim osobom i instytucjom (KRS, KZR RSP, „Tęcza Polska”), </w:t>
      </w:r>
      <w:r w:rsidR="00D53D05">
        <w:rPr>
          <w:rFonts w:ascii="Times New Roman" w:eastAsia="Times New Roman" w:hAnsi="Times New Roman"/>
          <w:sz w:val="24"/>
          <w:szCs w:val="24"/>
          <w:lang w:eastAsia="pl-PL"/>
        </w:rPr>
        <w:t>które</w:t>
      </w:r>
      <w:r w:rsidR="00D53D05" w:rsidRPr="00DD19F0">
        <w:rPr>
          <w:rFonts w:ascii="Times New Roman" w:eastAsia="Times New Roman" w:hAnsi="Times New Roman"/>
          <w:sz w:val="24"/>
          <w:szCs w:val="24"/>
          <w:lang w:eastAsia="pl-PL"/>
        </w:rPr>
        <w:t xml:space="preserve"> </w:t>
      </w:r>
      <w:r w:rsidR="004E3AE8">
        <w:rPr>
          <w:rFonts w:ascii="Times New Roman" w:eastAsia="Times New Roman" w:hAnsi="Times New Roman"/>
          <w:sz w:val="24"/>
          <w:szCs w:val="24"/>
          <w:lang w:eastAsia="pl-PL"/>
        </w:rPr>
        <w:t>nieustannie, od pierwszej edycji</w:t>
      </w:r>
      <w:r w:rsidR="00D53D05" w:rsidRPr="00DD19F0">
        <w:rPr>
          <w:rFonts w:ascii="Times New Roman" w:eastAsia="Times New Roman" w:hAnsi="Times New Roman"/>
          <w:sz w:val="24"/>
          <w:szCs w:val="24"/>
          <w:lang w:eastAsia="pl-PL"/>
        </w:rPr>
        <w:t xml:space="preserve"> wspierają to nasze wspólne przedsięwzięcie.</w:t>
      </w:r>
    </w:p>
    <w:p w:rsidR="00D53D05" w:rsidRDefault="00DC292C" w:rsidP="00D53D05">
      <w:pPr>
        <w:spacing w:after="0" w:line="264" w:lineRule="auto"/>
        <w:ind w:firstLine="35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Zawsze przy okazji publikacji </w:t>
      </w:r>
      <w:r w:rsidR="00005FC4">
        <w:rPr>
          <w:rFonts w:ascii="Times New Roman" w:eastAsia="Times New Roman" w:hAnsi="Times New Roman"/>
          <w:sz w:val="24"/>
          <w:szCs w:val="24"/>
          <w:lang w:eastAsia="pl-PL"/>
        </w:rPr>
        <w:t>podkreślamy, iż</w:t>
      </w:r>
      <w:r w:rsidR="00D53D05" w:rsidRPr="00DD19F0">
        <w:rPr>
          <w:rFonts w:ascii="Times New Roman" w:eastAsia="Times New Roman" w:hAnsi="Times New Roman"/>
          <w:sz w:val="24"/>
          <w:szCs w:val="24"/>
          <w:lang w:eastAsia="pl-PL"/>
        </w:rPr>
        <w:t xml:space="preserve"> głównym celem kolejnych „List </w:t>
      </w:r>
      <w:smartTag w:uri="urn:schemas-microsoft-com:office:smarttags" w:element="metricconverter">
        <w:smartTagPr>
          <w:attr w:name="ProductID" w:val="100”"/>
        </w:smartTagPr>
        <w:r w:rsidR="00D53D05" w:rsidRPr="00DD19F0">
          <w:rPr>
            <w:rFonts w:ascii="Times New Roman" w:eastAsia="Times New Roman" w:hAnsi="Times New Roman"/>
            <w:sz w:val="24"/>
            <w:szCs w:val="24"/>
            <w:lang w:eastAsia="pl-PL"/>
          </w:rPr>
          <w:t>100”</w:t>
        </w:r>
      </w:smartTag>
      <w:r w:rsidR="00D53D05" w:rsidRPr="00DD19F0">
        <w:rPr>
          <w:rFonts w:ascii="Times New Roman" w:eastAsia="Times New Roman" w:hAnsi="Times New Roman"/>
          <w:sz w:val="24"/>
          <w:szCs w:val="24"/>
          <w:lang w:eastAsia="pl-PL"/>
        </w:rPr>
        <w:t xml:space="preserve"> najlepszych spółdzielni pod względem sytuacji ekonomicznej</w:t>
      </w:r>
      <w:r w:rsidR="004E3AE8">
        <w:rPr>
          <w:rFonts w:ascii="Times New Roman" w:eastAsia="Times New Roman" w:hAnsi="Times New Roman"/>
          <w:sz w:val="24"/>
          <w:szCs w:val="24"/>
          <w:lang w:eastAsia="pl-PL"/>
        </w:rPr>
        <w:t xml:space="preserve"> jest</w:t>
      </w:r>
      <w:r w:rsidR="00D53D05" w:rsidRPr="00DD19F0">
        <w:rPr>
          <w:rFonts w:ascii="Times New Roman" w:eastAsia="Times New Roman" w:hAnsi="Times New Roman"/>
          <w:sz w:val="24"/>
          <w:szCs w:val="24"/>
          <w:lang w:eastAsia="pl-PL"/>
        </w:rPr>
        <w:t xml:space="preserve"> promowanie tej formy gospodarowania oraz próba odnowy jej wizerunku w otoczeniu gospodarczym. </w:t>
      </w:r>
      <w:r w:rsidR="004E1A0D">
        <w:rPr>
          <w:rFonts w:ascii="Times New Roman" w:eastAsia="Times New Roman" w:hAnsi="Times New Roman"/>
          <w:sz w:val="24"/>
          <w:szCs w:val="24"/>
          <w:lang w:eastAsia="pl-PL"/>
        </w:rPr>
        <w:t>Autorzy rankingu mają również nadzieję</w:t>
      </w:r>
      <w:r w:rsidR="00D53D05" w:rsidRPr="00DD19F0">
        <w:rPr>
          <w:rFonts w:ascii="Times New Roman" w:eastAsia="Times New Roman" w:hAnsi="Times New Roman"/>
          <w:sz w:val="24"/>
          <w:szCs w:val="24"/>
          <w:lang w:eastAsia="pl-PL"/>
        </w:rPr>
        <w:t>,</w:t>
      </w:r>
      <w:r w:rsidR="004E3AE8">
        <w:rPr>
          <w:rFonts w:ascii="Times New Roman" w:eastAsia="Times New Roman" w:hAnsi="Times New Roman"/>
          <w:sz w:val="24"/>
          <w:szCs w:val="24"/>
          <w:lang w:eastAsia="pl-PL"/>
        </w:rPr>
        <w:t xml:space="preserve"> iż to narzędzie będzie przede wszystkim</w:t>
      </w:r>
      <w:r w:rsidR="00D53D05" w:rsidRPr="00DD19F0">
        <w:rPr>
          <w:rFonts w:ascii="Times New Roman" w:eastAsia="Times New Roman" w:hAnsi="Times New Roman"/>
          <w:sz w:val="24"/>
          <w:szCs w:val="24"/>
          <w:lang w:eastAsia="pl-PL"/>
        </w:rPr>
        <w:t xml:space="preserve"> przydatne samym spółdzielcom. Idea konkurowania, zawarta u podstaw wszystkich list rankingowych, poprzez wyłanianie liderów grupy, umożliwia porównywanie</w:t>
      </w:r>
      <w:r w:rsidR="00D53D05">
        <w:rPr>
          <w:rFonts w:ascii="Times New Roman" w:eastAsia="Times New Roman" w:hAnsi="Times New Roman"/>
          <w:sz w:val="24"/>
          <w:szCs w:val="24"/>
          <w:lang w:eastAsia="pl-PL"/>
        </w:rPr>
        <w:t xml:space="preserve"> się z nim</w:t>
      </w:r>
      <w:r w:rsidR="00D53D05" w:rsidRPr="00DD19F0">
        <w:rPr>
          <w:rFonts w:ascii="Times New Roman" w:eastAsia="Times New Roman" w:hAnsi="Times New Roman"/>
          <w:sz w:val="24"/>
          <w:szCs w:val="24"/>
          <w:lang w:eastAsia="pl-PL"/>
        </w:rPr>
        <w:t xml:space="preserve"> oraz wyzwala bodźce do zdrowego </w:t>
      </w:r>
      <w:r w:rsidR="00430FF7">
        <w:rPr>
          <w:rFonts w:ascii="Times New Roman" w:eastAsia="Times New Roman" w:hAnsi="Times New Roman"/>
          <w:sz w:val="24"/>
          <w:szCs w:val="24"/>
          <w:lang w:eastAsia="pl-PL"/>
        </w:rPr>
        <w:t>współzawodnictwa</w:t>
      </w:r>
      <w:r w:rsidR="00D53D05" w:rsidRPr="00DD19F0">
        <w:rPr>
          <w:rFonts w:ascii="Times New Roman" w:eastAsia="Times New Roman" w:hAnsi="Times New Roman"/>
          <w:sz w:val="24"/>
          <w:szCs w:val="24"/>
          <w:lang w:eastAsia="pl-PL"/>
        </w:rPr>
        <w:t xml:space="preserve">. Od strony </w:t>
      </w:r>
      <w:r w:rsidR="004E3AE8">
        <w:rPr>
          <w:rFonts w:ascii="Times New Roman" w:eastAsia="Times New Roman" w:hAnsi="Times New Roman"/>
          <w:sz w:val="24"/>
          <w:szCs w:val="24"/>
          <w:lang w:eastAsia="pl-PL"/>
        </w:rPr>
        <w:t>badawczej</w:t>
      </w:r>
      <w:r w:rsidR="00D53D05" w:rsidRPr="00DD19F0">
        <w:rPr>
          <w:rFonts w:ascii="Times New Roman" w:eastAsia="Times New Roman" w:hAnsi="Times New Roman"/>
          <w:sz w:val="24"/>
          <w:szCs w:val="24"/>
          <w:lang w:eastAsia="pl-PL"/>
        </w:rPr>
        <w:t xml:space="preserve"> </w:t>
      </w:r>
      <w:r w:rsidR="004E3AE8">
        <w:rPr>
          <w:rFonts w:ascii="Times New Roman" w:eastAsia="Times New Roman" w:hAnsi="Times New Roman"/>
          <w:sz w:val="24"/>
          <w:szCs w:val="24"/>
          <w:lang w:eastAsia="pl-PL"/>
        </w:rPr>
        <w:t xml:space="preserve">kolejne rankingi </w:t>
      </w:r>
      <w:r w:rsidR="00D53D05" w:rsidRPr="00DD19F0">
        <w:rPr>
          <w:rFonts w:ascii="Times New Roman" w:eastAsia="Times New Roman" w:hAnsi="Times New Roman"/>
          <w:sz w:val="24"/>
          <w:szCs w:val="24"/>
          <w:lang w:eastAsia="pl-PL"/>
        </w:rPr>
        <w:t>umożliwiają</w:t>
      </w:r>
      <w:r w:rsidR="004E3AE8">
        <w:rPr>
          <w:rFonts w:ascii="Times New Roman" w:eastAsia="Times New Roman" w:hAnsi="Times New Roman"/>
          <w:sz w:val="24"/>
          <w:szCs w:val="24"/>
          <w:lang w:eastAsia="pl-PL"/>
        </w:rPr>
        <w:t xml:space="preserve"> </w:t>
      </w:r>
      <w:r w:rsidR="00D53D05" w:rsidRPr="00DD19F0">
        <w:rPr>
          <w:rFonts w:ascii="Times New Roman" w:eastAsia="Times New Roman" w:hAnsi="Times New Roman"/>
          <w:sz w:val="24"/>
          <w:szCs w:val="24"/>
          <w:lang w:eastAsia="pl-PL"/>
        </w:rPr>
        <w:t xml:space="preserve">śledzenie zmian zachodzących w spółdzielniach </w:t>
      </w:r>
      <w:r w:rsidR="00D53D05">
        <w:rPr>
          <w:rFonts w:ascii="Times New Roman" w:eastAsia="Times New Roman" w:hAnsi="Times New Roman"/>
          <w:sz w:val="24"/>
          <w:szCs w:val="24"/>
          <w:lang w:eastAsia="pl-PL"/>
        </w:rPr>
        <w:t xml:space="preserve">w perspektywie </w:t>
      </w:r>
      <w:r w:rsidR="00D53D05" w:rsidRPr="00DD19F0">
        <w:rPr>
          <w:rFonts w:ascii="Times New Roman" w:eastAsia="Times New Roman" w:hAnsi="Times New Roman"/>
          <w:sz w:val="24"/>
          <w:szCs w:val="24"/>
          <w:lang w:eastAsia="pl-PL"/>
        </w:rPr>
        <w:t>średniookresowej. W głównej mierze obserwacje te koncentrują się na czynnikach wytwórczych, czy</w:t>
      </w:r>
      <w:r w:rsidR="00D53D05">
        <w:rPr>
          <w:rFonts w:ascii="Times New Roman" w:eastAsia="Times New Roman" w:hAnsi="Times New Roman"/>
          <w:sz w:val="24"/>
          <w:szCs w:val="24"/>
          <w:lang w:eastAsia="pl-PL"/>
        </w:rPr>
        <w:t>li</w:t>
      </w:r>
      <w:r w:rsidR="00D53D05" w:rsidRPr="00DD19F0">
        <w:rPr>
          <w:rFonts w:ascii="Times New Roman" w:eastAsia="Times New Roman" w:hAnsi="Times New Roman"/>
          <w:sz w:val="24"/>
          <w:szCs w:val="24"/>
          <w:lang w:eastAsia="pl-PL"/>
        </w:rPr>
        <w:t xml:space="preserve"> sytuacji ekonomiczno-finansowej </w:t>
      </w:r>
      <w:r w:rsidR="004E3AE8">
        <w:rPr>
          <w:rFonts w:ascii="Times New Roman" w:eastAsia="Times New Roman" w:hAnsi="Times New Roman"/>
          <w:sz w:val="24"/>
          <w:szCs w:val="24"/>
          <w:lang w:eastAsia="pl-PL"/>
        </w:rPr>
        <w:t>rolniczych spółdzielni</w:t>
      </w:r>
      <w:r w:rsidR="00D53D05" w:rsidRPr="00DD19F0">
        <w:rPr>
          <w:rFonts w:ascii="Times New Roman" w:eastAsia="Times New Roman" w:hAnsi="Times New Roman"/>
          <w:sz w:val="24"/>
          <w:szCs w:val="24"/>
          <w:lang w:eastAsia="pl-PL"/>
        </w:rPr>
        <w:t xml:space="preserve">. </w:t>
      </w:r>
      <w:r w:rsidR="004E3AE8">
        <w:rPr>
          <w:rFonts w:ascii="Times New Roman" w:eastAsia="Times New Roman" w:hAnsi="Times New Roman"/>
          <w:sz w:val="24"/>
          <w:szCs w:val="24"/>
          <w:lang w:eastAsia="pl-PL"/>
        </w:rPr>
        <w:t xml:space="preserve">Warto nadmienić również, </w:t>
      </w:r>
      <w:r w:rsidR="004E1A0D">
        <w:rPr>
          <w:rFonts w:ascii="Times New Roman" w:eastAsia="Times New Roman" w:hAnsi="Times New Roman"/>
          <w:sz w:val="24"/>
          <w:szCs w:val="24"/>
          <w:lang w:eastAsia="pl-PL"/>
        </w:rPr>
        <w:t>że zbierane dane</w:t>
      </w:r>
      <w:r w:rsidR="004E3AE8">
        <w:rPr>
          <w:rFonts w:ascii="Times New Roman" w:eastAsia="Times New Roman" w:hAnsi="Times New Roman"/>
          <w:sz w:val="24"/>
          <w:szCs w:val="24"/>
          <w:lang w:eastAsia="pl-PL"/>
        </w:rPr>
        <w:t xml:space="preserve"> </w:t>
      </w:r>
      <w:r w:rsidR="004E1A0D">
        <w:rPr>
          <w:rFonts w:ascii="Times New Roman" w:eastAsia="Times New Roman" w:hAnsi="Times New Roman"/>
          <w:sz w:val="24"/>
          <w:szCs w:val="24"/>
          <w:lang w:eastAsia="pl-PL"/>
        </w:rPr>
        <w:t>do rankingu mają</w:t>
      </w:r>
      <w:r w:rsidR="004E3AE8">
        <w:rPr>
          <w:rFonts w:ascii="Times New Roman" w:eastAsia="Times New Roman" w:hAnsi="Times New Roman"/>
          <w:sz w:val="24"/>
          <w:szCs w:val="24"/>
          <w:lang w:eastAsia="pl-PL"/>
        </w:rPr>
        <w:t xml:space="preserve"> charakter unikalny,</w:t>
      </w:r>
      <w:r w:rsidR="00D53D05" w:rsidRPr="00DD19F0">
        <w:rPr>
          <w:rFonts w:ascii="Times New Roman" w:eastAsia="Times New Roman" w:hAnsi="Times New Roman"/>
          <w:sz w:val="24"/>
          <w:szCs w:val="24"/>
          <w:lang w:eastAsia="pl-PL"/>
        </w:rPr>
        <w:t xml:space="preserve"> </w:t>
      </w:r>
      <w:r w:rsidR="004E3AE8">
        <w:rPr>
          <w:rFonts w:ascii="Times New Roman" w:eastAsia="Times New Roman" w:hAnsi="Times New Roman"/>
          <w:sz w:val="24"/>
          <w:szCs w:val="24"/>
          <w:lang w:eastAsia="pl-PL"/>
        </w:rPr>
        <w:t>gdyż</w:t>
      </w:r>
      <w:r w:rsidR="00D53D05" w:rsidRPr="00DD19F0">
        <w:rPr>
          <w:rFonts w:ascii="Times New Roman" w:eastAsia="Times New Roman" w:hAnsi="Times New Roman"/>
          <w:sz w:val="24"/>
          <w:szCs w:val="24"/>
          <w:lang w:eastAsia="pl-PL"/>
        </w:rPr>
        <w:t xml:space="preserve"> stanowią praktycznie jedyne źródło wiedzy o tej zbiorowości gospodarstw osób prawnych, a ich skala (ankietę rokrocznie wypełnia około 20% całej</w:t>
      </w:r>
      <w:r w:rsidR="00D53D05">
        <w:rPr>
          <w:rFonts w:ascii="Times New Roman" w:eastAsia="Times New Roman" w:hAnsi="Times New Roman"/>
          <w:sz w:val="24"/>
          <w:szCs w:val="24"/>
          <w:lang w:eastAsia="pl-PL"/>
        </w:rPr>
        <w:t xml:space="preserve"> zbiorowości) umożliwia rzetelną</w:t>
      </w:r>
      <w:r w:rsidR="00D53D05" w:rsidRPr="00DD19F0">
        <w:rPr>
          <w:rFonts w:ascii="Times New Roman" w:eastAsia="Times New Roman" w:hAnsi="Times New Roman"/>
          <w:sz w:val="24"/>
          <w:szCs w:val="24"/>
          <w:lang w:eastAsia="pl-PL"/>
        </w:rPr>
        <w:t xml:space="preserve"> ocenę zachodzących w niej zjawisk.</w:t>
      </w:r>
    </w:p>
    <w:p w:rsidR="00D53D05" w:rsidRDefault="00D53D05" w:rsidP="00D53D05">
      <w:pPr>
        <w:tabs>
          <w:tab w:val="left" w:pos="8100"/>
        </w:tabs>
        <w:spacing w:line="264" w:lineRule="auto"/>
        <w:jc w:val="both"/>
        <w:rPr>
          <w:rFonts w:ascii="Times New Roman" w:hAnsi="Times New Roman"/>
          <w:sz w:val="24"/>
          <w:szCs w:val="24"/>
        </w:rPr>
      </w:pPr>
      <w:r>
        <w:rPr>
          <w:rFonts w:ascii="Times New Roman" w:hAnsi="Times New Roman"/>
          <w:sz w:val="24"/>
          <w:szCs w:val="24"/>
        </w:rPr>
        <w:tab/>
        <w:t>Tabela 1</w:t>
      </w:r>
    </w:p>
    <w:p w:rsidR="00D53D05" w:rsidRDefault="00D53D05" w:rsidP="00D53D05">
      <w:pPr>
        <w:spacing w:line="240" w:lineRule="auto"/>
        <w:jc w:val="both"/>
        <w:rPr>
          <w:rFonts w:ascii="Times New Roman" w:hAnsi="Times New Roman"/>
          <w:sz w:val="24"/>
          <w:szCs w:val="24"/>
        </w:rPr>
      </w:pPr>
      <w:r>
        <w:rPr>
          <w:rFonts w:ascii="Times New Roman" w:hAnsi="Times New Roman"/>
          <w:sz w:val="24"/>
          <w:szCs w:val="24"/>
        </w:rPr>
        <w:t>Ranking 10 najlepszych spółdzielni produkcyjnych w latach 2008-2010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3"/>
        <w:gridCol w:w="2259"/>
        <w:gridCol w:w="1446"/>
        <w:gridCol w:w="630"/>
        <w:gridCol w:w="630"/>
        <w:gridCol w:w="603"/>
        <w:gridCol w:w="603"/>
        <w:gridCol w:w="603"/>
        <w:gridCol w:w="603"/>
        <w:gridCol w:w="603"/>
        <w:gridCol w:w="603"/>
      </w:tblGrid>
      <w:tr w:rsidR="00D53D05" w:rsidTr="00BC1477">
        <w:tc>
          <w:tcPr>
            <w:tcW w:w="543" w:type="dxa"/>
            <w:vMerge w:val="restart"/>
            <w:tcBorders>
              <w:top w:val="single" w:sz="4" w:space="0" w:color="auto"/>
              <w:left w:val="single" w:sz="4" w:space="0" w:color="auto"/>
              <w:bottom w:val="single" w:sz="4" w:space="0" w:color="auto"/>
              <w:right w:val="single" w:sz="4" w:space="0" w:color="auto"/>
            </w:tcBorders>
            <w:hideMark/>
          </w:tcPr>
          <w:p w:rsidR="00D53D05" w:rsidRPr="00BC1477" w:rsidRDefault="00D53D05" w:rsidP="00BC1477">
            <w:pPr>
              <w:spacing w:after="120" w:line="240" w:lineRule="auto"/>
              <w:jc w:val="both"/>
              <w:rPr>
                <w:rFonts w:ascii="Times New Roman" w:hAnsi="Times New Roman"/>
                <w:sz w:val="20"/>
                <w:szCs w:val="20"/>
              </w:rPr>
            </w:pPr>
            <w:proofErr w:type="spellStart"/>
            <w:r w:rsidRPr="00BC1477">
              <w:rPr>
                <w:rFonts w:ascii="Times New Roman" w:hAnsi="Times New Roman"/>
                <w:sz w:val="20"/>
                <w:szCs w:val="20"/>
              </w:rPr>
              <w:t>L.p</w:t>
            </w:r>
            <w:proofErr w:type="spellEnd"/>
          </w:p>
        </w:tc>
        <w:tc>
          <w:tcPr>
            <w:tcW w:w="2259" w:type="dxa"/>
            <w:vMerge w:val="restart"/>
            <w:tcBorders>
              <w:top w:val="single" w:sz="4" w:space="0" w:color="auto"/>
              <w:left w:val="single" w:sz="4" w:space="0" w:color="auto"/>
              <w:bottom w:val="single" w:sz="4" w:space="0" w:color="auto"/>
              <w:right w:val="single" w:sz="4" w:space="0" w:color="auto"/>
            </w:tcBorders>
            <w:hideMark/>
          </w:tcPr>
          <w:p w:rsidR="00D53D05" w:rsidRPr="00BC1477" w:rsidRDefault="00D53D05" w:rsidP="00BC1477">
            <w:pPr>
              <w:spacing w:after="120" w:line="240" w:lineRule="auto"/>
              <w:jc w:val="both"/>
              <w:rPr>
                <w:rFonts w:ascii="Times New Roman" w:hAnsi="Times New Roman"/>
                <w:sz w:val="20"/>
                <w:szCs w:val="20"/>
              </w:rPr>
            </w:pPr>
            <w:r w:rsidRPr="00BC1477">
              <w:rPr>
                <w:rFonts w:ascii="Times New Roman" w:hAnsi="Times New Roman"/>
                <w:sz w:val="20"/>
                <w:szCs w:val="20"/>
              </w:rPr>
              <w:t>Nazwa spółdzielni</w:t>
            </w:r>
          </w:p>
        </w:tc>
        <w:tc>
          <w:tcPr>
            <w:tcW w:w="1446" w:type="dxa"/>
            <w:vMerge w:val="restart"/>
            <w:tcBorders>
              <w:top w:val="single" w:sz="4" w:space="0" w:color="auto"/>
              <w:left w:val="single" w:sz="4" w:space="0" w:color="auto"/>
              <w:bottom w:val="single" w:sz="4" w:space="0" w:color="auto"/>
              <w:right w:val="single" w:sz="4" w:space="0" w:color="auto"/>
            </w:tcBorders>
            <w:hideMark/>
          </w:tcPr>
          <w:p w:rsidR="00D53D05" w:rsidRPr="00BC1477" w:rsidRDefault="00BC1477" w:rsidP="00BC1477">
            <w:pPr>
              <w:spacing w:after="120" w:line="240" w:lineRule="auto"/>
              <w:jc w:val="both"/>
              <w:rPr>
                <w:rFonts w:ascii="Times New Roman" w:hAnsi="Times New Roman"/>
                <w:sz w:val="20"/>
                <w:szCs w:val="20"/>
              </w:rPr>
            </w:pPr>
            <w:r>
              <w:rPr>
                <w:rFonts w:ascii="Times New Roman" w:hAnsi="Times New Roman"/>
                <w:sz w:val="20"/>
                <w:szCs w:val="20"/>
              </w:rPr>
              <w:t>Woje</w:t>
            </w:r>
            <w:r w:rsidR="00D53D05" w:rsidRPr="00BC1477">
              <w:rPr>
                <w:rFonts w:ascii="Times New Roman" w:hAnsi="Times New Roman"/>
                <w:sz w:val="20"/>
                <w:szCs w:val="20"/>
              </w:rPr>
              <w:t>wództwo</w:t>
            </w:r>
          </w:p>
        </w:tc>
        <w:tc>
          <w:tcPr>
            <w:tcW w:w="4878" w:type="dxa"/>
            <w:gridSpan w:val="8"/>
            <w:tcBorders>
              <w:top w:val="single" w:sz="4" w:space="0" w:color="auto"/>
              <w:left w:val="single" w:sz="4" w:space="0" w:color="auto"/>
              <w:bottom w:val="single" w:sz="4" w:space="0" w:color="auto"/>
              <w:right w:val="single" w:sz="4" w:space="0" w:color="auto"/>
            </w:tcBorders>
            <w:hideMark/>
          </w:tcPr>
          <w:p w:rsidR="00D53D05" w:rsidRPr="00BC1477" w:rsidRDefault="00D53D05" w:rsidP="00BC1477">
            <w:pPr>
              <w:spacing w:after="120" w:line="240" w:lineRule="auto"/>
              <w:jc w:val="center"/>
              <w:rPr>
                <w:rFonts w:ascii="Times New Roman" w:hAnsi="Times New Roman"/>
                <w:sz w:val="20"/>
                <w:szCs w:val="20"/>
              </w:rPr>
            </w:pPr>
            <w:r w:rsidRPr="00BC1477">
              <w:rPr>
                <w:rFonts w:ascii="Times New Roman" w:hAnsi="Times New Roman"/>
                <w:sz w:val="20"/>
                <w:szCs w:val="20"/>
              </w:rPr>
              <w:t>Miernik syntetyczny</w:t>
            </w:r>
          </w:p>
        </w:tc>
      </w:tr>
      <w:tr w:rsidR="00D53D05" w:rsidTr="00BC1477">
        <w:tc>
          <w:tcPr>
            <w:tcW w:w="543" w:type="dxa"/>
            <w:vMerge/>
            <w:tcBorders>
              <w:top w:val="single" w:sz="4" w:space="0" w:color="auto"/>
              <w:left w:val="single" w:sz="4" w:space="0" w:color="auto"/>
              <w:bottom w:val="single" w:sz="4" w:space="0" w:color="auto"/>
              <w:right w:val="single" w:sz="4" w:space="0" w:color="auto"/>
            </w:tcBorders>
            <w:vAlign w:val="center"/>
            <w:hideMark/>
          </w:tcPr>
          <w:p w:rsidR="00D53D05" w:rsidRPr="00BC1477" w:rsidRDefault="00D53D05" w:rsidP="00BC1477">
            <w:pPr>
              <w:spacing w:after="120" w:line="240" w:lineRule="auto"/>
              <w:jc w:val="both"/>
              <w:rPr>
                <w:rFonts w:ascii="Times New Roman" w:hAnsi="Times New Roman"/>
                <w:sz w:val="20"/>
                <w:szCs w:val="20"/>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D53D05" w:rsidRPr="00BC1477" w:rsidRDefault="00D53D05" w:rsidP="00BC1477">
            <w:pPr>
              <w:spacing w:after="120" w:line="240" w:lineRule="auto"/>
              <w:jc w:val="both"/>
              <w:rPr>
                <w:rFonts w:ascii="Times New Roman" w:hAnsi="Times New Roman"/>
                <w:sz w:val="20"/>
                <w:szCs w:val="20"/>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D53D05" w:rsidRPr="00BC1477" w:rsidRDefault="00D53D05" w:rsidP="00BC1477">
            <w:pPr>
              <w:spacing w:after="120" w:line="240" w:lineRule="auto"/>
              <w:jc w:val="both"/>
              <w:rPr>
                <w:rFonts w:ascii="Times New Roman" w:hAnsi="Times New Roman"/>
                <w:sz w:val="20"/>
                <w:szCs w:val="20"/>
              </w:rPr>
            </w:pPr>
          </w:p>
        </w:tc>
        <w:tc>
          <w:tcPr>
            <w:tcW w:w="1260" w:type="dxa"/>
            <w:gridSpan w:val="2"/>
            <w:tcBorders>
              <w:top w:val="single" w:sz="4" w:space="0" w:color="auto"/>
              <w:left w:val="single" w:sz="4" w:space="0" w:color="auto"/>
              <w:bottom w:val="single" w:sz="4" w:space="0" w:color="auto"/>
              <w:right w:val="single" w:sz="4" w:space="0" w:color="auto"/>
            </w:tcBorders>
            <w:hideMark/>
          </w:tcPr>
          <w:p w:rsidR="00D53D05" w:rsidRPr="00BC1477" w:rsidRDefault="00D53D05" w:rsidP="00BC1477">
            <w:pPr>
              <w:spacing w:after="120" w:line="240" w:lineRule="auto"/>
              <w:jc w:val="both"/>
              <w:rPr>
                <w:rFonts w:ascii="Times New Roman" w:hAnsi="Times New Roman"/>
                <w:sz w:val="20"/>
                <w:szCs w:val="20"/>
              </w:rPr>
            </w:pPr>
            <w:r w:rsidRPr="00BC1477">
              <w:rPr>
                <w:rFonts w:ascii="Times New Roman" w:hAnsi="Times New Roman"/>
                <w:sz w:val="20"/>
                <w:szCs w:val="20"/>
              </w:rPr>
              <w:t>2009</w:t>
            </w:r>
          </w:p>
        </w:tc>
        <w:tc>
          <w:tcPr>
            <w:tcW w:w="1206" w:type="dxa"/>
            <w:gridSpan w:val="2"/>
            <w:tcBorders>
              <w:top w:val="single" w:sz="4" w:space="0" w:color="auto"/>
              <w:left w:val="single" w:sz="4" w:space="0" w:color="auto"/>
              <w:bottom w:val="single" w:sz="4" w:space="0" w:color="auto"/>
              <w:right w:val="single" w:sz="4" w:space="0" w:color="auto"/>
            </w:tcBorders>
            <w:hideMark/>
          </w:tcPr>
          <w:p w:rsidR="00D53D05" w:rsidRPr="00BC1477" w:rsidRDefault="00D53D05" w:rsidP="00BC1477">
            <w:pPr>
              <w:spacing w:after="120" w:line="240" w:lineRule="auto"/>
              <w:jc w:val="both"/>
              <w:rPr>
                <w:rFonts w:ascii="Times New Roman" w:hAnsi="Times New Roman"/>
                <w:sz w:val="20"/>
                <w:szCs w:val="20"/>
              </w:rPr>
            </w:pPr>
            <w:r w:rsidRPr="00BC1477">
              <w:rPr>
                <w:rFonts w:ascii="Times New Roman" w:hAnsi="Times New Roman"/>
                <w:sz w:val="20"/>
                <w:szCs w:val="20"/>
              </w:rPr>
              <w:t>2010</w:t>
            </w:r>
          </w:p>
        </w:tc>
        <w:tc>
          <w:tcPr>
            <w:tcW w:w="1206" w:type="dxa"/>
            <w:gridSpan w:val="2"/>
            <w:tcBorders>
              <w:top w:val="single" w:sz="4" w:space="0" w:color="auto"/>
              <w:left w:val="single" w:sz="4" w:space="0" w:color="auto"/>
              <w:bottom w:val="single" w:sz="4" w:space="0" w:color="auto"/>
              <w:right w:val="single" w:sz="4" w:space="0" w:color="auto"/>
            </w:tcBorders>
            <w:hideMark/>
          </w:tcPr>
          <w:p w:rsidR="00D53D05" w:rsidRPr="00BC1477" w:rsidRDefault="00D53D05" w:rsidP="00BC1477">
            <w:pPr>
              <w:spacing w:after="120" w:line="240" w:lineRule="auto"/>
              <w:jc w:val="both"/>
              <w:rPr>
                <w:rFonts w:ascii="Times New Roman" w:hAnsi="Times New Roman"/>
                <w:sz w:val="20"/>
                <w:szCs w:val="20"/>
              </w:rPr>
            </w:pPr>
            <w:r w:rsidRPr="00BC1477">
              <w:rPr>
                <w:rFonts w:ascii="Times New Roman" w:hAnsi="Times New Roman"/>
                <w:sz w:val="20"/>
                <w:szCs w:val="20"/>
              </w:rPr>
              <w:t>2011</w:t>
            </w:r>
          </w:p>
        </w:tc>
        <w:tc>
          <w:tcPr>
            <w:tcW w:w="1206" w:type="dxa"/>
            <w:gridSpan w:val="2"/>
            <w:tcBorders>
              <w:top w:val="single" w:sz="4" w:space="0" w:color="auto"/>
              <w:left w:val="single" w:sz="4" w:space="0" w:color="auto"/>
              <w:bottom w:val="single" w:sz="4" w:space="0" w:color="auto"/>
              <w:right w:val="single" w:sz="4" w:space="0" w:color="auto"/>
            </w:tcBorders>
            <w:hideMark/>
          </w:tcPr>
          <w:p w:rsidR="00D53D05" w:rsidRPr="00EA5C1E" w:rsidRDefault="00D53D05" w:rsidP="00BC1477">
            <w:pPr>
              <w:spacing w:after="120" w:line="240" w:lineRule="auto"/>
              <w:jc w:val="both"/>
              <w:rPr>
                <w:rFonts w:ascii="Times New Roman" w:hAnsi="Times New Roman"/>
                <w:b/>
                <w:sz w:val="20"/>
                <w:szCs w:val="20"/>
              </w:rPr>
            </w:pPr>
            <w:r w:rsidRPr="00EA5C1E">
              <w:rPr>
                <w:rFonts w:ascii="Times New Roman" w:hAnsi="Times New Roman"/>
                <w:b/>
                <w:sz w:val="20"/>
                <w:szCs w:val="20"/>
              </w:rPr>
              <w:t>3 lata</w:t>
            </w:r>
          </w:p>
        </w:tc>
      </w:tr>
      <w:tr w:rsidR="00D53D05" w:rsidTr="00BC1477">
        <w:tc>
          <w:tcPr>
            <w:tcW w:w="543" w:type="dxa"/>
            <w:vMerge/>
            <w:tcBorders>
              <w:top w:val="single" w:sz="4" w:space="0" w:color="auto"/>
              <w:left w:val="single" w:sz="4" w:space="0" w:color="auto"/>
              <w:bottom w:val="single" w:sz="4" w:space="0" w:color="auto"/>
              <w:right w:val="single" w:sz="4" w:space="0" w:color="auto"/>
            </w:tcBorders>
            <w:vAlign w:val="center"/>
            <w:hideMark/>
          </w:tcPr>
          <w:p w:rsidR="00D53D05" w:rsidRPr="00BC1477" w:rsidRDefault="00D53D05" w:rsidP="00BC1477">
            <w:pPr>
              <w:spacing w:after="120" w:line="240" w:lineRule="auto"/>
              <w:jc w:val="both"/>
              <w:rPr>
                <w:rFonts w:ascii="Times New Roman" w:hAnsi="Times New Roman"/>
                <w:sz w:val="20"/>
                <w:szCs w:val="20"/>
              </w:rPr>
            </w:pPr>
          </w:p>
        </w:tc>
        <w:tc>
          <w:tcPr>
            <w:tcW w:w="2259" w:type="dxa"/>
            <w:vMerge/>
            <w:tcBorders>
              <w:top w:val="single" w:sz="4" w:space="0" w:color="auto"/>
              <w:left w:val="single" w:sz="4" w:space="0" w:color="auto"/>
              <w:bottom w:val="single" w:sz="4" w:space="0" w:color="auto"/>
              <w:right w:val="single" w:sz="4" w:space="0" w:color="auto"/>
            </w:tcBorders>
            <w:vAlign w:val="center"/>
            <w:hideMark/>
          </w:tcPr>
          <w:p w:rsidR="00D53D05" w:rsidRPr="00BC1477" w:rsidRDefault="00D53D05" w:rsidP="00BC1477">
            <w:pPr>
              <w:spacing w:after="120" w:line="240" w:lineRule="auto"/>
              <w:jc w:val="both"/>
              <w:rPr>
                <w:rFonts w:ascii="Times New Roman" w:hAnsi="Times New Roman"/>
                <w:sz w:val="20"/>
                <w:szCs w:val="20"/>
              </w:rPr>
            </w:pPr>
          </w:p>
        </w:tc>
        <w:tc>
          <w:tcPr>
            <w:tcW w:w="1446" w:type="dxa"/>
            <w:vMerge/>
            <w:tcBorders>
              <w:top w:val="single" w:sz="4" w:space="0" w:color="auto"/>
              <w:left w:val="single" w:sz="4" w:space="0" w:color="auto"/>
              <w:bottom w:val="single" w:sz="4" w:space="0" w:color="auto"/>
              <w:right w:val="single" w:sz="4" w:space="0" w:color="auto"/>
            </w:tcBorders>
            <w:vAlign w:val="center"/>
            <w:hideMark/>
          </w:tcPr>
          <w:p w:rsidR="00D53D05" w:rsidRPr="00BC1477" w:rsidRDefault="00D53D05" w:rsidP="00BC1477">
            <w:pPr>
              <w:spacing w:after="120" w:line="240" w:lineRule="auto"/>
              <w:jc w:val="both"/>
              <w:rPr>
                <w:rFonts w:ascii="Times New Roman" w:hAnsi="Times New Roman"/>
                <w:sz w:val="20"/>
                <w:szCs w:val="20"/>
              </w:rPr>
            </w:pPr>
          </w:p>
        </w:tc>
        <w:tc>
          <w:tcPr>
            <w:tcW w:w="630" w:type="dxa"/>
            <w:tcBorders>
              <w:top w:val="single" w:sz="4" w:space="0" w:color="auto"/>
              <w:left w:val="single" w:sz="4" w:space="0" w:color="auto"/>
              <w:bottom w:val="single" w:sz="4" w:space="0" w:color="auto"/>
              <w:right w:val="single" w:sz="4" w:space="0" w:color="auto"/>
            </w:tcBorders>
            <w:hideMark/>
          </w:tcPr>
          <w:p w:rsidR="00D53D05" w:rsidRPr="00BC1477" w:rsidRDefault="00D53D05" w:rsidP="00BC1477">
            <w:pPr>
              <w:spacing w:after="120" w:line="240" w:lineRule="auto"/>
              <w:jc w:val="both"/>
              <w:rPr>
                <w:rFonts w:ascii="Times New Roman" w:hAnsi="Times New Roman"/>
                <w:sz w:val="20"/>
                <w:szCs w:val="20"/>
              </w:rPr>
            </w:pPr>
            <w:r w:rsidRPr="00BC1477">
              <w:rPr>
                <w:rFonts w:ascii="Times New Roman" w:hAnsi="Times New Roman"/>
                <w:sz w:val="20"/>
                <w:szCs w:val="20"/>
              </w:rPr>
              <w:t>poz.</w:t>
            </w:r>
          </w:p>
        </w:tc>
        <w:tc>
          <w:tcPr>
            <w:tcW w:w="630" w:type="dxa"/>
            <w:tcBorders>
              <w:top w:val="single" w:sz="4" w:space="0" w:color="auto"/>
              <w:left w:val="single" w:sz="4" w:space="0" w:color="auto"/>
              <w:bottom w:val="single" w:sz="4" w:space="0" w:color="auto"/>
              <w:right w:val="single" w:sz="4" w:space="0" w:color="auto"/>
            </w:tcBorders>
            <w:hideMark/>
          </w:tcPr>
          <w:p w:rsidR="00D53D05" w:rsidRPr="00BC1477" w:rsidRDefault="00D53D05" w:rsidP="00BC1477">
            <w:pPr>
              <w:spacing w:after="120" w:line="240" w:lineRule="auto"/>
              <w:jc w:val="both"/>
              <w:rPr>
                <w:rFonts w:ascii="Times New Roman" w:hAnsi="Times New Roman"/>
                <w:sz w:val="20"/>
                <w:szCs w:val="20"/>
              </w:rPr>
            </w:pPr>
            <w:r w:rsidRPr="00BC1477">
              <w:rPr>
                <w:rFonts w:ascii="Times New Roman" w:hAnsi="Times New Roman"/>
                <w:sz w:val="20"/>
                <w:szCs w:val="20"/>
              </w:rPr>
              <w:t>pkt.</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BC1477">
            <w:pPr>
              <w:spacing w:after="120" w:line="240" w:lineRule="auto"/>
              <w:jc w:val="both"/>
              <w:rPr>
                <w:rFonts w:ascii="Times New Roman" w:hAnsi="Times New Roman"/>
                <w:sz w:val="20"/>
                <w:szCs w:val="20"/>
              </w:rPr>
            </w:pPr>
            <w:r w:rsidRPr="00BC1477">
              <w:rPr>
                <w:rFonts w:ascii="Times New Roman" w:hAnsi="Times New Roman"/>
                <w:sz w:val="20"/>
                <w:szCs w:val="20"/>
              </w:rPr>
              <w:t>poz.</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BC1477">
            <w:pPr>
              <w:spacing w:after="120" w:line="240" w:lineRule="auto"/>
              <w:jc w:val="both"/>
              <w:rPr>
                <w:rFonts w:ascii="Times New Roman" w:hAnsi="Times New Roman"/>
                <w:sz w:val="20"/>
                <w:szCs w:val="20"/>
              </w:rPr>
            </w:pPr>
            <w:r w:rsidRPr="00BC1477">
              <w:rPr>
                <w:rFonts w:ascii="Times New Roman" w:hAnsi="Times New Roman"/>
                <w:sz w:val="20"/>
                <w:szCs w:val="20"/>
              </w:rPr>
              <w:t>pkt.</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BC1477">
            <w:pPr>
              <w:spacing w:after="120" w:line="240" w:lineRule="auto"/>
              <w:jc w:val="both"/>
              <w:rPr>
                <w:rFonts w:ascii="Times New Roman" w:hAnsi="Times New Roman"/>
                <w:sz w:val="20"/>
                <w:szCs w:val="20"/>
              </w:rPr>
            </w:pPr>
            <w:r w:rsidRPr="00BC1477">
              <w:rPr>
                <w:rFonts w:ascii="Times New Roman" w:hAnsi="Times New Roman"/>
                <w:sz w:val="20"/>
                <w:szCs w:val="20"/>
              </w:rPr>
              <w:t>poz.</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BC1477">
            <w:pPr>
              <w:spacing w:after="120" w:line="240" w:lineRule="auto"/>
              <w:jc w:val="both"/>
              <w:rPr>
                <w:rFonts w:ascii="Times New Roman" w:hAnsi="Times New Roman"/>
                <w:sz w:val="20"/>
                <w:szCs w:val="20"/>
              </w:rPr>
            </w:pPr>
            <w:r w:rsidRPr="00BC1477">
              <w:rPr>
                <w:rFonts w:ascii="Times New Roman" w:hAnsi="Times New Roman"/>
                <w:sz w:val="20"/>
                <w:szCs w:val="20"/>
              </w:rPr>
              <w:t>pkt.</w:t>
            </w:r>
          </w:p>
        </w:tc>
        <w:tc>
          <w:tcPr>
            <w:tcW w:w="603" w:type="dxa"/>
            <w:tcBorders>
              <w:top w:val="single" w:sz="4" w:space="0" w:color="auto"/>
              <w:left w:val="single" w:sz="4" w:space="0" w:color="auto"/>
              <w:bottom w:val="single" w:sz="4" w:space="0" w:color="auto"/>
              <w:right w:val="single" w:sz="4" w:space="0" w:color="auto"/>
            </w:tcBorders>
            <w:hideMark/>
          </w:tcPr>
          <w:p w:rsidR="00D53D05" w:rsidRPr="00EA5C1E" w:rsidRDefault="00D53D05" w:rsidP="00BC1477">
            <w:pPr>
              <w:spacing w:after="120" w:line="240" w:lineRule="auto"/>
              <w:jc w:val="both"/>
              <w:rPr>
                <w:rFonts w:ascii="Times New Roman" w:hAnsi="Times New Roman"/>
                <w:b/>
                <w:sz w:val="20"/>
                <w:szCs w:val="20"/>
              </w:rPr>
            </w:pPr>
            <w:r w:rsidRPr="00EA5C1E">
              <w:rPr>
                <w:rFonts w:ascii="Times New Roman" w:hAnsi="Times New Roman"/>
                <w:b/>
                <w:sz w:val="20"/>
                <w:szCs w:val="20"/>
              </w:rPr>
              <w:t>poz.</w:t>
            </w:r>
          </w:p>
        </w:tc>
        <w:tc>
          <w:tcPr>
            <w:tcW w:w="603" w:type="dxa"/>
            <w:tcBorders>
              <w:top w:val="single" w:sz="4" w:space="0" w:color="auto"/>
              <w:left w:val="single" w:sz="4" w:space="0" w:color="auto"/>
              <w:bottom w:val="single" w:sz="4" w:space="0" w:color="auto"/>
              <w:right w:val="single" w:sz="4" w:space="0" w:color="auto"/>
            </w:tcBorders>
            <w:hideMark/>
          </w:tcPr>
          <w:p w:rsidR="00D53D05" w:rsidRPr="00EA5C1E" w:rsidRDefault="00D53D05" w:rsidP="00BC1477">
            <w:pPr>
              <w:spacing w:after="120" w:line="240" w:lineRule="auto"/>
              <w:jc w:val="both"/>
              <w:rPr>
                <w:rFonts w:ascii="Times New Roman" w:hAnsi="Times New Roman"/>
                <w:b/>
                <w:sz w:val="20"/>
                <w:szCs w:val="20"/>
              </w:rPr>
            </w:pPr>
            <w:r w:rsidRPr="00EA5C1E">
              <w:rPr>
                <w:rFonts w:ascii="Times New Roman" w:hAnsi="Times New Roman"/>
                <w:b/>
                <w:sz w:val="20"/>
                <w:szCs w:val="20"/>
              </w:rPr>
              <w:t>pkt.</w:t>
            </w:r>
          </w:p>
        </w:tc>
      </w:tr>
      <w:tr w:rsidR="00D53D05" w:rsidTr="00BC1477">
        <w:tc>
          <w:tcPr>
            <w:tcW w:w="54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both"/>
              <w:rPr>
                <w:rFonts w:ascii="Times New Roman" w:hAnsi="Times New Roman"/>
                <w:sz w:val="20"/>
                <w:szCs w:val="20"/>
              </w:rPr>
            </w:pPr>
            <w:r w:rsidRPr="00BC1477">
              <w:rPr>
                <w:rFonts w:ascii="Times New Roman" w:hAnsi="Times New Roman"/>
                <w:sz w:val="20"/>
                <w:szCs w:val="20"/>
              </w:rPr>
              <w:t>1</w:t>
            </w:r>
          </w:p>
        </w:tc>
        <w:tc>
          <w:tcPr>
            <w:tcW w:w="2259"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both"/>
              <w:rPr>
                <w:rFonts w:ascii="Times New Roman" w:hAnsi="Times New Roman"/>
                <w:sz w:val="20"/>
                <w:szCs w:val="20"/>
              </w:rPr>
            </w:pPr>
            <w:r w:rsidRPr="00BC1477">
              <w:rPr>
                <w:rFonts w:ascii="Times New Roman" w:hAnsi="Times New Roman"/>
                <w:sz w:val="20"/>
                <w:szCs w:val="20"/>
              </w:rPr>
              <w:t>RSP Hopkie</w:t>
            </w:r>
          </w:p>
        </w:tc>
        <w:tc>
          <w:tcPr>
            <w:tcW w:w="1446"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both"/>
              <w:rPr>
                <w:rFonts w:ascii="Times New Roman" w:hAnsi="Times New Roman"/>
                <w:sz w:val="20"/>
                <w:szCs w:val="20"/>
              </w:rPr>
            </w:pPr>
            <w:r w:rsidRPr="00BC1477">
              <w:rPr>
                <w:rFonts w:ascii="Times New Roman" w:hAnsi="Times New Roman"/>
                <w:sz w:val="20"/>
                <w:szCs w:val="20"/>
              </w:rPr>
              <w:t>lubelskie</w:t>
            </w:r>
          </w:p>
        </w:tc>
        <w:tc>
          <w:tcPr>
            <w:tcW w:w="630"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5</w:t>
            </w:r>
          </w:p>
        </w:tc>
        <w:tc>
          <w:tcPr>
            <w:tcW w:w="630"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95</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1</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25</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1</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58</w:t>
            </w:r>
          </w:p>
        </w:tc>
        <w:tc>
          <w:tcPr>
            <w:tcW w:w="603" w:type="dxa"/>
            <w:tcBorders>
              <w:top w:val="single" w:sz="4" w:space="0" w:color="auto"/>
              <w:left w:val="single" w:sz="4" w:space="0" w:color="auto"/>
              <w:bottom w:val="single" w:sz="4" w:space="0" w:color="auto"/>
              <w:right w:val="single" w:sz="4" w:space="0" w:color="auto"/>
            </w:tcBorders>
            <w:hideMark/>
          </w:tcPr>
          <w:p w:rsidR="00D53D05" w:rsidRPr="00EA5C1E" w:rsidRDefault="00D53D05" w:rsidP="00EA5C1E">
            <w:pPr>
              <w:spacing w:after="0" w:line="240" w:lineRule="auto"/>
              <w:jc w:val="both"/>
              <w:rPr>
                <w:rFonts w:ascii="Times New Roman" w:hAnsi="Times New Roman"/>
                <w:b/>
                <w:sz w:val="20"/>
                <w:szCs w:val="20"/>
              </w:rPr>
            </w:pPr>
            <w:r w:rsidRPr="00EA5C1E">
              <w:rPr>
                <w:rFonts w:ascii="Times New Roman" w:hAnsi="Times New Roman"/>
                <w:b/>
                <w:sz w:val="20"/>
                <w:szCs w:val="20"/>
              </w:rPr>
              <w:t>1</w:t>
            </w:r>
          </w:p>
        </w:tc>
        <w:tc>
          <w:tcPr>
            <w:tcW w:w="603" w:type="dxa"/>
            <w:tcBorders>
              <w:top w:val="single" w:sz="4" w:space="0" w:color="auto"/>
              <w:left w:val="single" w:sz="4" w:space="0" w:color="auto"/>
              <w:bottom w:val="single" w:sz="4" w:space="0" w:color="auto"/>
              <w:right w:val="single" w:sz="4" w:space="0" w:color="auto"/>
            </w:tcBorders>
            <w:hideMark/>
          </w:tcPr>
          <w:p w:rsidR="00D53D05" w:rsidRPr="00EA5C1E" w:rsidRDefault="00D53D05" w:rsidP="00EA5C1E">
            <w:pPr>
              <w:spacing w:after="0" w:line="240" w:lineRule="auto"/>
              <w:jc w:val="center"/>
              <w:rPr>
                <w:rFonts w:ascii="Times New Roman" w:hAnsi="Times New Roman"/>
                <w:b/>
                <w:sz w:val="20"/>
                <w:szCs w:val="20"/>
              </w:rPr>
            </w:pPr>
            <w:r w:rsidRPr="00EA5C1E">
              <w:rPr>
                <w:rFonts w:ascii="Times New Roman" w:hAnsi="Times New Roman"/>
                <w:b/>
                <w:sz w:val="20"/>
                <w:szCs w:val="20"/>
              </w:rPr>
              <w:t>178</w:t>
            </w:r>
          </w:p>
        </w:tc>
      </w:tr>
      <w:tr w:rsidR="00D53D05" w:rsidTr="00BC1477">
        <w:tc>
          <w:tcPr>
            <w:tcW w:w="54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both"/>
              <w:rPr>
                <w:rFonts w:ascii="Times New Roman" w:hAnsi="Times New Roman"/>
                <w:sz w:val="20"/>
                <w:szCs w:val="20"/>
              </w:rPr>
            </w:pPr>
            <w:r w:rsidRPr="00BC1477">
              <w:rPr>
                <w:rFonts w:ascii="Times New Roman" w:hAnsi="Times New Roman"/>
                <w:sz w:val="20"/>
                <w:szCs w:val="20"/>
              </w:rPr>
              <w:t>2</w:t>
            </w:r>
          </w:p>
        </w:tc>
        <w:tc>
          <w:tcPr>
            <w:tcW w:w="2259"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both"/>
              <w:rPr>
                <w:rFonts w:ascii="Times New Roman" w:hAnsi="Times New Roman"/>
                <w:sz w:val="20"/>
                <w:szCs w:val="20"/>
              </w:rPr>
            </w:pPr>
            <w:r w:rsidRPr="00BC1477">
              <w:rPr>
                <w:rFonts w:ascii="Times New Roman" w:hAnsi="Times New Roman"/>
                <w:sz w:val="20"/>
                <w:szCs w:val="20"/>
              </w:rPr>
              <w:t>RSP Krzywa</w:t>
            </w:r>
          </w:p>
        </w:tc>
        <w:tc>
          <w:tcPr>
            <w:tcW w:w="1446"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both"/>
              <w:rPr>
                <w:rFonts w:ascii="Times New Roman" w:hAnsi="Times New Roman"/>
                <w:sz w:val="20"/>
                <w:szCs w:val="20"/>
              </w:rPr>
            </w:pPr>
            <w:r w:rsidRPr="00BC1477">
              <w:rPr>
                <w:rFonts w:ascii="Times New Roman" w:hAnsi="Times New Roman"/>
                <w:sz w:val="20"/>
                <w:szCs w:val="20"/>
              </w:rPr>
              <w:t>podlaskie</w:t>
            </w:r>
          </w:p>
        </w:tc>
        <w:tc>
          <w:tcPr>
            <w:tcW w:w="630"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4</w:t>
            </w:r>
          </w:p>
        </w:tc>
        <w:tc>
          <w:tcPr>
            <w:tcW w:w="630"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93</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4</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71</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3</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73</w:t>
            </w:r>
          </w:p>
        </w:tc>
        <w:tc>
          <w:tcPr>
            <w:tcW w:w="603" w:type="dxa"/>
            <w:tcBorders>
              <w:top w:val="single" w:sz="4" w:space="0" w:color="auto"/>
              <w:left w:val="single" w:sz="4" w:space="0" w:color="auto"/>
              <w:bottom w:val="single" w:sz="4" w:space="0" w:color="auto"/>
              <w:right w:val="single" w:sz="4" w:space="0" w:color="auto"/>
            </w:tcBorders>
            <w:hideMark/>
          </w:tcPr>
          <w:p w:rsidR="00D53D05" w:rsidRPr="00EA5C1E" w:rsidRDefault="00D53D05" w:rsidP="00EA5C1E">
            <w:pPr>
              <w:spacing w:after="0" w:line="240" w:lineRule="auto"/>
              <w:jc w:val="both"/>
              <w:rPr>
                <w:rFonts w:ascii="Times New Roman" w:hAnsi="Times New Roman"/>
                <w:b/>
                <w:sz w:val="20"/>
                <w:szCs w:val="20"/>
              </w:rPr>
            </w:pPr>
            <w:r w:rsidRPr="00EA5C1E">
              <w:rPr>
                <w:rFonts w:ascii="Times New Roman" w:hAnsi="Times New Roman"/>
                <w:b/>
                <w:sz w:val="20"/>
                <w:szCs w:val="20"/>
              </w:rPr>
              <w:t>2</w:t>
            </w:r>
          </w:p>
        </w:tc>
        <w:tc>
          <w:tcPr>
            <w:tcW w:w="603" w:type="dxa"/>
            <w:tcBorders>
              <w:top w:val="single" w:sz="4" w:space="0" w:color="auto"/>
              <w:left w:val="single" w:sz="4" w:space="0" w:color="auto"/>
              <w:bottom w:val="single" w:sz="4" w:space="0" w:color="auto"/>
              <w:right w:val="single" w:sz="4" w:space="0" w:color="auto"/>
            </w:tcBorders>
            <w:hideMark/>
          </w:tcPr>
          <w:p w:rsidR="00D53D05" w:rsidRPr="00EA5C1E" w:rsidRDefault="00D53D05" w:rsidP="00EA5C1E">
            <w:pPr>
              <w:spacing w:after="0" w:line="240" w:lineRule="auto"/>
              <w:jc w:val="center"/>
              <w:rPr>
                <w:rFonts w:ascii="Times New Roman" w:hAnsi="Times New Roman"/>
                <w:b/>
                <w:sz w:val="20"/>
                <w:szCs w:val="20"/>
              </w:rPr>
            </w:pPr>
            <w:r w:rsidRPr="00EA5C1E">
              <w:rPr>
                <w:rFonts w:ascii="Times New Roman" w:hAnsi="Times New Roman"/>
                <w:b/>
                <w:sz w:val="20"/>
                <w:szCs w:val="20"/>
              </w:rPr>
              <w:t>237</w:t>
            </w:r>
          </w:p>
        </w:tc>
      </w:tr>
      <w:tr w:rsidR="00D53D05" w:rsidTr="00BC1477">
        <w:tc>
          <w:tcPr>
            <w:tcW w:w="54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both"/>
              <w:rPr>
                <w:rFonts w:ascii="Times New Roman" w:hAnsi="Times New Roman"/>
                <w:sz w:val="20"/>
                <w:szCs w:val="20"/>
              </w:rPr>
            </w:pPr>
            <w:r w:rsidRPr="00BC1477">
              <w:rPr>
                <w:rFonts w:ascii="Times New Roman" w:hAnsi="Times New Roman"/>
                <w:sz w:val="20"/>
                <w:szCs w:val="20"/>
              </w:rPr>
              <w:t>3</w:t>
            </w:r>
          </w:p>
        </w:tc>
        <w:tc>
          <w:tcPr>
            <w:tcW w:w="2259"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both"/>
              <w:rPr>
                <w:rFonts w:ascii="Times New Roman" w:hAnsi="Times New Roman"/>
                <w:sz w:val="20"/>
                <w:szCs w:val="20"/>
              </w:rPr>
            </w:pPr>
            <w:r w:rsidRPr="00BC1477">
              <w:rPr>
                <w:rFonts w:ascii="Times New Roman" w:hAnsi="Times New Roman"/>
                <w:sz w:val="20"/>
                <w:szCs w:val="20"/>
              </w:rPr>
              <w:t>SPR Wierzbnik</w:t>
            </w:r>
          </w:p>
        </w:tc>
        <w:tc>
          <w:tcPr>
            <w:tcW w:w="1446"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both"/>
              <w:rPr>
                <w:rFonts w:ascii="Times New Roman" w:hAnsi="Times New Roman"/>
                <w:sz w:val="20"/>
                <w:szCs w:val="20"/>
              </w:rPr>
            </w:pPr>
            <w:r w:rsidRPr="00BC1477">
              <w:rPr>
                <w:rFonts w:ascii="Times New Roman" w:hAnsi="Times New Roman"/>
                <w:sz w:val="20"/>
                <w:szCs w:val="20"/>
              </w:rPr>
              <w:t>opolskie</w:t>
            </w:r>
          </w:p>
        </w:tc>
        <w:tc>
          <w:tcPr>
            <w:tcW w:w="630"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8</w:t>
            </w:r>
          </w:p>
        </w:tc>
        <w:tc>
          <w:tcPr>
            <w:tcW w:w="630"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115</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3</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70</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2</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60</w:t>
            </w:r>
          </w:p>
        </w:tc>
        <w:tc>
          <w:tcPr>
            <w:tcW w:w="603" w:type="dxa"/>
            <w:tcBorders>
              <w:top w:val="single" w:sz="4" w:space="0" w:color="auto"/>
              <w:left w:val="single" w:sz="4" w:space="0" w:color="auto"/>
              <w:bottom w:val="single" w:sz="4" w:space="0" w:color="auto"/>
              <w:right w:val="single" w:sz="4" w:space="0" w:color="auto"/>
            </w:tcBorders>
            <w:hideMark/>
          </w:tcPr>
          <w:p w:rsidR="00D53D05" w:rsidRPr="00EA5C1E" w:rsidRDefault="00D53D05" w:rsidP="00EA5C1E">
            <w:pPr>
              <w:spacing w:after="0" w:line="240" w:lineRule="auto"/>
              <w:jc w:val="both"/>
              <w:rPr>
                <w:rFonts w:ascii="Times New Roman" w:hAnsi="Times New Roman"/>
                <w:b/>
                <w:sz w:val="20"/>
                <w:szCs w:val="20"/>
              </w:rPr>
            </w:pPr>
            <w:r w:rsidRPr="00EA5C1E">
              <w:rPr>
                <w:rFonts w:ascii="Times New Roman" w:hAnsi="Times New Roman"/>
                <w:b/>
                <w:sz w:val="20"/>
                <w:szCs w:val="20"/>
              </w:rPr>
              <w:t>3</w:t>
            </w:r>
          </w:p>
        </w:tc>
        <w:tc>
          <w:tcPr>
            <w:tcW w:w="603" w:type="dxa"/>
            <w:tcBorders>
              <w:top w:val="single" w:sz="4" w:space="0" w:color="auto"/>
              <w:left w:val="single" w:sz="4" w:space="0" w:color="auto"/>
              <w:bottom w:val="single" w:sz="4" w:space="0" w:color="auto"/>
              <w:right w:val="single" w:sz="4" w:space="0" w:color="auto"/>
            </w:tcBorders>
            <w:hideMark/>
          </w:tcPr>
          <w:p w:rsidR="00D53D05" w:rsidRPr="00EA5C1E" w:rsidRDefault="00D53D05" w:rsidP="00EA5C1E">
            <w:pPr>
              <w:spacing w:after="0" w:line="240" w:lineRule="auto"/>
              <w:jc w:val="center"/>
              <w:rPr>
                <w:rFonts w:ascii="Times New Roman" w:hAnsi="Times New Roman"/>
                <w:b/>
                <w:sz w:val="20"/>
                <w:szCs w:val="20"/>
              </w:rPr>
            </w:pPr>
            <w:r w:rsidRPr="00EA5C1E">
              <w:rPr>
                <w:rFonts w:ascii="Times New Roman" w:hAnsi="Times New Roman"/>
                <w:b/>
                <w:sz w:val="20"/>
                <w:szCs w:val="20"/>
              </w:rPr>
              <w:t>245</w:t>
            </w:r>
          </w:p>
        </w:tc>
      </w:tr>
      <w:tr w:rsidR="00D53D05" w:rsidTr="00BC1477">
        <w:tc>
          <w:tcPr>
            <w:tcW w:w="54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both"/>
              <w:rPr>
                <w:rFonts w:ascii="Times New Roman" w:hAnsi="Times New Roman"/>
                <w:sz w:val="20"/>
                <w:szCs w:val="20"/>
              </w:rPr>
            </w:pPr>
            <w:r w:rsidRPr="00BC1477">
              <w:rPr>
                <w:rFonts w:ascii="Times New Roman" w:hAnsi="Times New Roman"/>
                <w:sz w:val="20"/>
                <w:szCs w:val="20"/>
              </w:rPr>
              <w:t>4</w:t>
            </w:r>
          </w:p>
        </w:tc>
        <w:tc>
          <w:tcPr>
            <w:tcW w:w="2259"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both"/>
              <w:rPr>
                <w:rFonts w:ascii="Times New Roman" w:hAnsi="Times New Roman"/>
                <w:sz w:val="20"/>
                <w:szCs w:val="20"/>
              </w:rPr>
            </w:pPr>
            <w:r w:rsidRPr="00BC1477">
              <w:rPr>
                <w:rFonts w:ascii="Times New Roman" w:hAnsi="Times New Roman"/>
                <w:sz w:val="20"/>
                <w:szCs w:val="20"/>
              </w:rPr>
              <w:t>RSP Gronowice</w:t>
            </w:r>
          </w:p>
        </w:tc>
        <w:tc>
          <w:tcPr>
            <w:tcW w:w="1446"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both"/>
              <w:rPr>
                <w:rFonts w:ascii="Times New Roman" w:hAnsi="Times New Roman"/>
                <w:sz w:val="20"/>
                <w:szCs w:val="20"/>
              </w:rPr>
            </w:pPr>
            <w:r w:rsidRPr="00BC1477">
              <w:rPr>
                <w:rFonts w:ascii="Times New Roman" w:hAnsi="Times New Roman"/>
                <w:sz w:val="20"/>
                <w:szCs w:val="20"/>
              </w:rPr>
              <w:t>opolskie</w:t>
            </w:r>
          </w:p>
        </w:tc>
        <w:tc>
          <w:tcPr>
            <w:tcW w:w="630"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3</w:t>
            </w:r>
          </w:p>
        </w:tc>
        <w:tc>
          <w:tcPr>
            <w:tcW w:w="630"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83</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10</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123</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14</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134</w:t>
            </w:r>
          </w:p>
        </w:tc>
        <w:tc>
          <w:tcPr>
            <w:tcW w:w="603" w:type="dxa"/>
            <w:tcBorders>
              <w:top w:val="single" w:sz="4" w:space="0" w:color="auto"/>
              <w:left w:val="single" w:sz="4" w:space="0" w:color="auto"/>
              <w:bottom w:val="single" w:sz="4" w:space="0" w:color="auto"/>
              <w:right w:val="single" w:sz="4" w:space="0" w:color="auto"/>
            </w:tcBorders>
            <w:hideMark/>
          </w:tcPr>
          <w:p w:rsidR="00D53D05" w:rsidRPr="00EA5C1E" w:rsidRDefault="00D53D05" w:rsidP="00EA5C1E">
            <w:pPr>
              <w:spacing w:after="0" w:line="240" w:lineRule="auto"/>
              <w:jc w:val="both"/>
              <w:rPr>
                <w:rFonts w:ascii="Times New Roman" w:hAnsi="Times New Roman"/>
                <w:b/>
                <w:sz w:val="20"/>
                <w:szCs w:val="20"/>
              </w:rPr>
            </w:pPr>
            <w:r w:rsidRPr="00EA5C1E">
              <w:rPr>
                <w:rFonts w:ascii="Times New Roman" w:hAnsi="Times New Roman"/>
                <w:b/>
                <w:sz w:val="20"/>
                <w:szCs w:val="20"/>
              </w:rPr>
              <w:t>4</w:t>
            </w:r>
          </w:p>
        </w:tc>
        <w:tc>
          <w:tcPr>
            <w:tcW w:w="603" w:type="dxa"/>
            <w:tcBorders>
              <w:top w:val="single" w:sz="4" w:space="0" w:color="auto"/>
              <w:left w:val="single" w:sz="4" w:space="0" w:color="auto"/>
              <w:bottom w:val="single" w:sz="4" w:space="0" w:color="auto"/>
              <w:right w:val="single" w:sz="4" w:space="0" w:color="auto"/>
            </w:tcBorders>
            <w:hideMark/>
          </w:tcPr>
          <w:p w:rsidR="00D53D05" w:rsidRPr="00EA5C1E" w:rsidRDefault="00D53D05" w:rsidP="00EA5C1E">
            <w:pPr>
              <w:spacing w:after="0" w:line="240" w:lineRule="auto"/>
              <w:jc w:val="center"/>
              <w:rPr>
                <w:rFonts w:ascii="Times New Roman" w:hAnsi="Times New Roman"/>
                <w:b/>
                <w:sz w:val="20"/>
                <w:szCs w:val="20"/>
              </w:rPr>
            </w:pPr>
            <w:r w:rsidRPr="00EA5C1E">
              <w:rPr>
                <w:rFonts w:ascii="Times New Roman" w:hAnsi="Times New Roman"/>
                <w:b/>
                <w:sz w:val="20"/>
                <w:szCs w:val="20"/>
              </w:rPr>
              <w:t>340</w:t>
            </w:r>
          </w:p>
        </w:tc>
      </w:tr>
      <w:tr w:rsidR="00D53D05" w:rsidTr="00BC1477">
        <w:tc>
          <w:tcPr>
            <w:tcW w:w="54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both"/>
              <w:rPr>
                <w:rFonts w:ascii="Times New Roman" w:hAnsi="Times New Roman"/>
                <w:sz w:val="20"/>
                <w:szCs w:val="20"/>
              </w:rPr>
            </w:pPr>
            <w:r w:rsidRPr="00BC1477">
              <w:rPr>
                <w:rFonts w:ascii="Times New Roman" w:hAnsi="Times New Roman"/>
                <w:sz w:val="20"/>
                <w:szCs w:val="20"/>
              </w:rPr>
              <w:t>5</w:t>
            </w:r>
          </w:p>
        </w:tc>
        <w:tc>
          <w:tcPr>
            <w:tcW w:w="2259"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both"/>
              <w:rPr>
                <w:rFonts w:ascii="Times New Roman" w:hAnsi="Times New Roman"/>
                <w:sz w:val="20"/>
                <w:szCs w:val="20"/>
              </w:rPr>
            </w:pPr>
            <w:r w:rsidRPr="00BC1477">
              <w:rPr>
                <w:rFonts w:ascii="Times New Roman" w:hAnsi="Times New Roman"/>
                <w:sz w:val="20"/>
                <w:szCs w:val="20"/>
              </w:rPr>
              <w:t>RSP Kujakowice Górne</w:t>
            </w:r>
          </w:p>
        </w:tc>
        <w:tc>
          <w:tcPr>
            <w:tcW w:w="1446"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both"/>
              <w:rPr>
                <w:rFonts w:ascii="Times New Roman" w:hAnsi="Times New Roman"/>
                <w:sz w:val="20"/>
                <w:szCs w:val="20"/>
              </w:rPr>
            </w:pPr>
            <w:r w:rsidRPr="00BC1477">
              <w:rPr>
                <w:rFonts w:ascii="Times New Roman" w:hAnsi="Times New Roman"/>
                <w:sz w:val="20"/>
                <w:szCs w:val="20"/>
              </w:rPr>
              <w:t>opolskie</w:t>
            </w:r>
          </w:p>
        </w:tc>
        <w:tc>
          <w:tcPr>
            <w:tcW w:w="630"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1</w:t>
            </w:r>
          </w:p>
        </w:tc>
        <w:tc>
          <w:tcPr>
            <w:tcW w:w="630"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51</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13</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142</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18</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159</w:t>
            </w:r>
          </w:p>
        </w:tc>
        <w:tc>
          <w:tcPr>
            <w:tcW w:w="603" w:type="dxa"/>
            <w:tcBorders>
              <w:top w:val="single" w:sz="4" w:space="0" w:color="auto"/>
              <w:left w:val="single" w:sz="4" w:space="0" w:color="auto"/>
              <w:bottom w:val="single" w:sz="4" w:space="0" w:color="auto"/>
              <w:right w:val="single" w:sz="4" w:space="0" w:color="auto"/>
            </w:tcBorders>
            <w:hideMark/>
          </w:tcPr>
          <w:p w:rsidR="00D53D05" w:rsidRPr="00EA5C1E" w:rsidRDefault="00D53D05" w:rsidP="00EA5C1E">
            <w:pPr>
              <w:spacing w:after="0" w:line="240" w:lineRule="auto"/>
              <w:jc w:val="both"/>
              <w:rPr>
                <w:rFonts w:ascii="Times New Roman" w:hAnsi="Times New Roman"/>
                <w:b/>
                <w:sz w:val="20"/>
                <w:szCs w:val="20"/>
              </w:rPr>
            </w:pPr>
            <w:r w:rsidRPr="00EA5C1E">
              <w:rPr>
                <w:rFonts w:ascii="Times New Roman" w:hAnsi="Times New Roman"/>
                <w:b/>
                <w:sz w:val="20"/>
                <w:szCs w:val="20"/>
              </w:rPr>
              <w:t>5</w:t>
            </w:r>
          </w:p>
        </w:tc>
        <w:tc>
          <w:tcPr>
            <w:tcW w:w="603" w:type="dxa"/>
            <w:tcBorders>
              <w:top w:val="single" w:sz="4" w:space="0" w:color="auto"/>
              <w:left w:val="single" w:sz="4" w:space="0" w:color="auto"/>
              <w:bottom w:val="single" w:sz="4" w:space="0" w:color="auto"/>
              <w:right w:val="single" w:sz="4" w:space="0" w:color="auto"/>
            </w:tcBorders>
            <w:hideMark/>
          </w:tcPr>
          <w:p w:rsidR="00D53D05" w:rsidRPr="00EA5C1E" w:rsidRDefault="00D53D05" w:rsidP="00EA5C1E">
            <w:pPr>
              <w:spacing w:after="0" w:line="240" w:lineRule="auto"/>
              <w:jc w:val="center"/>
              <w:rPr>
                <w:rFonts w:ascii="Times New Roman" w:hAnsi="Times New Roman"/>
                <w:b/>
                <w:sz w:val="20"/>
                <w:szCs w:val="20"/>
              </w:rPr>
            </w:pPr>
            <w:r w:rsidRPr="00EA5C1E">
              <w:rPr>
                <w:rFonts w:ascii="Times New Roman" w:hAnsi="Times New Roman"/>
                <w:b/>
                <w:sz w:val="20"/>
                <w:szCs w:val="20"/>
              </w:rPr>
              <w:t>352</w:t>
            </w:r>
          </w:p>
        </w:tc>
      </w:tr>
      <w:tr w:rsidR="00D53D05" w:rsidTr="00BC1477">
        <w:tc>
          <w:tcPr>
            <w:tcW w:w="54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both"/>
              <w:rPr>
                <w:rFonts w:ascii="Times New Roman" w:hAnsi="Times New Roman"/>
                <w:sz w:val="20"/>
                <w:szCs w:val="20"/>
              </w:rPr>
            </w:pPr>
            <w:r w:rsidRPr="00BC1477">
              <w:rPr>
                <w:rFonts w:ascii="Times New Roman" w:hAnsi="Times New Roman"/>
                <w:sz w:val="20"/>
                <w:szCs w:val="20"/>
              </w:rPr>
              <w:t>6</w:t>
            </w:r>
          </w:p>
        </w:tc>
        <w:tc>
          <w:tcPr>
            <w:tcW w:w="2259"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both"/>
              <w:rPr>
                <w:rFonts w:ascii="Times New Roman" w:hAnsi="Times New Roman"/>
                <w:sz w:val="20"/>
                <w:szCs w:val="20"/>
              </w:rPr>
            </w:pPr>
            <w:r w:rsidRPr="00BC1477">
              <w:rPr>
                <w:rFonts w:ascii="Times New Roman" w:hAnsi="Times New Roman"/>
                <w:sz w:val="20"/>
                <w:szCs w:val="20"/>
              </w:rPr>
              <w:t xml:space="preserve">RKS </w:t>
            </w:r>
            <w:proofErr w:type="spellStart"/>
            <w:r w:rsidRPr="00BC1477">
              <w:rPr>
                <w:rFonts w:ascii="Times New Roman" w:hAnsi="Times New Roman"/>
                <w:sz w:val="20"/>
                <w:szCs w:val="20"/>
              </w:rPr>
              <w:t>Bądecz</w:t>
            </w:r>
            <w:proofErr w:type="spellEnd"/>
          </w:p>
        </w:tc>
        <w:tc>
          <w:tcPr>
            <w:tcW w:w="1446"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both"/>
              <w:rPr>
                <w:rFonts w:ascii="Times New Roman" w:hAnsi="Times New Roman"/>
                <w:sz w:val="20"/>
                <w:szCs w:val="20"/>
              </w:rPr>
            </w:pPr>
            <w:r w:rsidRPr="00BC1477">
              <w:rPr>
                <w:rFonts w:ascii="Times New Roman" w:hAnsi="Times New Roman"/>
                <w:sz w:val="20"/>
                <w:szCs w:val="20"/>
              </w:rPr>
              <w:t>wiel</w:t>
            </w:r>
            <w:r w:rsidR="00430FF7">
              <w:rPr>
                <w:rFonts w:ascii="Times New Roman" w:hAnsi="Times New Roman"/>
                <w:sz w:val="20"/>
                <w:szCs w:val="20"/>
              </w:rPr>
              <w:t>ko</w:t>
            </w:r>
            <w:r w:rsidRPr="00BC1477">
              <w:rPr>
                <w:rFonts w:ascii="Times New Roman" w:hAnsi="Times New Roman"/>
                <w:sz w:val="20"/>
                <w:szCs w:val="20"/>
              </w:rPr>
              <w:t>pol</w:t>
            </w:r>
            <w:r w:rsidR="00430FF7">
              <w:rPr>
                <w:rFonts w:ascii="Times New Roman" w:hAnsi="Times New Roman"/>
                <w:sz w:val="20"/>
                <w:szCs w:val="20"/>
              </w:rPr>
              <w:t>skie</w:t>
            </w:r>
          </w:p>
        </w:tc>
        <w:tc>
          <w:tcPr>
            <w:tcW w:w="630"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11</w:t>
            </w:r>
          </w:p>
        </w:tc>
        <w:tc>
          <w:tcPr>
            <w:tcW w:w="630"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122</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9</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103</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22</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163</w:t>
            </w:r>
          </w:p>
        </w:tc>
        <w:tc>
          <w:tcPr>
            <w:tcW w:w="603" w:type="dxa"/>
            <w:tcBorders>
              <w:top w:val="single" w:sz="4" w:space="0" w:color="auto"/>
              <w:left w:val="single" w:sz="4" w:space="0" w:color="auto"/>
              <w:bottom w:val="single" w:sz="4" w:space="0" w:color="auto"/>
              <w:right w:val="single" w:sz="4" w:space="0" w:color="auto"/>
            </w:tcBorders>
            <w:hideMark/>
          </w:tcPr>
          <w:p w:rsidR="00D53D05" w:rsidRPr="00EA5C1E" w:rsidRDefault="00D53D05" w:rsidP="00EA5C1E">
            <w:pPr>
              <w:spacing w:after="0" w:line="240" w:lineRule="auto"/>
              <w:jc w:val="both"/>
              <w:rPr>
                <w:rFonts w:ascii="Times New Roman" w:hAnsi="Times New Roman"/>
                <w:b/>
                <w:sz w:val="20"/>
                <w:szCs w:val="20"/>
              </w:rPr>
            </w:pPr>
            <w:r w:rsidRPr="00EA5C1E">
              <w:rPr>
                <w:rFonts w:ascii="Times New Roman" w:hAnsi="Times New Roman"/>
                <w:b/>
                <w:sz w:val="20"/>
                <w:szCs w:val="20"/>
              </w:rPr>
              <w:t>6</w:t>
            </w:r>
          </w:p>
        </w:tc>
        <w:tc>
          <w:tcPr>
            <w:tcW w:w="603" w:type="dxa"/>
            <w:tcBorders>
              <w:top w:val="single" w:sz="4" w:space="0" w:color="auto"/>
              <w:left w:val="single" w:sz="4" w:space="0" w:color="auto"/>
              <w:bottom w:val="single" w:sz="4" w:space="0" w:color="auto"/>
              <w:right w:val="single" w:sz="4" w:space="0" w:color="auto"/>
            </w:tcBorders>
            <w:hideMark/>
          </w:tcPr>
          <w:p w:rsidR="00D53D05" w:rsidRPr="00EA5C1E" w:rsidRDefault="00D53D05" w:rsidP="00EA5C1E">
            <w:pPr>
              <w:spacing w:after="0" w:line="240" w:lineRule="auto"/>
              <w:jc w:val="center"/>
              <w:rPr>
                <w:rFonts w:ascii="Times New Roman" w:hAnsi="Times New Roman"/>
                <w:b/>
                <w:sz w:val="20"/>
                <w:szCs w:val="20"/>
              </w:rPr>
            </w:pPr>
            <w:r w:rsidRPr="00EA5C1E">
              <w:rPr>
                <w:rFonts w:ascii="Times New Roman" w:hAnsi="Times New Roman"/>
                <w:b/>
                <w:sz w:val="20"/>
                <w:szCs w:val="20"/>
              </w:rPr>
              <w:t>388</w:t>
            </w:r>
          </w:p>
        </w:tc>
      </w:tr>
      <w:tr w:rsidR="00D53D05" w:rsidTr="00BC1477">
        <w:tc>
          <w:tcPr>
            <w:tcW w:w="54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both"/>
              <w:rPr>
                <w:rFonts w:ascii="Times New Roman" w:hAnsi="Times New Roman"/>
                <w:sz w:val="20"/>
                <w:szCs w:val="20"/>
              </w:rPr>
            </w:pPr>
            <w:r w:rsidRPr="00BC1477">
              <w:rPr>
                <w:rFonts w:ascii="Times New Roman" w:hAnsi="Times New Roman"/>
                <w:sz w:val="20"/>
                <w:szCs w:val="20"/>
              </w:rPr>
              <w:t>7</w:t>
            </w:r>
          </w:p>
        </w:tc>
        <w:tc>
          <w:tcPr>
            <w:tcW w:w="2259"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both"/>
              <w:rPr>
                <w:rFonts w:ascii="Times New Roman" w:hAnsi="Times New Roman"/>
                <w:sz w:val="20"/>
                <w:szCs w:val="20"/>
              </w:rPr>
            </w:pPr>
            <w:r w:rsidRPr="00BC1477">
              <w:rPr>
                <w:rFonts w:ascii="Times New Roman" w:hAnsi="Times New Roman"/>
                <w:sz w:val="20"/>
                <w:szCs w:val="20"/>
              </w:rPr>
              <w:t>RSP Rusocin</w:t>
            </w:r>
          </w:p>
        </w:tc>
        <w:tc>
          <w:tcPr>
            <w:tcW w:w="1446"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both"/>
              <w:rPr>
                <w:rFonts w:ascii="Times New Roman" w:hAnsi="Times New Roman"/>
                <w:sz w:val="20"/>
                <w:szCs w:val="20"/>
              </w:rPr>
            </w:pPr>
            <w:r w:rsidRPr="00BC1477">
              <w:rPr>
                <w:rFonts w:ascii="Times New Roman" w:hAnsi="Times New Roman"/>
                <w:sz w:val="20"/>
                <w:szCs w:val="20"/>
              </w:rPr>
              <w:t>opolskie</w:t>
            </w:r>
          </w:p>
        </w:tc>
        <w:tc>
          <w:tcPr>
            <w:tcW w:w="630"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18</w:t>
            </w:r>
          </w:p>
        </w:tc>
        <w:tc>
          <w:tcPr>
            <w:tcW w:w="630"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150</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12</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137</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11</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122</w:t>
            </w:r>
          </w:p>
        </w:tc>
        <w:tc>
          <w:tcPr>
            <w:tcW w:w="603" w:type="dxa"/>
            <w:tcBorders>
              <w:top w:val="single" w:sz="4" w:space="0" w:color="auto"/>
              <w:left w:val="single" w:sz="4" w:space="0" w:color="auto"/>
              <w:bottom w:val="single" w:sz="4" w:space="0" w:color="auto"/>
              <w:right w:val="single" w:sz="4" w:space="0" w:color="auto"/>
            </w:tcBorders>
            <w:hideMark/>
          </w:tcPr>
          <w:p w:rsidR="00D53D05" w:rsidRPr="00EA5C1E" w:rsidRDefault="00D53D05" w:rsidP="00EA5C1E">
            <w:pPr>
              <w:spacing w:after="0" w:line="240" w:lineRule="auto"/>
              <w:jc w:val="both"/>
              <w:rPr>
                <w:rFonts w:ascii="Times New Roman" w:hAnsi="Times New Roman"/>
                <w:b/>
                <w:sz w:val="20"/>
                <w:szCs w:val="20"/>
              </w:rPr>
            </w:pPr>
            <w:r w:rsidRPr="00EA5C1E">
              <w:rPr>
                <w:rFonts w:ascii="Times New Roman" w:hAnsi="Times New Roman"/>
                <w:b/>
                <w:sz w:val="20"/>
                <w:szCs w:val="20"/>
              </w:rPr>
              <w:t>7</w:t>
            </w:r>
          </w:p>
        </w:tc>
        <w:tc>
          <w:tcPr>
            <w:tcW w:w="603" w:type="dxa"/>
            <w:tcBorders>
              <w:top w:val="single" w:sz="4" w:space="0" w:color="auto"/>
              <w:left w:val="single" w:sz="4" w:space="0" w:color="auto"/>
              <w:bottom w:val="single" w:sz="4" w:space="0" w:color="auto"/>
              <w:right w:val="single" w:sz="4" w:space="0" w:color="auto"/>
            </w:tcBorders>
            <w:hideMark/>
          </w:tcPr>
          <w:p w:rsidR="00D53D05" w:rsidRPr="00EA5C1E" w:rsidRDefault="00D53D05" w:rsidP="00EA5C1E">
            <w:pPr>
              <w:spacing w:after="0" w:line="240" w:lineRule="auto"/>
              <w:jc w:val="center"/>
              <w:rPr>
                <w:rFonts w:ascii="Times New Roman" w:hAnsi="Times New Roman"/>
                <w:b/>
                <w:sz w:val="20"/>
                <w:szCs w:val="20"/>
              </w:rPr>
            </w:pPr>
            <w:r w:rsidRPr="00EA5C1E">
              <w:rPr>
                <w:rFonts w:ascii="Times New Roman" w:hAnsi="Times New Roman"/>
                <w:b/>
                <w:sz w:val="20"/>
                <w:szCs w:val="20"/>
              </w:rPr>
              <w:t>409</w:t>
            </w:r>
          </w:p>
        </w:tc>
      </w:tr>
      <w:tr w:rsidR="00D53D05" w:rsidTr="00BC1477">
        <w:tc>
          <w:tcPr>
            <w:tcW w:w="54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both"/>
              <w:rPr>
                <w:rFonts w:ascii="Times New Roman" w:hAnsi="Times New Roman"/>
                <w:sz w:val="20"/>
                <w:szCs w:val="20"/>
              </w:rPr>
            </w:pPr>
            <w:r w:rsidRPr="00BC1477">
              <w:rPr>
                <w:rFonts w:ascii="Times New Roman" w:hAnsi="Times New Roman"/>
                <w:sz w:val="20"/>
                <w:szCs w:val="20"/>
              </w:rPr>
              <w:t>8</w:t>
            </w:r>
          </w:p>
        </w:tc>
        <w:tc>
          <w:tcPr>
            <w:tcW w:w="2259"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both"/>
              <w:rPr>
                <w:rFonts w:ascii="Times New Roman" w:hAnsi="Times New Roman"/>
                <w:sz w:val="20"/>
                <w:szCs w:val="20"/>
              </w:rPr>
            </w:pPr>
            <w:r w:rsidRPr="00BC1477">
              <w:rPr>
                <w:rFonts w:ascii="Times New Roman" w:hAnsi="Times New Roman"/>
                <w:sz w:val="20"/>
                <w:szCs w:val="20"/>
              </w:rPr>
              <w:t>RSP Wydrowice</w:t>
            </w:r>
          </w:p>
        </w:tc>
        <w:tc>
          <w:tcPr>
            <w:tcW w:w="1446"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both"/>
              <w:rPr>
                <w:rFonts w:ascii="Times New Roman" w:hAnsi="Times New Roman"/>
                <w:sz w:val="20"/>
                <w:szCs w:val="20"/>
              </w:rPr>
            </w:pPr>
            <w:r w:rsidRPr="00BC1477">
              <w:rPr>
                <w:rFonts w:ascii="Times New Roman" w:hAnsi="Times New Roman"/>
                <w:sz w:val="20"/>
                <w:szCs w:val="20"/>
              </w:rPr>
              <w:t xml:space="preserve">opolskie </w:t>
            </w:r>
          </w:p>
        </w:tc>
        <w:tc>
          <w:tcPr>
            <w:tcW w:w="630"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19</w:t>
            </w:r>
          </w:p>
        </w:tc>
        <w:tc>
          <w:tcPr>
            <w:tcW w:w="630"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154</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23</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187</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4</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76</w:t>
            </w:r>
          </w:p>
        </w:tc>
        <w:tc>
          <w:tcPr>
            <w:tcW w:w="603" w:type="dxa"/>
            <w:tcBorders>
              <w:top w:val="single" w:sz="4" w:space="0" w:color="auto"/>
              <w:left w:val="single" w:sz="4" w:space="0" w:color="auto"/>
              <w:bottom w:val="single" w:sz="4" w:space="0" w:color="auto"/>
              <w:right w:val="single" w:sz="4" w:space="0" w:color="auto"/>
            </w:tcBorders>
            <w:hideMark/>
          </w:tcPr>
          <w:p w:rsidR="00D53D05" w:rsidRPr="00EA5C1E" w:rsidRDefault="00D53D05" w:rsidP="00EA5C1E">
            <w:pPr>
              <w:spacing w:after="0" w:line="240" w:lineRule="auto"/>
              <w:jc w:val="both"/>
              <w:rPr>
                <w:rFonts w:ascii="Times New Roman" w:hAnsi="Times New Roman"/>
                <w:b/>
                <w:sz w:val="20"/>
                <w:szCs w:val="20"/>
              </w:rPr>
            </w:pPr>
            <w:r w:rsidRPr="00EA5C1E">
              <w:rPr>
                <w:rFonts w:ascii="Times New Roman" w:hAnsi="Times New Roman"/>
                <w:b/>
                <w:sz w:val="20"/>
                <w:szCs w:val="20"/>
              </w:rPr>
              <w:t>8</w:t>
            </w:r>
          </w:p>
        </w:tc>
        <w:tc>
          <w:tcPr>
            <w:tcW w:w="603" w:type="dxa"/>
            <w:tcBorders>
              <w:top w:val="single" w:sz="4" w:space="0" w:color="auto"/>
              <w:left w:val="single" w:sz="4" w:space="0" w:color="auto"/>
              <w:bottom w:val="single" w:sz="4" w:space="0" w:color="auto"/>
              <w:right w:val="single" w:sz="4" w:space="0" w:color="auto"/>
            </w:tcBorders>
            <w:hideMark/>
          </w:tcPr>
          <w:p w:rsidR="00D53D05" w:rsidRPr="00EA5C1E" w:rsidRDefault="00D53D05" w:rsidP="00EA5C1E">
            <w:pPr>
              <w:spacing w:after="0" w:line="240" w:lineRule="auto"/>
              <w:jc w:val="center"/>
              <w:rPr>
                <w:rFonts w:ascii="Times New Roman" w:hAnsi="Times New Roman"/>
                <w:b/>
                <w:sz w:val="20"/>
                <w:szCs w:val="20"/>
              </w:rPr>
            </w:pPr>
            <w:r w:rsidRPr="00EA5C1E">
              <w:rPr>
                <w:rFonts w:ascii="Times New Roman" w:hAnsi="Times New Roman"/>
                <w:b/>
                <w:sz w:val="20"/>
                <w:szCs w:val="20"/>
              </w:rPr>
              <w:t>417</w:t>
            </w:r>
          </w:p>
        </w:tc>
      </w:tr>
      <w:tr w:rsidR="00D53D05" w:rsidTr="00BC1477">
        <w:tc>
          <w:tcPr>
            <w:tcW w:w="54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both"/>
              <w:rPr>
                <w:rFonts w:ascii="Times New Roman" w:hAnsi="Times New Roman"/>
                <w:sz w:val="20"/>
                <w:szCs w:val="20"/>
              </w:rPr>
            </w:pPr>
            <w:r w:rsidRPr="00BC1477">
              <w:rPr>
                <w:rFonts w:ascii="Times New Roman" w:hAnsi="Times New Roman"/>
                <w:sz w:val="20"/>
                <w:szCs w:val="20"/>
              </w:rPr>
              <w:t>9</w:t>
            </w:r>
          </w:p>
        </w:tc>
        <w:tc>
          <w:tcPr>
            <w:tcW w:w="2259"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both"/>
              <w:rPr>
                <w:rFonts w:ascii="Times New Roman" w:hAnsi="Times New Roman"/>
                <w:sz w:val="20"/>
                <w:szCs w:val="20"/>
              </w:rPr>
            </w:pPr>
            <w:r w:rsidRPr="00BC1477">
              <w:rPr>
                <w:rFonts w:ascii="Times New Roman" w:hAnsi="Times New Roman"/>
                <w:sz w:val="20"/>
                <w:szCs w:val="20"/>
              </w:rPr>
              <w:t>RSP Ponięcice</w:t>
            </w:r>
          </w:p>
        </w:tc>
        <w:tc>
          <w:tcPr>
            <w:tcW w:w="1446"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both"/>
              <w:rPr>
                <w:rFonts w:ascii="Times New Roman" w:hAnsi="Times New Roman"/>
                <w:sz w:val="20"/>
                <w:szCs w:val="20"/>
              </w:rPr>
            </w:pPr>
            <w:r w:rsidRPr="00BC1477">
              <w:rPr>
                <w:rFonts w:ascii="Times New Roman" w:hAnsi="Times New Roman"/>
                <w:sz w:val="20"/>
                <w:szCs w:val="20"/>
              </w:rPr>
              <w:t>śląskie</w:t>
            </w:r>
          </w:p>
        </w:tc>
        <w:tc>
          <w:tcPr>
            <w:tcW w:w="630"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14</w:t>
            </w:r>
          </w:p>
        </w:tc>
        <w:tc>
          <w:tcPr>
            <w:tcW w:w="630"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140</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21</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171</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9</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109</w:t>
            </w:r>
          </w:p>
        </w:tc>
        <w:tc>
          <w:tcPr>
            <w:tcW w:w="603" w:type="dxa"/>
            <w:tcBorders>
              <w:top w:val="single" w:sz="4" w:space="0" w:color="auto"/>
              <w:left w:val="single" w:sz="4" w:space="0" w:color="auto"/>
              <w:bottom w:val="single" w:sz="4" w:space="0" w:color="auto"/>
              <w:right w:val="single" w:sz="4" w:space="0" w:color="auto"/>
            </w:tcBorders>
            <w:hideMark/>
          </w:tcPr>
          <w:p w:rsidR="00D53D05" w:rsidRPr="00EA5C1E" w:rsidRDefault="00D53D05" w:rsidP="00EA5C1E">
            <w:pPr>
              <w:spacing w:after="0" w:line="240" w:lineRule="auto"/>
              <w:jc w:val="both"/>
              <w:rPr>
                <w:rFonts w:ascii="Times New Roman" w:hAnsi="Times New Roman"/>
                <w:b/>
                <w:sz w:val="20"/>
                <w:szCs w:val="20"/>
              </w:rPr>
            </w:pPr>
            <w:r w:rsidRPr="00EA5C1E">
              <w:rPr>
                <w:rFonts w:ascii="Times New Roman" w:hAnsi="Times New Roman"/>
                <w:b/>
                <w:sz w:val="20"/>
                <w:szCs w:val="20"/>
              </w:rPr>
              <w:t>9</w:t>
            </w:r>
          </w:p>
        </w:tc>
        <w:tc>
          <w:tcPr>
            <w:tcW w:w="603" w:type="dxa"/>
            <w:tcBorders>
              <w:top w:val="single" w:sz="4" w:space="0" w:color="auto"/>
              <w:left w:val="single" w:sz="4" w:space="0" w:color="auto"/>
              <w:bottom w:val="single" w:sz="4" w:space="0" w:color="auto"/>
              <w:right w:val="single" w:sz="4" w:space="0" w:color="auto"/>
            </w:tcBorders>
            <w:hideMark/>
          </w:tcPr>
          <w:p w:rsidR="00D53D05" w:rsidRPr="00EA5C1E" w:rsidRDefault="00D53D05" w:rsidP="00EA5C1E">
            <w:pPr>
              <w:spacing w:after="0" w:line="240" w:lineRule="auto"/>
              <w:jc w:val="center"/>
              <w:rPr>
                <w:rFonts w:ascii="Times New Roman" w:hAnsi="Times New Roman"/>
                <w:b/>
                <w:sz w:val="20"/>
                <w:szCs w:val="20"/>
              </w:rPr>
            </w:pPr>
            <w:r w:rsidRPr="00EA5C1E">
              <w:rPr>
                <w:rFonts w:ascii="Times New Roman" w:hAnsi="Times New Roman"/>
                <w:b/>
                <w:sz w:val="20"/>
                <w:szCs w:val="20"/>
              </w:rPr>
              <w:t>420</w:t>
            </w:r>
          </w:p>
        </w:tc>
      </w:tr>
      <w:tr w:rsidR="00D53D05" w:rsidTr="00BC1477">
        <w:tc>
          <w:tcPr>
            <w:tcW w:w="54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both"/>
              <w:rPr>
                <w:rFonts w:ascii="Times New Roman" w:hAnsi="Times New Roman"/>
                <w:sz w:val="20"/>
                <w:szCs w:val="20"/>
              </w:rPr>
            </w:pPr>
            <w:r w:rsidRPr="00BC1477">
              <w:rPr>
                <w:rFonts w:ascii="Times New Roman" w:hAnsi="Times New Roman"/>
                <w:sz w:val="20"/>
                <w:szCs w:val="20"/>
              </w:rPr>
              <w:t>10</w:t>
            </w:r>
          </w:p>
        </w:tc>
        <w:tc>
          <w:tcPr>
            <w:tcW w:w="2259"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both"/>
              <w:rPr>
                <w:rFonts w:ascii="Times New Roman" w:hAnsi="Times New Roman"/>
                <w:sz w:val="20"/>
                <w:szCs w:val="20"/>
              </w:rPr>
            </w:pPr>
            <w:r w:rsidRPr="00BC1477">
              <w:rPr>
                <w:rFonts w:ascii="Times New Roman" w:hAnsi="Times New Roman"/>
                <w:sz w:val="20"/>
                <w:szCs w:val="20"/>
              </w:rPr>
              <w:t>RSP Maniów Wielki</w:t>
            </w:r>
          </w:p>
        </w:tc>
        <w:tc>
          <w:tcPr>
            <w:tcW w:w="1446" w:type="dxa"/>
            <w:tcBorders>
              <w:top w:val="single" w:sz="4" w:space="0" w:color="auto"/>
              <w:left w:val="single" w:sz="4" w:space="0" w:color="auto"/>
              <w:bottom w:val="single" w:sz="4" w:space="0" w:color="auto"/>
              <w:right w:val="single" w:sz="4" w:space="0" w:color="auto"/>
            </w:tcBorders>
            <w:hideMark/>
          </w:tcPr>
          <w:p w:rsidR="00D53D05" w:rsidRPr="00BC1477" w:rsidRDefault="00430FF7" w:rsidP="00EA5C1E">
            <w:pPr>
              <w:spacing w:after="0" w:line="240" w:lineRule="auto"/>
              <w:jc w:val="both"/>
              <w:rPr>
                <w:rFonts w:ascii="Times New Roman" w:hAnsi="Times New Roman"/>
                <w:sz w:val="20"/>
                <w:szCs w:val="20"/>
              </w:rPr>
            </w:pPr>
            <w:r>
              <w:rPr>
                <w:rFonts w:ascii="Times New Roman" w:hAnsi="Times New Roman"/>
                <w:sz w:val="20"/>
                <w:szCs w:val="20"/>
              </w:rPr>
              <w:t>dolnośląskie</w:t>
            </w:r>
          </w:p>
        </w:tc>
        <w:tc>
          <w:tcPr>
            <w:tcW w:w="630"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34</w:t>
            </w:r>
          </w:p>
        </w:tc>
        <w:tc>
          <w:tcPr>
            <w:tcW w:w="630"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229</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7</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99</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10</w:t>
            </w:r>
          </w:p>
        </w:tc>
        <w:tc>
          <w:tcPr>
            <w:tcW w:w="603" w:type="dxa"/>
            <w:tcBorders>
              <w:top w:val="single" w:sz="4" w:space="0" w:color="auto"/>
              <w:left w:val="single" w:sz="4" w:space="0" w:color="auto"/>
              <w:bottom w:val="single" w:sz="4" w:space="0" w:color="auto"/>
              <w:right w:val="single" w:sz="4" w:space="0" w:color="auto"/>
            </w:tcBorders>
            <w:hideMark/>
          </w:tcPr>
          <w:p w:rsidR="00D53D05" w:rsidRPr="00BC1477" w:rsidRDefault="00D53D05" w:rsidP="00EA5C1E">
            <w:pPr>
              <w:spacing w:after="0" w:line="240" w:lineRule="auto"/>
              <w:jc w:val="center"/>
              <w:rPr>
                <w:rFonts w:ascii="Times New Roman" w:hAnsi="Times New Roman"/>
                <w:sz w:val="20"/>
                <w:szCs w:val="20"/>
              </w:rPr>
            </w:pPr>
            <w:r w:rsidRPr="00BC1477">
              <w:rPr>
                <w:rFonts w:ascii="Times New Roman" w:hAnsi="Times New Roman"/>
                <w:sz w:val="20"/>
                <w:szCs w:val="20"/>
              </w:rPr>
              <w:t>113</w:t>
            </w:r>
          </w:p>
        </w:tc>
        <w:tc>
          <w:tcPr>
            <w:tcW w:w="603" w:type="dxa"/>
            <w:tcBorders>
              <w:top w:val="single" w:sz="4" w:space="0" w:color="auto"/>
              <w:left w:val="single" w:sz="4" w:space="0" w:color="auto"/>
              <w:bottom w:val="single" w:sz="4" w:space="0" w:color="auto"/>
              <w:right w:val="single" w:sz="4" w:space="0" w:color="auto"/>
            </w:tcBorders>
            <w:hideMark/>
          </w:tcPr>
          <w:p w:rsidR="00D53D05" w:rsidRPr="00EA5C1E" w:rsidRDefault="00D53D05" w:rsidP="00EA5C1E">
            <w:pPr>
              <w:spacing w:after="0" w:line="240" w:lineRule="auto"/>
              <w:jc w:val="both"/>
              <w:rPr>
                <w:rFonts w:ascii="Times New Roman" w:hAnsi="Times New Roman"/>
                <w:b/>
                <w:sz w:val="20"/>
                <w:szCs w:val="20"/>
              </w:rPr>
            </w:pPr>
            <w:r w:rsidRPr="00EA5C1E">
              <w:rPr>
                <w:rFonts w:ascii="Times New Roman" w:hAnsi="Times New Roman"/>
                <w:b/>
                <w:sz w:val="20"/>
                <w:szCs w:val="20"/>
              </w:rPr>
              <w:t>10</w:t>
            </w:r>
          </w:p>
        </w:tc>
        <w:tc>
          <w:tcPr>
            <w:tcW w:w="603" w:type="dxa"/>
            <w:tcBorders>
              <w:top w:val="single" w:sz="4" w:space="0" w:color="auto"/>
              <w:left w:val="single" w:sz="4" w:space="0" w:color="auto"/>
              <w:bottom w:val="single" w:sz="4" w:space="0" w:color="auto"/>
              <w:right w:val="single" w:sz="4" w:space="0" w:color="auto"/>
            </w:tcBorders>
            <w:hideMark/>
          </w:tcPr>
          <w:p w:rsidR="00D53D05" w:rsidRPr="00EA5C1E" w:rsidRDefault="00D53D05" w:rsidP="00EA5C1E">
            <w:pPr>
              <w:spacing w:after="0" w:line="240" w:lineRule="auto"/>
              <w:jc w:val="center"/>
              <w:rPr>
                <w:rFonts w:ascii="Times New Roman" w:hAnsi="Times New Roman"/>
                <w:b/>
                <w:sz w:val="20"/>
                <w:szCs w:val="20"/>
              </w:rPr>
            </w:pPr>
            <w:r w:rsidRPr="00EA5C1E">
              <w:rPr>
                <w:rFonts w:ascii="Times New Roman" w:hAnsi="Times New Roman"/>
                <w:b/>
                <w:sz w:val="20"/>
                <w:szCs w:val="20"/>
              </w:rPr>
              <w:t>441</w:t>
            </w:r>
          </w:p>
        </w:tc>
      </w:tr>
    </w:tbl>
    <w:p w:rsidR="00D53D05" w:rsidRPr="00171092" w:rsidRDefault="00D53D05" w:rsidP="00D53D05">
      <w:pPr>
        <w:pStyle w:val="Tekstpodstawowy"/>
        <w:spacing w:after="240"/>
        <w:rPr>
          <w:sz w:val="20"/>
        </w:rPr>
      </w:pPr>
      <w:r>
        <w:rPr>
          <w:sz w:val="20"/>
        </w:rPr>
        <w:t>Źródło: Ranking RSP 2009 r., 2010 r. i 2011</w:t>
      </w:r>
      <w:r w:rsidRPr="00171092">
        <w:rPr>
          <w:sz w:val="20"/>
        </w:rPr>
        <w:t xml:space="preserve"> r.</w:t>
      </w:r>
    </w:p>
    <w:p w:rsidR="00D53D05" w:rsidRDefault="00FB2DE2" w:rsidP="004E1A0D">
      <w:pPr>
        <w:spacing w:after="0" w:line="264" w:lineRule="auto"/>
        <w:ind w:firstLine="357"/>
        <w:jc w:val="both"/>
        <w:rPr>
          <w:rFonts w:ascii="Times New Roman" w:hAnsi="Times New Roman"/>
          <w:sz w:val="24"/>
          <w:szCs w:val="24"/>
          <w:lang w:eastAsia="pl-PL"/>
        </w:rPr>
      </w:pPr>
      <w:r>
        <w:rPr>
          <w:rFonts w:ascii="Times New Roman" w:hAnsi="Times New Roman"/>
          <w:sz w:val="24"/>
          <w:szCs w:val="24"/>
          <w:lang w:eastAsia="pl-PL"/>
        </w:rPr>
        <w:t xml:space="preserve">Ponieważ obraz sytuacji ekonomicznej w ciągu jednego roku może być </w:t>
      </w:r>
      <w:r w:rsidR="004E1A0D">
        <w:rPr>
          <w:rFonts w:ascii="Times New Roman" w:hAnsi="Times New Roman"/>
          <w:sz w:val="24"/>
          <w:szCs w:val="24"/>
          <w:lang w:eastAsia="pl-PL"/>
        </w:rPr>
        <w:t>niekiedy</w:t>
      </w:r>
      <w:r>
        <w:rPr>
          <w:rFonts w:ascii="Times New Roman" w:hAnsi="Times New Roman"/>
          <w:sz w:val="24"/>
          <w:szCs w:val="24"/>
          <w:lang w:eastAsia="pl-PL"/>
        </w:rPr>
        <w:t xml:space="preserve"> obarczony pewnymi niedoskonałościami, na szczególną uwagę zasługują wyniki tych </w:t>
      </w:r>
      <w:r w:rsidR="00D53D05">
        <w:rPr>
          <w:rFonts w:ascii="Times New Roman" w:hAnsi="Times New Roman"/>
          <w:sz w:val="24"/>
          <w:szCs w:val="24"/>
          <w:lang w:eastAsia="pl-PL"/>
        </w:rPr>
        <w:t xml:space="preserve">RSP, które rokrocznie biorą udział w naszym rankingu. </w:t>
      </w:r>
      <w:r>
        <w:rPr>
          <w:rFonts w:ascii="Times New Roman" w:hAnsi="Times New Roman"/>
          <w:sz w:val="24"/>
          <w:szCs w:val="24"/>
          <w:lang w:eastAsia="pl-PL"/>
        </w:rPr>
        <w:t>Aby wyróżnić właśnie te spółdzielnie</w:t>
      </w:r>
      <w:r w:rsidR="00430FF7">
        <w:rPr>
          <w:rFonts w:ascii="Times New Roman" w:hAnsi="Times New Roman"/>
          <w:sz w:val="24"/>
          <w:szCs w:val="24"/>
          <w:lang w:eastAsia="pl-PL"/>
        </w:rPr>
        <w:t>,</w:t>
      </w:r>
      <w:r>
        <w:rPr>
          <w:rFonts w:ascii="Times New Roman" w:hAnsi="Times New Roman"/>
          <w:sz w:val="24"/>
          <w:szCs w:val="24"/>
          <w:lang w:eastAsia="pl-PL"/>
        </w:rPr>
        <w:t xml:space="preserve"> </w:t>
      </w:r>
      <w:r>
        <w:rPr>
          <w:rFonts w:ascii="Times New Roman" w:hAnsi="Times New Roman"/>
          <w:sz w:val="24"/>
          <w:szCs w:val="24"/>
          <w:lang w:eastAsia="pl-PL"/>
        </w:rPr>
        <w:lastRenderedPageBreak/>
        <w:t>prezentujemy</w:t>
      </w:r>
      <w:r w:rsidR="00D53D05">
        <w:rPr>
          <w:rFonts w:ascii="Times New Roman" w:hAnsi="Times New Roman"/>
          <w:sz w:val="24"/>
          <w:szCs w:val="24"/>
          <w:lang w:eastAsia="pl-PL"/>
        </w:rPr>
        <w:t xml:space="preserve"> dodatkowy </w:t>
      </w:r>
      <w:proofErr w:type="spellStart"/>
      <w:r w:rsidR="004E1A0D">
        <w:rPr>
          <w:rFonts w:ascii="Times New Roman" w:hAnsi="Times New Roman"/>
          <w:sz w:val="24"/>
          <w:szCs w:val="24"/>
          <w:lang w:eastAsia="pl-PL"/>
        </w:rPr>
        <w:t>pod</w:t>
      </w:r>
      <w:r>
        <w:rPr>
          <w:rFonts w:ascii="Times New Roman" w:hAnsi="Times New Roman"/>
          <w:sz w:val="24"/>
          <w:szCs w:val="24"/>
          <w:lang w:eastAsia="pl-PL"/>
        </w:rPr>
        <w:t>ranking</w:t>
      </w:r>
      <w:proofErr w:type="spellEnd"/>
      <w:r>
        <w:rPr>
          <w:rFonts w:ascii="Times New Roman" w:hAnsi="Times New Roman"/>
          <w:sz w:val="24"/>
          <w:szCs w:val="24"/>
          <w:lang w:eastAsia="pl-PL"/>
        </w:rPr>
        <w:t xml:space="preserve"> najlepszych 10 RSP (tabela 1).Prezentowane w nim RSP </w:t>
      </w:r>
      <w:r w:rsidR="00D53D05">
        <w:rPr>
          <w:rFonts w:ascii="Times New Roman" w:hAnsi="Times New Roman"/>
          <w:sz w:val="24"/>
          <w:szCs w:val="24"/>
          <w:lang w:eastAsia="pl-PL"/>
        </w:rPr>
        <w:t xml:space="preserve">w ciągu ostatnich 3 lat nieprzerwanie uczestniczyły w rankingu „100”. </w:t>
      </w:r>
      <w:r>
        <w:rPr>
          <w:rFonts w:ascii="Times New Roman" w:hAnsi="Times New Roman"/>
          <w:sz w:val="24"/>
          <w:szCs w:val="24"/>
          <w:lang w:eastAsia="pl-PL"/>
        </w:rPr>
        <w:t>Tak jak w przypadku głównego zestawieni</w:t>
      </w:r>
      <w:r w:rsidR="004E1A0D">
        <w:rPr>
          <w:rFonts w:ascii="Times New Roman" w:hAnsi="Times New Roman"/>
          <w:sz w:val="24"/>
          <w:szCs w:val="24"/>
          <w:lang w:eastAsia="pl-PL"/>
        </w:rPr>
        <w:t>a</w:t>
      </w:r>
      <w:r>
        <w:rPr>
          <w:rFonts w:ascii="Times New Roman" w:hAnsi="Times New Roman"/>
          <w:sz w:val="24"/>
          <w:szCs w:val="24"/>
          <w:lang w:eastAsia="pl-PL"/>
        </w:rPr>
        <w:t xml:space="preserve"> o</w:t>
      </w:r>
      <w:r w:rsidR="00D53D05">
        <w:rPr>
          <w:rFonts w:ascii="Times New Roman" w:hAnsi="Times New Roman"/>
          <w:sz w:val="24"/>
          <w:szCs w:val="24"/>
          <w:lang w:eastAsia="pl-PL"/>
        </w:rPr>
        <w:t xml:space="preserve"> miejscu na tej liście decydowała suma mi</w:t>
      </w:r>
      <w:r>
        <w:rPr>
          <w:rFonts w:ascii="Times New Roman" w:hAnsi="Times New Roman"/>
          <w:sz w:val="24"/>
          <w:szCs w:val="24"/>
          <w:lang w:eastAsia="pl-PL"/>
        </w:rPr>
        <w:t>erników syntetycznych z lat 2009 - 2011</w:t>
      </w:r>
      <w:r w:rsidR="00D53D05">
        <w:rPr>
          <w:rFonts w:ascii="Times New Roman" w:hAnsi="Times New Roman"/>
          <w:sz w:val="24"/>
          <w:szCs w:val="24"/>
          <w:lang w:eastAsia="pl-PL"/>
        </w:rPr>
        <w:t xml:space="preserve">. Im była ona niższa, tym wyższa pozycja spółdzielni w powyższym trzyleciu. </w:t>
      </w:r>
      <w:r w:rsidR="002B183C">
        <w:rPr>
          <w:rFonts w:ascii="Times New Roman" w:hAnsi="Times New Roman"/>
          <w:sz w:val="24"/>
          <w:szCs w:val="24"/>
          <w:lang w:eastAsia="pl-PL"/>
        </w:rPr>
        <w:t xml:space="preserve">W stosunku do ubiegłej </w:t>
      </w:r>
      <w:r w:rsidR="00A8762E">
        <w:rPr>
          <w:rFonts w:ascii="Times New Roman" w:hAnsi="Times New Roman"/>
          <w:sz w:val="24"/>
          <w:szCs w:val="24"/>
          <w:lang w:eastAsia="pl-PL"/>
        </w:rPr>
        <w:t>edycji</w:t>
      </w:r>
      <w:r w:rsidR="002B183C">
        <w:rPr>
          <w:rFonts w:ascii="Times New Roman" w:hAnsi="Times New Roman"/>
          <w:sz w:val="24"/>
          <w:szCs w:val="24"/>
          <w:lang w:eastAsia="pl-PL"/>
        </w:rPr>
        <w:t xml:space="preserve"> nie uległy zmianie pozycje lidera i wicelidera</w:t>
      </w:r>
      <w:r w:rsidR="004E1A0D">
        <w:rPr>
          <w:rFonts w:ascii="Times New Roman" w:hAnsi="Times New Roman"/>
          <w:sz w:val="24"/>
          <w:szCs w:val="24"/>
          <w:lang w:eastAsia="pl-PL"/>
        </w:rPr>
        <w:t xml:space="preserve">. </w:t>
      </w:r>
      <w:proofErr w:type="spellStart"/>
      <w:r w:rsidR="004E1A0D">
        <w:rPr>
          <w:rFonts w:ascii="Times New Roman" w:hAnsi="Times New Roman"/>
          <w:sz w:val="24"/>
          <w:szCs w:val="24"/>
          <w:lang w:eastAsia="pl-PL"/>
        </w:rPr>
        <w:t>P</w:t>
      </w:r>
      <w:r w:rsidR="00D53D05">
        <w:rPr>
          <w:rFonts w:ascii="Times New Roman" w:hAnsi="Times New Roman"/>
          <w:sz w:val="24"/>
          <w:szCs w:val="24"/>
          <w:lang w:eastAsia="pl-PL"/>
        </w:rPr>
        <w:t>odranking</w:t>
      </w:r>
      <w:proofErr w:type="spellEnd"/>
      <w:r w:rsidR="00D53D05">
        <w:rPr>
          <w:rFonts w:ascii="Times New Roman" w:hAnsi="Times New Roman"/>
          <w:sz w:val="24"/>
          <w:szCs w:val="24"/>
          <w:lang w:eastAsia="pl-PL"/>
        </w:rPr>
        <w:t xml:space="preserve"> ten otwiera RSP Hopkie z woj. lubelskiego,</w:t>
      </w:r>
      <w:r w:rsidR="000E2581">
        <w:rPr>
          <w:rFonts w:ascii="Times New Roman" w:hAnsi="Times New Roman"/>
          <w:sz w:val="24"/>
          <w:szCs w:val="24"/>
          <w:lang w:eastAsia="pl-PL"/>
        </w:rPr>
        <w:t xml:space="preserve"> od 2 lat</w:t>
      </w:r>
      <w:r w:rsidR="00D53D05">
        <w:rPr>
          <w:rFonts w:ascii="Times New Roman" w:hAnsi="Times New Roman"/>
          <w:sz w:val="24"/>
          <w:szCs w:val="24"/>
          <w:lang w:eastAsia="pl-PL"/>
        </w:rPr>
        <w:t xml:space="preserve"> </w:t>
      </w:r>
      <w:r w:rsidR="000E2581">
        <w:rPr>
          <w:rFonts w:ascii="Times New Roman" w:hAnsi="Times New Roman"/>
          <w:sz w:val="24"/>
          <w:szCs w:val="24"/>
          <w:lang w:eastAsia="pl-PL"/>
        </w:rPr>
        <w:t>nieprzerwany</w:t>
      </w:r>
      <w:r w:rsidR="00D53D05">
        <w:rPr>
          <w:rFonts w:ascii="Times New Roman" w:hAnsi="Times New Roman"/>
          <w:sz w:val="24"/>
          <w:szCs w:val="24"/>
          <w:lang w:eastAsia="pl-PL"/>
        </w:rPr>
        <w:t xml:space="preserve"> lider głównego rankingu. </w:t>
      </w:r>
      <w:r w:rsidR="00CC35C7">
        <w:rPr>
          <w:rFonts w:ascii="Times New Roman" w:hAnsi="Times New Roman"/>
          <w:sz w:val="24"/>
          <w:szCs w:val="24"/>
          <w:lang w:eastAsia="pl-PL"/>
        </w:rPr>
        <w:t>Należy podkreślić</w:t>
      </w:r>
      <w:r w:rsidR="00430FF7">
        <w:rPr>
          <w:rFonts w:ascii="Times New Roman" w:hAnsi="Times New Roman"/>
          <w:sz w:val="24"/>
          <w:szCs w:val="24"/>
          <w:lang w:eastAsia="pl-PL"/>
        </w:rPr>
        <w:t>,</w:t>
      </w:r>
      <w:r w:rsidR="00CC35C7">
        <w:rPr>
          <w:rFonts w:ascii="Times New Roman" w:hAnsi="Times New Roman"/>
          <w:sz w:val="24"/>
          <w:szCs w:val="24"/>
          <w:lang w:eastAsia="pl-PL"/>
        </w:rPr>
        <w:t xml:space="preserve"> że </w:t>
      </w:r>
      <w:r w:rsidR="00D53D05">
        <w:rPr>
          <w:rFonts w:ascii="Times New Roman" w:hAnsi="Times New Roman"/>
          <w:sz w:val="24"/>
          <w:szCs w:val="24"/>
          <w:lang w:eastAsia="pl-PL"/>
        </w:rPr>
        <w:t xml:space="preserve">Spółdzielnia ta </w:t>
      </w:r>
      <w:r w:rsidR="00CC35C7">
        <w:rPr>
          <w:rFonts w:ascii="Times New Roman" w:hAnsi="Times New Roman"/>
          <w:sz w:val="24"/>
          <w:szCs w:val="24"/>
          <w:lang w:eastAsia="pl-PL"/>
        </w:rPr>
        <w:t>wielokrotnie w historii rankingu znajdowała się na</w:t>
      </w:r>
      <w:r w:rsidR="000E2581">
        <w:rPr>
          <w:rFonts w:ascii="Times New Roman" w:hAnsi="Times New Roman"/>
          <w:sz w:val="24"/>
          <w:szCs w:val="24"/>
          <w:lang w:eastAsia="pl-PL"/>
        </w:rPr>
        <w:t xml:space="preserve"> czołowej pozycji</w:t>
      </w:r>
      <w:r w:rsidR="00D53D05">
        <w:rPr>
          <w:rFonts w:ascii="Times New Roman" w:hAnsi="Times New Roman"/>
          <w:sz w:val="24"/>
          <w:szCs w:val="24"/>
          <w:lang w:eastAsia="pl-PL"/>
        </w:rPr>
        <w:t>. Na drugim miejscu uplasowała się RSP Krzywa z woj. podlaskiego,</w:t>
      </w:r>
      <w:r w:rsidR="00D53D05" w:rsidRPr="00FA2768">
        <w:rPr>
          <w:rFonts w:ascii="Times New Roman" w:hAnsi="Times New Roman"/>
          <w:sz w:val="24"/>
          <w:szCs w:val="24"/>
          <w:lang w:eastAsia="pl-PL"/>
        </w:rPr>
        <w:t xml:space="preserve"> </w:t>
      </w:r>
      <w:r w:rsidR="00CC35C7">
        <w:rPr>
          <w:rFonts w:ascii="Times New Roman" w:hAnsi="Times New Roman"/>
          <w:sz w:val="24"/>
          <w:szCs w:val="24"/>
          <w:lang w:eastAsia="pl-PL"/>
        </w:rPr>
        <w:t xml:space="preserve">drugi </w:t>
      </w:r>
      <w:r w:rsidR="00430FF7">
        <w:rPr>
          <w:rFonts w:ascii="Times New Roman" w:hAnsi="Times New Roman"/>
          <w:sz w:val="24"/>
          <w:szCs w:val="24"/>
          <w:lang w:eastAsia="pl-PL"/>
        </w:rPr>
        <w:t>wice</w:t>
      </w:r>
      <w:r w:rsidR="00CC35C7">
        <w:rPr>
          <w:rFonts w:ascii="Times New Roman" w:hAnsi="Times New Roman"/>
          <w:sz w:val="24"/>
          <w:szCs w:val="24"/>
          <w:lang w:eastAsia="pl-PL"/>
        </w:rPr>
        <w:t>lider</w:t>
      </w:r>
      <w:r w:rsidR="00D53D05">
        <w:rPr>
          <w:rFonts w:ascii="Times New Roman" w:hAnsi="Times New Roman"/>
          <w:sz w:val="24"/>
          <w:szCs w:val="24"/>
          <w:lang w:eastAsia="pl-PL"/>
        </w:rPr>
        <w:t xml:space="preserve"> </w:t>
      </w:r>
      <w:r w:rsidR="00CC35C7">
        <w:rPr>
          <w:rFonts w:ascii="Times New Roman" w:hAnsi="Times New Roman"/>
          <w:sz w:val="24"/>
          <w:szCs w:val="24"/>
          <w:lang w:eastAsia="pl-PL"/>
        </w:rPr>
        <w:t xml:space="preserve">tegorocznego </w:t>
      </w:r>
      <w:r w:rsidR="00D53D05">
        <w:rPr>
          <w:rFonts w:ascii="Times New Roman" w:hAnsi="Times New Roman"/>
          <w:sz w:val="24"/>
          <w:szCs w:val="24"/>
          <w:lang w:eastAsia="pl-PL"/>
        </w:rPr>
        <w:t xml:space="preserve">rankingu. </w:t>
      </w:r>
      <w:r w:rsidR="00CC35C7">
        <w:rPr>
          <w:rFonts w:ascii="Times New Roman" w:hAnsi="Times New Roman"/>
          <w:sz w:val="24"/>
          <w:szCs w:val="24"/>
          <w:lang w:eastAsia="pl-PL"/>
        </w:rPr>
        <w:t>Natomiast n</w:t>
      </w:r>
      <w:r w:rsidR="00D53D05">
        <w:rPr>
          <w:rFonts w:ascii="Times New Roman" w:hAnsi="Times New Roman"/>
          <w:sz w:val="24"/>
          <w:szCs w:val="24"/>
          <w:lang w:eastAsia="pl-PL"/>
        </w:rPr>
        <w:t>a pozycji trzeciej znalazła się</w:t>
      </w:r>
      <w:r w:rsidR="00CC35C7">
        <w:rPr>
          <w:rFonts w:ascii="Times New Roman" w:hAnsi="Times New Roman"/>
          <w:sz w:val="24"/>
          <w:szCs w:val="24"/>
          <w:lang w:eastAsia="pl-PL"/>
        </w:rPr>
        <w:t xml:space="preserve"> pierwszy </w:t>
      </w:r>
      <w:r w:rsidR="00430FF7">
        <w:rPr>
          <w:rFonts w:ascii="Times New Roman" w:hAnsi="Times New Roman"/>
          <w:sz w:val="24"/>
          <w:szCs w:val="24"/>
          <w:lang w:eastAsia="pl-PL"/>
        </w:rPr>
        <w:t>wice</w:t>
      </w:r>
      <w:r w:rsidR="00CC35C7">
        <w:rPr>
          <w:rFonts w:ascii="Times New Roman" w:hAnsi="Times New Roman"/>
          <w:sz w:val="24"/>
          <w:szCs w:val="24"/>
          <w:lang w:eastAsia="pl-PL"/>
        </w:rPr>
        <w:t>lider tegorocznego zestawienia</w:t>
      </w:r>
      <w:r w:rsidR="00430FF7">
        <w:rPr>
          <w:rFonts w:ascii="Times New Roman" w:hAnsi="Times New Roman"/>
          <w:sz w:val="24"/>
          <w:szCs w:val="24"/>
          <w:lang w:eastAsia="pl-PL"/>
        </w:rPr>
        <w:t xml:space="preserve"> -</w:t>
      </w:r>
      <w:r w:rsidR="00D53D05">
        <w:rPr>
          <w:rFonts w:ascii="Times New Roman" w:hAnsi="Times New Roman"/>
          <w:sz w:val="24"/>
          <w:szCs w:val="24"/>
          <w:lang w:eastAsia="pl-PL"/>
        </w:rPr>
        <w:t xml:space="preserve"> </w:t>
      </w:r>
      <w:r w:rsidR="00974550" w:rsidRPr="00974550">
        <w:rPr>
          <w:rFonts w:ascii="Times New Roman" w:hAnsi="Times New Roman"/>
          <w:sz w:val="24"/>
          <w:szCs w:val="24"/>
          <w:lang w:eastAsia="pl-PL"/>
        </w:rPr>
        <w:t>SPR Wierzbnik</w:t>
      </w:r>
      <w:r w:rsidR="00974550">
        <w:rPr>
          <w:rFonts w:ascii="Times New Roman" w:hAnsi="Times New Roman"/>
          <w:sz w:val="24"/>
          <w:szCs w:val="24"/>
          <w:lang w:eastAsia="pl-PL"/>
        </w:rPr>
        <w:t xml:space="preserve"> </w:t>
      </w:r>
      <w:r w:rsidR="00430FF7">
        <w:rPr>
          <w:rFonts w:ascii="Times New Roman" w:hAnsi="Times New Roman"/>
          <w:sz w:val="24"/>
          <w:szCs w:val="24"/>
          <w:lang w:eastAsia="pl-PL"/>
        </w:rPr>
        <w:t>z woj. opolskiego;</w:t>
      </w:r>
      <w:r w:rsidR="00D53D05">
        <w:rPr>
          <w:rFonts w:ascii="Times New Roman" w:hAnsi="Times New Roman"/>
          <w:sz w:val="24"/>
          <w:szCs w:val="24"/>
          <w:lang w:eastAsia="pl-PL"/>
        </w:rPr>
        <w:t xml:space="preserve"> </w:t>
      </w:r>
      <w:r w:rsidR="004E1A0D">
        <w:rPr>
          <w:rFonts w:ascii="Times New Roman" w:hAnsi="Times New Roman"/>
          <w:sz w:val="24"/>
          <w:szCs w:val="24"/>
          <w:lang w:eastAsia="pl-PL"/>
        </w:rPr>
        <w:t>zdecydowała o tym przede wszystkim</w:t>
      </w:r>
      <w:r w:rsidR="00F06A12">
        <w:rPr>
          <w:rFonts w:ascii="Times New Roman" w:hAnsi="Times New Roman"/>
          <w:sz w:val="24"/>
          <w:szCs w:val="24"/>
          <w:lang w:eastAsia="pl-PL"/>
        </w:rPr>
        <w:t xml:space="preserve"> ósma lokata tej spółdzielni w rankingu za 2009 rok</w:t>
      </w:r>
      <w:r w:rsidR="00D53D05">
        <w:rPr>
          <w:rFonts w:ascii="Times New Roman" w:hAnsi="Times New Roman"/>
          <w:sz w:val="24"/>
          <w:szCs w:val="24"/>
          <w:lang w:eastAsia="pl-PL"/>
        </w:rPr>
        <w:t xml:space="preserve">. </w:t>
      </w:r>
      <w:r w:rsidR="00F06A12">
        <w:rPr>
          <w:rFonts w:ascii="Times New Roman" w:hAnsi="Times New Roman"/>
          <w:sz w:val="24"/>
          <w:szCs w:val="24"/>
          <w:lang w:eastAsia="pl-PL"/>
        </w:rPr>
        <w:t>Ponieważ</w:t>
      </w:r>
      <w:r w:rsidR="00D53D05">
        <w:rPr>
          <w:rFonts w:ascii="Times New Roman" w:hAnsi="Times New Roman"/>
          <w:sz w:val="24"/>
          <w:szCs w:val="24"/>
          <w:lang w:eastAsia="pl-PL"/>
        </w:rPr>
        <w:t xml:space="preserve"> wyniki tego zestawienia są znacznie bardziej miarodajne od </w:t>
      </w:r>
      <w:r w:rsidR="00F06A12">
        <w:rPr>
          <w:rFonts w:ascii="Times New Roman" w:hAnsi="Times New Roman"/>
          <w:sz w:val="24"/>
          <w:szCs w:val="24"/>
          <w:lang w:eastAsia="pl-PL"/>
        </w:rPr>
        <w:t>jednorocznych</w:t>
      </w:r>
      <w:r w:rsidR="00D53D05">
        <w:rPr>
          <w:rFonts w:ascii="Times New Roman" w:hAnsi="Times New Roman"/>
          <w:sz w:val="24"/>
          <w:szCs w:val="24"/>
          <w:lang w:eastAsia="pl-PL"/>
        </w:rPr>
        <w:t xml:space="preserve">, to każdej ze spółdzielni, która znalazła się </w:t>
      </w:r>
      <w:r w:rsidR="00F06A12">
        <w:rPr>
          <w:rFonts w:ascii="Times New Roman" w:hAnsi="Times New Roman"/>
          <w:sz w:val="24"/>
          <w:szCs w:val="24"/>
          <w:lang w:eastAsia="pl-PL"/>
        </w:rPr>
        <w:t>w tym bardzo wąskim</w:t>
      </w:r>
      <w:r w:rsidR="00D53D05">
        <w:rPr>
          <w:rFonts w:ascii="Times New Roman" w:hAnsi="Times New Roman"/>
          <w:sz w:val="24"/>
          <w:szCs w:val="24"/>
          <w:lang w:eastAsia="pl-PL"/>
        </w:rPr>
        <w:t>,</w:t>
      </w:r>
      <w:r w:rsidR="00F06A12">
        <w:rPr>
          <w:rFonts w:ascii="Times New Roman" w:hAnsi="Times New Roman"/>
          <w:sz w:val="24"/>
          <w:szCs w:val="24"/>
          <w:lang w:eastAsia="pl-PL"/>
        </w:rPr>
        <w:t xml:space="preserve"> bo jedynie 10-miejscow</w:t>
      </w:r>
      <w:r w:rsidR="004E1A0D">
        <w:rPr>
          <w:rFonts w:ascii="Times New Roman" w:hAnsi="Times New Roman"/>
          <w:sz w:val="24"/>
          <w:szCs w:val="24"/>
          <w:lang w:eastAsia="pl-PL"/>
        </w:rPr>
        <w:t>ym</w:t>
      </w:r>
      <w:r w:rsidR="00F06A12">
        <w:rPr>
          <w:rFonts w:ascii="Times New Roman" w:hAnsi="Times New Roman"/>
          <w:sz w:val="24"/>
          <w:szCs w:val="24"/>
          <w:lang w:eastAsia="pl-PL"/>
        </w:rPr>
        <w:t xml:space="preserve"> gronie</w:t>
      </w:r>
      <w:r w:rsidR="00D53D05">
        <w:rPr>
          <w:rFonts w:ascii="Times New Roman" w:hAnsi="Times New Roman"/>
          <w:sz w:val="24"/>
          <w:szCs w:val="24"/>
          <w:lang w:eastAsia="pl-PL"/>
        </w:rPr>
        <w:t>, n</w:t>
      </w:r>
      <w:r w:rsidR="00430FF7">
        <w:rPr>
          <w:rFonts w:ascii="Times New Roman" w:hAnsi="Times New Roman"/>
          <w:sz w:val="24"/>
          <w:szCs w:val="24"/>
          <w:lang w:eastAsia="pl-PL"/>
        </w:rPr>
        <w:t>ależą się szczególne gratulacje.</w:t>
      </w:r>
      <w:r w:rsidR="00D53D05">
        <w:rPr>
          <w:rFonts w:ascii="Times New Roman" w:hAnsi="Times New Roman"/>
          <w:sz w:val="24"/>
          <w:szCs w:val="24"/>
          <w:lang w:eastAsia="pl-PL"/>
        </w:rPr>
        <w:t xml:space="preserve"> </w:t>
      </w:r>
      <w:r w:rsidR="00430FF7">
        <w:rPr>
          <w:rFonts w:ascii="Times New Roman" w:hAnsi="Times New Roman"/>
          <w:sz w:val="24"/>
          <w:szCs w:val="24"/>
          <w:lang w:eastAsia="pl-PL"/>
        </w:rPr>
        <w:t>B</w:t>
      </w:r>
      <w:r w:rsidR="00F06A12">
        <w:rPr>
          <w:rFonts w:ascii="Times New Roman" w:hAnsi="Times New Roman"/>
          <w:sz w:val="24"/>
          <w:szCs w:val="24"/>
          <w:lang w:eastAsia="pl-PL"/>
        </w:rPr>
        <w:t>ez wątpienia można również stwierdzić</w:t>
      </w:r>
      <w:r w:rsidR="00DC292C">
        <w:rPr>
          <w:rFonts w:ascii="Times New Roman" w:hAnsi="Times New Roman"/>
          <w:sz w:val="24"/>
          <w:szCs w:val="24"/>
          <w:lang w:eastAsia="pl-PL"/>
        </w:rPr>
        <w:t>,</w:t>
      </w:r>
      <w:r w:rsidR="00F06A12">
        <w:rPr>
          <w:rFonts w:ascii="Times New Roman" w:hAnsi="Times New Roman"/>
          <w:sz w:val="24"/>
          <w:szCs w:val="24"/>
          <w:lang w:eastAsia="pl-PL"/>
        </w:rPr>
        <w:t xml:space="preserve"> iż jest to niekwestionowana</w:t>
      </w:r>
      <w:r w:rsidR="00D53D05">
        <w:rPr>
          <w:rFonts w:ascii="Times New Roman" w:hAnsi="Times New Roman"/>
          <w:sz w:val="24"/>
          <w:szCs w:val="24"/>
          <w:lang w:eastAsia="pl-PL"/>
        </w:rPr>
        <w:t xml:space="preserve"> elita wśród RSP.</w:t>
      </w:r>
    </w:p>
    <w:p w:rsidR="00D53D05" w:rsidRPr="00FA2768" w:rsidRDefault="00D53D05" w:rsidP="00D53D05">
      <w:pPr>
        <w:spacing w:after="0" w:line="264" w:lineRule="auto"/>
        <w:ind w:firstLine="357"/>
        <w:jc w:val="both"/>
        <w:rPr>
          <w:rFonts w:ascii="Times New Roman" w:hAnsi="Times New Roman"/>
          <w:sz w:val="24"/>
          <w:szCs w:val="24"/>
          <w:lang w:eastAsia="pl-PL"/>
        </w:rPr>
      </w:pPr>
    </w:p>
    <w:p w:rsidR="00BD48F0" w:rsidRPr="00C90BB2" w:rsidRDefault="00F73E8C">
      <w:pPr>
        <w:rPr>
          <w:rFonts w:ascii="Times New Roman" w:hAnsi="Times New Roman" w:cs="Times New Roman"/>
          <w:b/>
          <w:sz w:val="24"/>
          <w:szCs w:val="24"/>
        </w:rPr>
      </w:pPr>
      <w:r w:rsidRPr="00C90BB2">
        <w:rPr>
          <w:rFonts w:ascii="Times New Roman" w:hAnsi="Times New Roman" w:cs="Times New Roman"/>
          <w:b/>
          <w:sz w:val="24"/>
          <w:szCs w:val="24"/>
        </w:rPr>
        <w:t>Uwarunkowania makroekonomiczne w 2011 roku</w:t>
      </w:r>
    </w:p>
    <w:p w:rsidR="00F73E8C" w:rsidRPr="00C90BB2" w:rsidRDefault="00DD32E3" w:rsidP="008C10E7">
      <w:pPr>
        <w:spacing w:after="120"/>
        <w:ind w:firstLine="708"/>
        <w:jc w:val="both"/>
        <w:rPr>
          <w:rFonts w:ascii="Times New Roman" w:hAnsi="Times New Roman" w:cs="Times New Roman"/>
          <w:sz w:val="24"/>
          <w:szCs w:val="24"/>
        </w:rPr>
      </w:pPr>
      <w:r w:rsidRPr="00C90BB2">
        <w:rPr>
          <w:rFonts w:ascii="Times New Roman" w:hAnsi="Times New Roman" w:cs="Times New Roman"/>
          <w:sz w:val="24"/>
          <w:szCs w:val="24"/>
        </w:rPr>
        <w:t xml:space="preserve">Rok 2011okazał się być korzystny dla wzrostu polskiej gospodarki, rozwijała się ona szybciej niż w poprzednich okresach i nieco szybciej niż zakładano w prognozach. </w:t>
      </w:r>
      <w:r w:rsidR="002F7254">
        <w:rPr>
          <w:rFonts w:ascii="Times New Roman" w:hAnsi="Times New Roman" w:cs="Times New Roman"/>
          <w:sz w:val="24"/>
          <w:szCs w:val="24"/>
        </w:rPr>
        <w:br/>
      </w:r>
      <w:r w:rsidRPr="00C90BB2">
        <w:rPr>
          <w:rFonts w:ascii="Times New Roman" w:hAnsi="Times New Roman" w:cs="Times New Roman"/>
          <w:sz w:val="24"/>
          <w:szCs w:val="24"/>
        </w:rPr>
        <w:t>W stosunku do lat 2009 i 2010 kiedy to PKB zwiększył się odpowiednio o 1,7% i 3,9%, w</w:t>
      </w:r>
      <w:r w:rsidR="00ED6A53" w:rsidRPr="00C90BB2">
        <w:rPr>
          <w:rFonts w:ascii="Times New Roman" w:hAnsi="Times New Roman" w:cs="Times New Roman"/>
          <w:sz w:val="24"/>
          <w:szCs w:val="24"/>
        </w:rPr>
        <w:t xml:space="preserve"> </w:t>
      </w:r>
      <w:r w:rsidRPr="00C90BB2">
        <w:rPr>
          <w:rFonts w:ascii="Times New Roman" w:hAnsi="Times New Roman" w:cs="Times New Roman"/>
          <w:sz w:val="24"/>
          <w:szCs w:val="24"/>
        </w:rPr>
        <w:t xml:space="preserve">2011 roku </w:t>
      </w:r>
      <w:r w:rsidR="008C10E7">
        <w:rPr>
          <w:rFonts w:ascii="Times New Roman" w:hAnsi="Times New Roman" w:cs="Times New Roman"/>
          <w:sz w:val="24"/>
          <w:szCs w:val="24"/>
        </w:rPr>
        <w:t>wyniósł on już</w:t>
      </w:r>
      <w:r w:rsidRPr="00C90BB2">
        <w:rPr>
          <w:rFonts w:ascii="Times New Roman" w:hAnsi="Times New Roman" w:cs="Times New Roman"/>
          <w:sz w:val="24"/>
          <w:szCs w:val="24"/>
        </w:rPr>
        <w:t xml:space="preserve"> 4,3%, podczas gdy w ustawie budżetowej w obawie o skutki osłabienia wiodących europejskich gospodarek i dalszego zaostrzania się w wielu krajach kryzysu zadłużeniowego, </w:t>
      </w:r>
      <w:r w:rsidR="008C10E7">
        <w:rPr>
          <w:rFonts w:ascii="Times New Roman" w:hAnsi="Times New Roman" w:cs="Times New Roman"/>
          <w:sz w:val="24"/>
          <w:szCs w:val="24"/>
        </w:rPr>
        <w:t>wielkość</w:t>
      </w:r>
      <w:r w:rsidR="00ED6A53" w:rsidRPr="00C90BB2">
        <w:rPr>
          <w:rFonts w:ascii="Times New Roman" w:hAnsi="Times New Roman" w:cs="Times New Roman"/>
          <w:sz w:val="24"/>
          <w:szCs w:val="24"/>
        </w:rPr>
        <w:t xml:space="preserve"> tego wskaźnika założono </w:t>
      </w:r>
      <w:r w:rsidR="00670635">
        <w:rPr>
          <w:rFonts w:ascii="Times New Roman" w:hAnsi="Times New Roman" w:cs="Times New Roman"/>
          <w:sz w:val="24"/>
          <w:szCs w:val="24"/>
        </w:rPr>
        <w:t xml:space="preserve">na </w:t>
      </w:r>
      <w:r w:rsidR="00ED6A53" w:rsidRPr="00C90BB2">
        <w:rPr>
          <w:rFonts w:ascii="Times New Roman" w:hAnsi="Times New Roman" w:cs="Times New Roman"/>
          <w:sz w:val="24"/>
          <w:szCs w:val="24"/>
        </w:rPr>
        <w:t>po</w:t>
      </w:r>
      <w:r w:rsidRPr="00C90BB2">
        <w:rPr>
          <w:rFonts w:ascii="Times New Roman" w:hAnsi="Times New Roman" w:cs="Times New Roman"/>
          <w:sz w:val="24"/>
          <w:szCs w:val="24"/>
        </w:rPr>
        <w:t>ziomie 3,5%.</w:t>
      </w:r>
      <w:r w:rsidR="00B144AD" w:rsidRPr="00C90BB2">
        <w:rPr>
          <w:rFonts w:ascii="Times New Roman" w:hAnsi="Times New Roman" w:cs="Times New Roman"/>
          <w:sz w:val="24"/>
          <w:szCs w:val="24"/>
        </w:rPr>
        <w:t xml:space="preserve"> Jeden z głównych motorów polskiego PKB, jakim jest spożycie indywidualne wzrosło o 3,1</w:t>
      </w:r>
      <w:r w:rsidR="00ED6A53" w:rsidRPr="00C90BB2">
        <w:rPr>
          <w:rFonts w:ascii="Times New Roman" w:hAnsi="Times New Roman" w:cs="Times New Roman"/>
          <w:sz w:val="24"/>
          <w:szCs w:val="24"/>
        </w:rPr>
        <w:t>%</w:t>
      </w:r>
      <w:r w:rsidR="00B144AD" w:rsidRPr="00C90BB2">
        <w:rPr>
          <w:rFonts w:ascii="Times New Roman" w:hAnsi="Times New Roman" w:cs="Times New Roman"/>
          <w:sz w:val="24"/>
          <w:szCs w:val="24"/>
        </w:rPr>
        <w:t xml:space="preserve">, </w:t>
      </w:r>
      <w:r w:rsidR="00ED6A53" w:rsidRPr="00C90BB2">
        <w:rPr>
          <w:rFonts w:ascii="Times New Roman" w:hAnsi="Times New Roman" w:cs="Times New Roman"/>
          <w:sz w:val="24"/>
          <w:szCs w:val="24"/>
        </w:rPr>
        <w:t>i było porównywalne</w:t>
      </w:r>
      <w:r w:rsidR="00B144AD" w:rsidRPr="00C90BB2">
        <w:rPr>
          <w:rFonts w:ascii="Times New Roman" w:hAnsi="Times New Roman" w:cs="Times New Roman"/>
          <w:sz w:val="24"/>
          <w:szCs w:val="24"/>
        </w:rPr>
        <w:t xml:space="preserve"> z rokiem 2010 </w:t>
      </w:r>
      <w:r w:rsidR="00ED6A53" w:rsidRPr="00C90BB2">
        <w:rPr>
          <w:rFonts w:ascii="Times New Roman" w:hAnsi="Times New Roman" w:cs="Times New Roman"/>
          <w:sz w:val="24"/>
          <w:szCs w:val="24"/>
        </w:rPr>
        <w:t>(</w:t>
      </w:r>
      <w:r w:rsidR="00B144AD" w:rsidRPr="00C90BB2">
        <w:rPr>
          <w:rFonts w:ascii="Times New Roman" w:hAnsi="Times New Roman" w:cs="Times New Roman"/>
          <w:sz w:val="24"/>
          <w:szCs w:val="24"/>
        </w:rPr>
        <w:t>3,2%</w:t>
      </w:r>
      <w:r w:rsidR="00ED6A53" w:rsidRPr="00C90BB2">
        <w:rPr>
          <w:rFonts w:ascii="Times New Roman" w:hAnsi="Times New Roman" w:cs="Times New Roman"/>
          <w:sz w:val="24"/>
          <w:szCs w:val="24"/>
        </w:rPr>
        <w:t>)</w:t>
      </w:r>
      <w:r w:rsidR="00B144AD" w:rsidRPr="00C90BB2">
        <w:rPr>
          <w:rFonts w:ascii="Times New Roman" w:hAnsi="Times New Roman" w:cs="Times New Roman"/>
          <w:sz w:val="24"/>
          <w:szCs w:val="24"/>
        </w:rPr>
        <w:t>. Na nieznaczne obniżenie t</w:t>
      </w:r>
      <w:r w:rsidR="00670635">
        <w:rPr>
          <w:rFonts w:ascii="Times New Roman" w:hAnsi="Times New Roman" w:cs="Times New Roman"/>
          <w:sz w:val="24"/>
          <w:szCs w:val="24"/>
        </w:rPr>
        <w:t>rendu spożycia indywidualnego mó</w:t>
      </w:r>
      <w:r w:rsidR="00B144AD" w:rsidRPr="00C90BB2">
        <w:rPr>
          <w:rFonts w:ascii="Times New Roman" w:hAnsi="Times New Roman" w:cs="Times New Roman"/>
          <w:sz w:val="24"/>
          <w:szCs w:val="24"/>
        </w:rPr>
        <w:t xml:space="preserve">gł mieć wpływ </w:t>
      </w:r>
      <w:r w:rsidR="00ED6A53" w:rsidRPr="00C90BB2">
        <w:rPr>
          <w:rFonts w:ascii="Times New Roman" w:hAnsi="Times New Roman" w:cs="Times New Roman"/>
          <w:sz w:val="24"/>
          <w:szCs w:val="24"/>
        </w:rPr>
        <w:t>niewielki</w:t>
      </w:r>
      <w:r w:rsidR="00B144AD" w:rsidRPr="00C90BB2">
        <w:rPr>
          <w:rFonts w:ascii="Times New Roman" w:hAnsi="Times New Roman" w:cs="Times New Roman"/>
          <w:sz w:val="24"/>
          <w:szCs w:val="24"/>
        </w:rPr>
        <w:t xml:space="preserve"> przyrost osób aktywnych zawodowo oraz stagnacja realnych wynagrodzeń i świadczeń społecznych przy </w:t>
      </w:r>
      <w:r w:rsidR="00780AE9" w:rsidRPr="00C90BB2">
        <w:rPr>
          <w:rFonts w:ascii="Times New Roman" w:hAnsi="Times New Roman" w:cs="Times New Roman"/>
          <w:sz w:val="24"/>
          <w:szCs w:val="24"/>
        </w:rPr>
        <w:t>dość silnej presji inflacyjnej.</w:t>
      </w:r>
    </w:p>
    <w:p w:rsidR="00837EFE" w:rsidRPr="00C90BB2" w:rsidRDefault="00837EFE" w:rsidP="008C10E7">
      <w:pPr>
        <w:spacing w:after="120"/>
        <w:ind w:firstLine="708"/>
        <w:jc w:val="both"/>
        <w:rPr>
          <w:rFonts w:ascii="Times New Roman" w:hAnsi="Times New Roman" w:cs="Times New Roman"/>
          <w:sz w:val="24"/>
          <w:szCs w:val="24"/>
        </w:rPr>
      </w:pPr>
      <w:r w:rsidRPr="00C90BB2">
        <w:rPr>
          <w:rFonts w:ascii="Times New Roman" w:hAnsi="Times New Roman" w:cs="Times New Roman"/>
          <w:sz w:val="24"/>
          <w:szCs w:val="24"/>
        </w:rPr>
        <w:t xml:space="preserve">W 2011 roku przeciętne realne wynagrodzenie w sektorze przedsiębiorstw było o 0,9% </w:t>
      </w:r>
      <w:r w:rsidR="00670635">
        <w:rPr>
          <w:rFonts w:ascii="Times New Roman" w:hAnsi="Times New Roman" w:cs="Times New Roman"/>
          <w:sz w:val="24"/>
          <w:szCs w:val="24"/>
        </w:rPr>
        <w:t>wyższe</w:t>
      </w:r>
      <w:r w:rsidRPr="00C90BB2">
        <w:rPr>
          <w:rFonts w:ascii="Times New Roman" w:hAnsi="Times New Roman" w:cs="Times New Roman"/>
          <w:sz w:val="24"/>
          <w:szCs w:val="24"/>
        </w:rPr>
        <w:t xml:space="preserve"> niż przed rokiem, natomiast </w:t>
      </w:r>
      <w:r w:rsidR="00743081" w:rsidRPr="00C90BB2">
        <w:rPr>
          <w:rFonts w:ascii="Times New Roman" w:hAnsi="Times New Roman" w:cs="Times New Roman"/>
          <w:sz w:val="24"/>
          <w:szCs w:val="24"/>
        </w:rPr>
        <w:t xml:space="preserve">siła nabywcza </w:t>
      </w:r>
      <w:r w:rsidR="00B60CBD" w:rsidRPr="00C90BB2">
        <w:rPr>
          <w:rFonts w:ascii="Times New Roman" w:hAnsi="Times New Roman" w:cs="Times New Roman"/>
          <w:sz w:val="24"/>
          <w:szCs w:val="24"/>
        </w:rPr>
        <w:t>emerytur i rent pracowniczych zwiększyła się odpowiednio o 0,4% i 0,6%</w:t>
      </w:r>
      <w:r w:rsidR="000C407F" w:rsidRPr="00C90BB2">
        <w:rPr>
          <w:rFonts w:ascii="Times New Roman" w:hAnsi="Times New Roman" w:cs="Times New Roman"/>
          <w:sz w:val="24"/>
          <w:szCs w:val="24"/>
        </w:rPr>
        <w:t>.</w:t>
      </w:r>
    </w:p>
    <w:p w:rsidR="000C407F" w:rsidRPr="00C90BB2" w:rsidRDefault="00332483" w:rsidP="008C10E7">
      <w:pPr>
        <w:spacing w:after="120"/>
        <w:ind w:firstLine="708"/>
        <w:jc w:val="both"/>
        <w:rPr>
          <w:rFonts w:ascii="Times New Roman" w:hAnsi="Times New Roman" w:cs="Times New Roman"/>
          <w:sz w:val="24"/>
          <w:szCs w:val="24"/>
        </w:rPr>
      </w:pPr>
      <w:r w:rsidRPr="00C90BB2">
        <w:rPr>
          <w:rFonts w:ascii="Times New Roman" w:hAnsi="Times New Roman" w:cs="Times New Roman"/>
          <w:sz w:val="24"/>
          <w:szCs w:val="24"/>
        </w:rPr>
        <w:t xml:space="preserve">W ubiegłym roku dobre wyniki osiągały branża budowlana, handel zagraniczny, a w rolnictwie produkcja roślinna. Produkcja sprzedana przemysłu wzrosła o 7,7%, w tym produkcja artykułów spożywczych </w:t>
      </w:r>
      <w:r w:rsidR="008C10E7" w:rsidRPr="00C90BB2">
        <w:rPr>
          <w:rFonts w:ascii="Times New Roman" w:hAnsi="Times New Roman" w:cs="Times New Roman"/>
          <w:sz w:val="24"/>
          <w:szCs w:val="24"/>
        </w:rPr>
        <w:t xml:space="preserve">5,9% </w:t>
      </w:r>
      <w:r w:rsidRPr="00C90BB2">
        <w:rPr>
          <w:rFonts w:ascii="Times New Roman" w:hAnsi="Times New Roman" w:cs="Times New Roman"/>
          <w:sz w:val="24"/>
          <w:szCs w:val="24"/>
        </w:rPr>
        <w:t>(16% wartości całego przemysłu).</w:t>
      </w:r>
    </w:p>
    <w:p w:rsidR="008D1372" w:rsidRPr="00C90BB2" w:rsidRDefault="00332483" w:rsidP="008C10E7">
      <w:pPr>
        <w:spacing w:after="120"/>
        <w:ind w:firstLine="708"/>
        <w:jc w:val="both"/>
        <w:rPr>
          <w:rFonts w:ascii="Times New Roman" w:hAnsi="Times New Roman" w:cs="Times New Roman"/>
          <w:sz w:val="24"/>
          <w:szCs w:val="24"/>
        </w:rPr>
      </w:pPr>
      <w:r w:rsidRPr="00C90BB2">
        <w:rPr>
          <w:rFonts w:ascii="Times New Roman" w:hAnsi="Times New Roman" w:cs="Times New Roman"/>
          <w:sz w:val="24"/>
          <w:szCs w:val="24"/>
        </w:rPr>
        <w:t>Pomimo ograniczonego popytu importowego naszych głównych partnerów</w:t>
      </w:r>
      <w:r w:rsidR="008D1372" w:rsidRPr="00C90BB2">
        <w:rPr>
          <w:rFonts w:ascii="Times New Roman" w:hAnsi="Times New Roman" w:cs="Times New Roman"/>
          <w:sz w:val="24"/>
          <w:szCs w:val="24"/>
        </w:rPr>
        <w:t>, wysokie było tempo wymiany handlowej z zagranicą. W 2011 roku eksport liczony w euro był o 12,1% większy niż w 2010</w:t>
      </w:r>
      <w:r w:rsidR="00DF3F96">
        <w:rPr>
          <w:rFonts w:ascii="Times New Roman" w:hAnsi="Times New Roman" w:cs="Times New Roman"/>
          <w:sz w:val="24"/>
          <w:szCs w:val="24"/>
        </w:rPr>
        <w:t xml:space="preserve"> </w:t>
      </w:r>
      <w:r w:rsidR="008D1372" w:rsidRPr="00C90BB2">
        <w:rPr>
          <w:rFonts w:ascii="Times New Roman" w:hAnsi="Times New Roman" w:cs="Times New Roman"/>
          <w:sz w:val="24"/>
          <w:szCs w:val="24"/>
        </w:rPr>
        <w:t>r., a import o 12,1%. Ujemne saldo obrotów wyniosło 14,7</w:t>
      </w:r>
      <w:r w:rsidR="00DF3F96">
        <w:rPr>
          <w:rFonts w:ascii="Times New Roman" w:hAnsi="Times New Roman" w:cs="Times New Roman"/>
          <w:sz w:val="24"/>
          <w:szCs w:val="24"/>
        </w:rPr>
        <w:t xml:space="preserve"> </w:t>
      </w:r>
      <w:r w:rsidR="008D1372" w:rsidRPr="00C90BB2">
        <w:rPr>
          <w:rFonts w:ascii="Times New Roman" w:hAnsi="Times New Roman" w:cs="Times New Roman"/>
          <w:sz w:val="24"/>
          <w:szCs w:val="24"/>
        </w:rPr>
        <w:t>mld EUR, przy dodatnim saldzie wymiany produktów rolno spożywczych</w:t>
      </w:r>
      <w:r w:rsidR="00DF3F96">
        <w:rPr>
          <w:rFonts w:ascii="Times New Roman" w:hAnsi="Times New Roman" w:cs="Times New Roman"/>
          <w:sz w:val="24"/>
          <w:szCs w:val="24"/>
        </w:rPr>
        <w:t xml:space="preserve"> </w:t>
      </w:r>
      <w:r w:rsidR="008D1372" w:rsidRPr="00C90BB2">
        <w:rPr>
          <w:rFonts w:ascii="Times New Roman" w:hAnsi="Times New Roman" w:cs="Times New Roman"/>
          <w:sz w:val="24"/>
          <w:szCs w:val="24"/>
        </w:rPr>
        <w:t>(2,6 mld EUR).</w:t>
      </w:r>
    </w:p>
    <w:p w:rsidR="008D1372" w:rsidRPr="00C90BB2" w:rsidRDefault="008D1372" w:rsidP="008C10E7">
      <w:pPr>
        <w:spacing w:after="120"/>
        <w:ind w:firstLine="708"/>
        <w:jc w:val="both"/>
        <w:rPr>
          <w:rFonts w:ascii="Times New Roman" w:hAnsi="Times New Roman" w:cs="Times New Roman"/>
          <w:sz w:val="24"/>
          <w:szCs w:val="24"/>
        </w:rPr>
      </w:pPr>
      <w:r w:rsidRPr="00C90BB2">
        <w:rPr>
          <w:rFonts w:ascii="Times New Roman" w:hAnsi="Times New Roman" w:cs="Times New Roman"/>
          <w:sz w:val="24"/>
          <w:szCs w:val="24"/>
        </w:rPr>
        <w:t>Na dość wysokim poziomie w ciągu całego roku utrzymywała się inflacja</w:t>
      </w:r>
      <w:r w:rsidR="007D2ED2" w:rsidRPr="00C90BB2">
        <w:rPr>
          <w:rFonts w:ascii="Times New Roman" w:hAnsi="Times New Roman" w:cs="Times New Roman"/>
          <w:sz w:val="24"/>
          <w:szCs w:val="24"/>
        </w:rPr>
        <w:t xml:space="preserve">. W grudniu </w:t>
      </w:r>
      <w:r w:rsidR="00E56CAC" w:rsidRPr="00C90BB2">
        <w:rPr>
          <w:rFonts w:ascii="Times New Roman" w:hAnsi="Times New Roman" w:cs="Times New Roman"/>
          <w:sz w:val="24"/>
          <w:szCs w:val="24"/>
        </w:rPr>
        <w:t>2011</w:t>
      </w:r>
      <w:r w:rsidR="007D2ED2" w:rsidRPr="00C90BB2">
        <w:rPr>
          <w:rFonts w:ascii="Times New Roman" w:hAnsi="Times New Roman" w:cs="Times New Roman"/>
          <w:sz w:val="24"/>
          <w:szCs w:val="24"/>
        </w:rPr>
        <w:t xml:space="preserve"> roku dwunastomiesięczny wzrost cen towarów i usług</w:t>
      </w:r>
      <w:r w:rsidR="00ED6A53" w:rsidRPr="00C90BB2">
        <w:rPr>
          <w:rFonts w:ascii="Times New Roman" w:hAnsi="Times New Roman" w:cs="Times New Roman"/>
          <w:sz w:val="24"/>
          <w:szCs w:val="24"/>
        </w:rPr>
        <w:t xml:space="preserve"> konsumpcyjnych wynosił</w:t>
      </w:r>
      <w:r w:rsidR="00E56CAC" w:rsidRPr="00C90BB2">
        <w:rPr>
          <w:rFonts w:ascii="Times New Roman" w:hAnsi="Times New Roman" w:cs="Times New Roman"/>
          <w:sz w:val="24"/>
          <w:szCs w:val="24"/>
        </w:rPr>
        <w:t xml:space="preserve"> 4,6%, wobec 3,1% w roku poprzednim. Na wzrost wskaźnika inflacji w głównej mierze wpływ miały podwyżki cen energii elektrycznej oraz zmiany stawek podatku VAT (od początku 2011). Na inflacje istotny wpływ miała również obserwowana w 2011 roku deprecjacja </w:t>
      </w:r>
      <w:r w:rsidR="00E56CAC" w:rsidRPr="00C90BB2">
        <w:rPr>
          <w:rFonts w:ascii="Times New Roman" w:hAnsi="Times New Roman" w:cs="Times New Roman"/>
          <w:sz w:val="24"/>
          <w:szCs w:val="24"/>
        </w:rPr>
        <w:lastRenderedPageBreak/>
        <w:t>złotego</w:t>
      </w:r>
      <w:r w:rsidR="002931F1">
        <w:rPr>
          <w:rFonts w:ascii="Times New Roman" w:hAnsi="Times New Roman" w:cs="Times New Roman"/>
          <w:sz w:val="24"/>
          <w:szCs w:val="24"/>
        </w:rPr>
        <w:t>.</w:t>
      </w:r>
      <w:r w:rsidR="00E56CAC" w:rsidRPr="00C90BB2">
        <w:rPr>
          <w:rFonts w:ascii="Times New Roman" w:hAnsi="Times New Roman" w:cs="Times New Roman"/>
          <w:sz w:val="24"/>
          <w:szCs w:val="24"/>
        </w:rPr>
        <w:t xml:space="preserve"> </w:t>
      </w:r>
      <w:r w:rsidR="002931F1">
        <w:rPr>
          <w:rFonts w:ascii="Times New Roman" w:hAnsi="Times New Roman" w:cs="Times New Roman"/>
          <w:sz w:val="24"/>
          <w:szCs w:val="24"/>
        </w:rPr>
        <w:t>W</w:t>
      </w:r>
      <w:r w:rsidR="00E56CAC" w:rsidRPr="00C90BB2">
        <w:rPr>
          <w:rFonts w:ascii="Times New Roman" w:hAnsi="Times New Roman" w:cs="Times New Roman"/>
          <w:sz w:val="24"/>
          <w:szCs w:val="24"/>
        </w:rPr>
        <w:t xml:space="preserve"> zestawieniu notowań miesiąca grudnia rok do roku złoty stracił w relacji do euro i dolara </w:t>
      </w:r>
      <w:r w:rsidR="00B514EA">
        <w:rPr>
          <w:rFonts w:ascii="Times New Roman" w:hAnsi="Times New Roman" w:cs="Times New Roman"/>
          <w:sz w:val="24"/>
          <w:szCs w:val="24"/>
        </w:rPr>
        <w:t>około</w:t>
      </w:r>
      <w:r w:rsidR="00E56CAC" w:rsidRPr="00C90BB2">
        <w:rPr>
          <w:rFonts w:ascii="Times New Roman" w:hAnsi="Times New Roman" w:cs="Times New Roman"/>
          <w:sz w:val="24"/>
          <w:szCs w:val="24"/>
        </w:rPr>
        <w:t xml:space="preserve"> 12%. </w:t>
      </w:r>
    </w:p>
    <w:p w:rsidR="00E56CAC" w:rsidRPr="00C90BB2" w:rsidRDefault="00E56CAC" w:rsidP="008C10E7">
      <w:pPr>
        <w:spacing w:after="120"/>
        <w:ind w:firstLine="708"/>
        <w:jc w:val="both"/>
        <w:rPr>
          <w:rFonts w:ascii="Times New Roman" w:hAnsi="Times New Roman" w:cs="Times New Roman"/>
          <w:sz w:val="24"/>
          <w:szCs w:val="24"/>
        </w:rPr>
      </w:pPr>
      <w:r w:rsidRPr="00C90BB2">
        <w:rPr>
          <w:rFonts w:ascii="Times New Roman" w:hAnsi="Times New Roman" w:cs="Times New Roman"/>
          <w:sz w:val="24"/>
          <w:szCs w:val="24"/>
        </w:rPr>
        <w:t xml:space="preserve">W ciągu całego 2011 roku </w:t>
      </w:r>
      <w:r w:rsidR="00AA538A" w:rsidRPr="00C90BB2">
        <w:rPr>
          <w:rFonts w:ascii="Times New Roman" w:hAnsi="Times New Roman" w:cs="Times New Roman"/>
          <w:sz w:val="24"/>
          <w:szCs w:val="24"/>
        </w:rPr>
        <w:t>utrzymywała</w:t>
      </w:r>
      <w:r w:rsidRPr="00C90BB2">
        <w:rPr>
          <w:rFonts w:ascii="Times New Roman" w:hAnsi="Times New Roman" w:cs="Times New Roman"/>
          <w:sz w:val="24"/>
          <w:szCs w:val="24"/>
        </w:rPr>
        <w:t xml:space="preserve"> się dość trudna sytuacja na rynku pracy. </w:t>
      </w:r>
      <w:r w:rsidR="00DF3F96">
        <w:rPr>
          <w:rFonts w:ascii="Times New Roman" w:hAnsi="Times New Roman" w:cs="Times New Roman"/>
          <w:sz w:val="24"/>
          <w:szCs w:val="24"/>
        </w:rPr>
        <w:br/>
      </w:r>
      <w:r w:rsidRPr="00C90BB2">
        <w:rPr>
          <w:rFonts w:ascii="Times New Roman" w:hAnsi="Times New Roman" w:cs="Times New Roman"/>
          <w:sz w:val="24"/>
          <w:szCs w:val="24"/>
        </w:rPr>
        <w:t>Pod koniec roku</w:t>
      </w:r>
      <w:r w:rsidR="00AA538A" w:rsidRPr="00C90BB2">
        <w:rPr>
          <w:rFonts w:ascii="Times New Roman" w:hAnsi="Times New Roman" w:cs="Times New Roman"/>
          <w:sz w:val="24"/>
          <w:szCs w:val="24"/>
        </w:rPr>
        <w:t xml:space="preserve"> stopa bezrobocia wzrosła do 12,5%, a w pierwszym kwartale, podobnie jak w 2010 roku przekraczała 13%. Oznacza to, iż bez pracy pozostawało prawie 2,2 mln osób.</w:t>
      </w:r>
    </w:p>
    <w:p w:rsidR="00AA538A" w:rsidRPr="00C90BB2" w:rsidRDefault="00AA538A" w:rsidP="008C10E7">
      <w:pPr>
        <w:spacing w:after="120"/>
        <w:ind w:firstLine="708"/>
        <w:jc w:val="both"/>
        <w:rPr>
          <w:rFonts w:ascii="Times New Roman" w:hAnsi="Times New Roman" w:cs="Times New Roman"/>
          <w:sz w:val="24"/>
          <w:szCs w:val="24"/>
        </w:rPr>
      </w:pPr>
      <w:r w:rsidRPr="00C90BB2">
        <w:rPr>
          <w:rFonts w:ascii="Times New Roman" w:hAnsi="Times New Roman" w:cs="Times New Roman"/>
          <w:sz w:val="24"/>
          <w:szCs w:val="24"/>
        </w:rPr>
        <w:t xml:space="preserve">Dobrym prognostykiem w 2011 roku było przełamanie wieloletniego </w:t>
      </w:r>
      <w:r w:rsidR="00AE5067" w:rsidRPr="00C90BB2">
        <w:rPr>
          <w:rFonts w:ascii="Times New Roman" w:hAnsi="Times New Roman" w:cs="Times New Roman"/>
          <w:sz w:val="24"/>
          <w:szCs w:val="24"/>
        </w:rPr>
        <w:t>trendu</w:t>
      </w:r>
      <w:r w:rsidRPr="00C90BB2">
        <w:rPr>
          <w:rFonts w:ascii="Times New Roman" w:hAnsi="Times New Roman" w:cs="Times New Roman"/>
          <w:sz w:val="24"/>
          <w:szCs w:val="24"/>
        </w:rPr>
        <w:t xml:space="preserve"> powiększania się zapaści finansów publicznych. Deficyt sektora instytucji rządowych i samorządowych w odniesieniu do PKB (wg metodologii UE ESA’95) </w:t>
      </w:r>
      <w:r w:rsidR="00AE5067" w:rsidRPr="00C90BB2">
        <w:rPr>
          <w:rFonts w:ascii="Times New Roman" w:hAnsi="Times New Roman" w:cs="Times New Roman"/>
          <w:sz w:val="24"/>
          <w:szCs w:val="24"/>
        </w:rPr>
        <w:t>wyniosła</w:t>
      </w:r>
      <w:r w:rsidRPr="00C90BB2">
        <w:rPr>
          <w:rFonts w:ascii="Times New Roman" w:hAnsi="Times New Roman" w:cs="Times New Roman"/>
          <w:sz w:val="24"/>
          <w:szCs w:val="24"/>
        </w:rPr>
        <w:t xml:space="preserve"> 5,1% wobec 7,8% w 2010</w:t>
      </w:r>
      <w:r w:rsidR="00670635">
        <w:rPr>
          <w:rFonts w:ascii="Times New Roman" w:hAnsi="Times New Roman" w:cs="Times New Roman"/>
          <w:sz w:val="24"/>
          <w:szCs w:val="24"/>
        </w:rPr>
        <w:t xml:space="preserve"> </w:t>
      </w:r>
      <w:r w:rsidRPr="00C90BB2">
        <w:rPr>
          <w:rFonts w:ascii="Times New Roman" w:hAnsi="Times New Roman" w:cs="Times New Roman"/>
          <w:sz w:val="24"/>
          <w:szCs w:val="24"/>
        </w:rPr>
        <w:t xml:space="preserve">r. W dalszym ciągu jednak z niepokojem </w:t>
      </w:r>
      <w:r w:rsidR="00AE5067" w:rsidRPr="00C90BB2">
        <w:rPr>
          <w:rFonts w:ascii="Times New Roman" w:hAnsi="Times New Roman" w:cs="Times New Roman"/>
          <w:sz w:val="24"/>
          <w:szCs w:val="24"/>
        </w:rPr>
        <w:t>obserwowaliśmy</w:t>
      </w:r>
      <w:r w:rsidRPr="00C90BB2">
        <w:rPr>
          <w:rFonts w:ascii="Times New Roman" w:hAnsi="Times New Roman" w:cs="Times New Roman"/>
          <w:sz w:val="24"/>
          <w:szCs w:val="24"/>
        </w:rPr>
        <w:t xml:space="preserve"> powiększanie</w:t>
      </w:r>
      <w:r w:rsidR="00AE5067" w:rsidRPr="00C90BB2">
        <w:rPr>
          <w:rFonts w:ascii="Times New Roman" w:hAnsi="Times New Roman" w:cs="Times New Roman"/>
          <w:sz w:val="24"/>
          <w:szCs w:val="24"/>
        </w:rPr>
        <w:t xml:space="preserve"> się relacji długu publicznego do PKB, wyniosła ona w 2011 roku 56,3 wobec 54,8 w roku ubiegłym. Pomimo</w:t>
      </w:r>
      <w:r w:rsidR="00161B8E" w:rsidRPr="00C90BB2">
        <w:rPr>
          <w:rFonts w:ascii="Times New Roman" w:hAnsi="Times New Roman" w:cs="Times New Roman"/>
          <w:sz w:val="24"/>
          <w:szCs w:val="24"/>
        </w:rPr>
        <w:t xml:space="preserve"> niewielkiego wzrostu zadłużenia, dość dobre dane polskiej gospodarki, dające perspektywę jego redukcji pozwoliły utrzymać wiarygodność kredytową (rating) Polski, jako jednego z nielicznych krajów na niezmienionym poziomie.</w:t>
      </w:r>
    </w:p>
    <w:p w:rsidR="00C90BB2" w:rsidRDefault="00C90BB2" w:rsidP="00C90BB2">
      <w:pPr>
        <w:spacing w:after="120"/>
        <w:ind w:firstLine="708"/>
        <w:jc w:val="both"/>
        <w:rPr>
          <w:rFonts w:ascii="Times New Roman" w:hAnsi="Times New Roman" w:cs="Times New Roman"/>
          <w:sz w:val="24"/>
          <w:szCs w:val="24"/>
        </w:rPr>
      </w:pPr>
    </w:p>
    <w:p w:rsidR="00C90BB2" w:rsidRPr="00C90BB2" w:rsidRDefault="00C90BB2" w:rsidP="00C90BB2">
      <w:pPr>
        <w:rPr>
          <w:rFonts w:ascii="Times New Roman" w:hAnsi="Times New Roman" w:cs="Times New Roman"/>
          <w:b/>
          <w:sz w:val="24"/>
          <w:szCs w:val="24"/>
        </w:rPr>
      </w:pPr>
      <w:r w:rsidRPr="00C90BB2">
        <w:rPr>
          <w:rFonts w:ascii="Times New Roman" w:hAnsi="Times New Roman" w:cs="Times New Roman"/>
          <w:b/>
          <w:sz w:val="24"/>
          <w:szCs w:val="24"/>
        </w:rPr>
        <w:t>Uwarunkowania w rolnictwie</w:t>
      </w:r>
    </w:p>
    <w:p w:rsidR="003C2E95" w:rsidRPr="00C90BB2" w:rsidRDefault="00324213" w:rsidP="00C90BB2">
      <w:pPr>
        <w:spacing w:after="120"/>
        <w:ind w:firstLine="708"/>
        <w:jc w:val="both"/>
        <w:rPr>
          <w:rFonts w:ascii="Times New Roman" w:hAnsi="Times New Roman" w:cs="Times New Roman"/>
          <w:sz w:val="24"/>
          <w:szCs w:val="24"/>
        </w:rPr>
      </w:pPr>
      <w:r w:rsidRPr="00C90BB2">
        <w:rPr>
          <w:rFonts w:ascii="Times New Roman" w:hAnsi="Times New Roman" w:cs="Times New Roman"/>
          <w:sz w:val="24"/>
          <w:szCs w:val="24"/>
        </w:rPr>
        <w:t xml:space="preserve">W 2001 roku globalna produkcja rolnicza zwiększyła się w </w:t>
      </w:r>
      <w:r w:rsidR="00496BF9" w:rsidRPr="00C90BB2">
        <w:rPr>
          <w:rFonts w:ascii="Times New Roman" w:hAnsi="Times New Roman" w:cs="Times New Roman"/>
          <w:sz w:val="24"/>
          <w:szCs w:val="24"/>
        </w:rPr>
        <w:t>2011 roku o 1,3%, w tym roślinna o 5,5% za sprawą dobrych zbiorów</w:t>
      </w:r>
      <w:r w:rsidR="00B514EA">
        <w:rPr>
          <w:rFonts w:ascii="Times New Roman" w:hAnsi="Times New Roman" w:cs="Times New Roman"/>
          <w:sz w:val="24"/>
          <w:szCs w:val="24"/>
        </w:rPr>
        <w:t xml:space="preserve"> </w:t>
      </w:r>
      <w:r w:rsidR="00496BF9" w:rsidRPr="00C90BB2">
        <w:rPr>
          <w:rFonts w:ascii="Times New Roman" w:hAnsi="Times New Roman" w:cs="Times New Roman"/>
          <w:sz w:val="24"/>
          <w:szCs w:val="24"/>
        </w:rPr>
        <w:t xml:space="preserve">( z wyjątkiem zbóż rzepaku i rzepiku). O 3,5% </w:t>
      </w:r>
      <w:r w:rsidR="001C0475" w:rsidRPr="00C90BB2">
        <w:rPr>
          <w:rFonts w:ascii="Times New Roman" w:hAnsi="Times New Roman" w:cs="Times New Roman"/>
          <w:sz w:val="24"/>
          <w:szCs w:val="24"/>
        </w:rPr>
        <w:t>niższa</w:t>
      </w:r>
      <w:r w:rsidR="00496BF9" w:rsidRPr="00C90BB2">
        <w:rPr>
          <w:rFonts w:ascii="Times New Roman" w:hAnsi="Times New Roman" w:cs="Times New Roman"/>
          <w:sz w:val="24"/>
          <w:szCs w:val="24"/>
        </w:rPr>
        <w:t xml:space="preserve"> była natomiast produkcja zwierzęca. Dane </w:t>
      </w:r>
      <w:r w:rsidR="00B514EA">
        <w:rPr>
          <w:rFonts w:ascii="Times New Roman" w:hAnsi="Times New Roman" w:cs="Times New Roman"/>
          <w:sz w:val="24"/>
          <w:szCs w:val="24"/>
        </w:rPr>
        <w:t>z</w:t>
      </w:r>
      <w:r w:rsidR="00496BF9" w:rsidRPr="00C90BB2">
        <w:rPr>
          <w:rFonts w:ascii="Times New Roman" w:hAnsi="Times New Roman" w:cs="Times New Roman"/>
          <w:sz w:val="24"/>
          <w:szCs w:val="24"/>
        </w:rPr>
        <w:t xml:space="preserve"> końca 2011 roku wykazują 11% spadek pogłowia trzody chlewnej oraz spadek pogłowia bydła o 1,1%.</w:t>
      </w:r>
    </w:p>
    <w:p w:rsidR="006A64B7" w:rsidRPr="00C90BB2" w:rsidRDefault="006A64B7" w:rsidP="006A64B7">
      <w:pPr>
        <w:spacing w:line="264" w:lineRule="auto"/>
        <w:ind w:firstLine="708"/>
        <w:jc w:val="right"/>
        <w:rPr>
          <w:rFonts w:ascii="Times New Roman" w:hAnsi="Times New Roman" w:cs="Times New Roman"/>
          <w:sz w:val="24"/>
          <w:szCs w:val="24"/>
          <w:lang w:eastAsia="pl-PL"/>
        </w:rPr>
      </w:pPr>
      <w:r w:rsidRPr="00C90BB2">
        <w:rPr>
          <w:rFonts w:ascii="Times New Roman" w:hAnsi="Times New Roman" w:cs="Times New Roman"/>
          <w:sz w:val="24"/>
          <w:szCs w:val="24"/>
          <w:lang w:eastAsia="pl-PL"/>
        </w:rPr>
        <w:t>Wykres</w:t>
      </w:r>
      <w:r w:rsidR="00485BDE">
        <w:rPr>
          <w:rFonts w:ascii="Times New Roman" w:hAnsi="Times New Roman" w:cs="Times New Roman"/>
          <w:sz w:val="24"/>
          <w:szCs w:val="24"/>
          <w:lang w:eastAsia="pl-PL"/>
        </w:rPr>
        <w:t xml:space="preserve"> 1</w:t>
      </w:r>
    </w:p>
    <w:p w:rsidR="006A64B7" w:rsidRPr="00C90BB2" w:rsidRDefault="006A64B7" w:rsidP="006A64B7">
      <w:pPr>
        <w:pStyle w:val="Tekstpodstawowy2"/>
        <w:spacing w:after="0" w:line="240" w:lineRule="auto"/>
        <w:jc w:val="center"/>
        <w:rPr>
          <w:rFonts w:ascii="Times New Roman" w:hAnsi="Times New Roman" w:cs="Times New Roman"/>
          <w:sz w:val="24"/>
          <w:szCs w:val="24"/>
        </w:rPr>
      </w:pPr>
      <w:r w:rsidRPr="00C90BB2">
        <w:rPr>
          <w:rFonts w:ascii="Times New Roman" w:hAnsi="Times New Roman" w:cs="Times New Roman"/>
          <w:sz w:val="24"/>
          <w:szCs w:val="24"/>
        </w:rPr>
        <w:t>Wskaźniki obrazujące zmiany rynkowych uwarunkowań produkcji w rolnictwie</w:t>
      </w:r>
    </w:p>
    <w:p w:rsidR="006A64B7" w:rsidRPr="00C90BB2" w:rsidRDefault="006A64B7" w:rsidP="006A64B7">
      <w:pPr>
        <w:pStyle w:val="Tekstpodstawowy2"/>
        <w:spacing w:line="240" w:lineRule="auto"/>
        <w:jc w:val="center"/>
        <w:rPr>
          <w:rFonts w:ascii="Times New Roman" w:hAnsi="Times New Roman" w:cs="Times New Roman"/>
          <w:sz w:val="24"/>
          <w:szCs w:val="24"/>
        </w:rPr>
      </w:pPr>
      <w:r w:rsidRPr="00C90BB2">
        <w:rPr>
          <w:rFonts w:ascii="Times New Roman" w:hAnsi="Times New Roman" w:cs="Times New Roman"/>
          <w:sz w:val="24"/>
          <w:szCs w:val="24"/>
        </w:rPr>
        <w:t>w latach 2009-2011</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5103"/>
      </w:tblGrid>
      <w:tr w:rsidR="001C0475" w:rsidTr="002B2DCA">
        <w:trPr>
          <w:trHeight w:val="3846"/>
        </w:trPr>
        <w:tc>
          <w:tcPr>
            <w:tcW w:w="4962" w:type="dxa"/>
          </w:tcPr>
          <w:p w:rsidR="001C0475" w:rsidRDefault="001C0475" w:rsidP="00BD48F0">
            <w:pPr>
              <w:pStyle w:val="Legenda"/>
            </w:pPr>
            <w:r>
              <w:t>Rys. 1. Wyrównane wskaźniki koniunktury w rolnictwie</w:t>
            </w:r>
          </w:p>
          <w:p w:rsidR="001C0475" w:rsidRDefault="001C0475" w:rsidP="00BD48F0">
            <w:pPr>
              <w:pStyle w:val="Legenda"/>
            </w:pPr>
            <w:r>
              <w:rPr>
                <w:noProof/>
              </w:rPr>
              <w:drawing>
                <wp:inline distT="0" distB="0" distL="0" distR="0">
                  <wp:extent cx="3155950" cy="2249805"/>
                  <wp:effectExtent l="0" t="0" r="0" b="0"/>
                  <wp:docPr id="5" name="Wykres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5103" w:type="dxa"/>
          </w:tcPr>
          <w:p w:rsidR="001C0475" w:rsidRDefault="001C0475" w:rsidP="00BD48F0">
            <w:pPr>
              <w:pStyle w:val="Legenda"/>
            </w:pPr>
            <w:r>
              <w:t>Rys. 2. Wyrównane wskaźniki zmian cen</w:t>
            </w:r>
          </w:p>
          <w:p w:rsidR="001C0475" w:rsidRDefault="001C0475" w:rsidP="00BD48F0">
            <w:pPr>
              <w:pStyle w:val="Legenda"/>
            </w:pPr>
            <w:r>
              <w:rPr>
                <w:noProof/>
              </w:rPr>
              <w:drawing>
                <wp:inline distT="0" distB="0" distL="0" distR="0">
                  <wp:extent cx="3171825" cy="2233295"/>
                  <wp:effectExtent l="0" t="0" r="0" b="0"/>
                  <wp:docPr id="6" name="Wykres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1C0475" w:rsidTr="002B2DCA">
        <w:trPr>
          <w:trHeight w:val="3648"/>
        </w:trPr>
        <w:tc>
          <w:tcPr>
            <w:tcW w:w="4962" w:type="dxa"/>
          </w:tcPr>
          <w:p w:rsidR="001C0475" w:rsidRDefault="001C0475" w:rsidP="00BD48F0">
            <w:pPr>
              <w:pStyle w:val="Legenda"/>
            </w:pPr>
            <w:r>
              <w:lastRenderedPageBreak/>
              <w:t>Rys. 3. Wyrównane wskaźniki zmian cen</w:t>
            </w:r>
          </w:p>
          <w:p w:rsidR="001C0475" w:rsidRDefault="001C0475" w:rsidP="00BD48F0">
            <w:pPr>
              <w:pStyle w:val="Legenda"/>
            </w:pPr>
            <w:r>
              <w:rPr>
                <w:noProof/>
              </w:rPr>
              <w:drawing>
                <wp:inline distT="0" distB="0" distL="0" distR="0">
                  <wp:extent cx="3147695" cy="2087880"/>
                  <wp:effectExtent l="0" t="0" r="0" b="0"/>
                  <wp:docPr id="7" name="Wykres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5103" w:type="dxa"/>
          </w:tcPr>
          <w:p w:rsidR="001C0475" w:rsidRDefault="001C0475" w:rsidP="00BD48F0">
            <w:pPr>
              <w:pStyle w:val="Legenda"/>
            </w:pPr>
            <w:r>
              <w:t>Rys. 4. Skumulowany wskaźnik nożyc cen</w:t>
            </w:r>
          </w:p>
          <w:p w:rsidR="001C0475" w:rsidRDefault="001C0475" w:rsidP="00BD48F0">
            <w:pPr>
              <w:pStyle w:val="Legenda"/>
            </w:pPr>
            <w:r>
              <w:rPr>
                <w:noProof/>
              </w:rPr>
              <w:drawing>
                <wp:inline distT="0" distB="0" distL="0" distR="0">
                  <wp:extent cx="3164205" cy="2087880"/>
                  <wp:effectExtent l="0" t="0" r="0" b="0"/>
                  <wp:docPr id="8" name="Wykres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bl>
    <w:p w:rsidR="006A64B7" w:rsidRPr="00C90BB2" w:rsidRDefault="006A64B7" w:rsidP="00C90BB2">
      <w:pPr>
        <w:pStyle w:val="Tekstpodstawowy"/>
        <w:spacing w:after="0"/>
        <w:rPr>
          <w:rFonts w:ascii="Times New Roman" w:hAnsi="Times New Roman" w:cs="Times New Roman"/>
          <w:sz w:val="20"/>
        </w:rPr>
      </w:pPr>
      <w:r w:rsidRPr="00C90BB2">
        <w:rPr>
          <w:rFonts w:ascii="Times New Roman" w:hAnsi="Times New Roman" w:cs="Times New Roman"/>
          <w:sz w:val="20"/>
        </w:rPr>
        <w:t>Wskaźnik zmian cen skupu liczony jest jako średnia arytmetyczna ważona dla koszyka produktów notowanych co miesiąc przez GUS i publikowanych w biuletynach statystycznyc</w:t>
      </w:r>
      <w:r w:rsidR="00AD6139">
        <w:rPr>
          <w:rFonts w:ascii="Times New Roman" w:hAnsi="Times New Roman" w:cs="Times New Roman"/>
          <w:sz w:val="20"/>
        </w:rPr>
        <w:t>h GUS. Są to zboża ogółem w tym</w:t>
      </w:r>
      <w:r w:rsidRPr="00C90BB2">
        <w:rPr>
          <w:rFonts w:ascii="Times New Roman" w:hAnsi="Times New Roman" w:cs="Times New Roman"/>
          <w:sz w:val="20"/>
        </w:rPr>
        <w:t>, pszenica i żyto, ziemniaki ,żywiec ogółem w tym żywiec wołowy, wieprzowy, i drób, oraz mleko.</w:t>
      </w:r>
    </w:p>
    <w:p w:rsidR="00DE0C48" w:rsidRPr="00DE0C48" w:rsidRDefault="006A64B7" w:rsidP="00DE0C48">
      <w:pPr>
        <w:pStyle w:val="Tekstpodstawowy"/>
        <w:spacing w:after="0"/>
        <w:rPr>
          <w:rFonts w:ascii="Times New Roman" w:hAnsi="Times New Roman" w:cs="Times New Roman"/>
          <w:sz w:val="20"/>
        </w:rPr>
      </w:pPr>
      <w:r w:rsidRPr="00C90BB2">
        <w:rPr>
          <w:rFonts w:ascii="Times New Roman" w:hAnsi="Times New Roman" w:cs="Times New Roman"/>
          <w:sz w:val="20"/>
        </w:rPr>
        <w:t>Źródło: „Rynek Rolny”, Luty 2012.</w:t>
      </w:r>
    </w:p>
    <w:p w:rsidR="00DE0C48" w:rsidRPr="00C90BB2" w:rsidRDefault="00DE0C48" w:rsidP="00DE0C48">
      <w:pPr>
        <w:spacing w:before="120"/>
        <w:ind w:firstLine="709"/>
        <w:jc w:val="both"/>
        <w:rPr>
          <w:rFonts w:ascii="Times New Roman" w:hAnsi="Times New Roman" w:cs="Times New Roman"/>
          <w:sz w:val="24"/>
          <w:szCs w:val="24"/>
        </w:rPr>
      </w:pPr>
      <w:r w:rsidRPr="00C90BB2">
        <w:rPr>
          <w:rFonts w:ascii="Times New Roman" w:hAnsi="Times New Roman" w:cs="Times New Roman"/>
          <w:sz w:val="24"/>
          <w:szCs w:val="24"/>
        </w:rPr>
        <w:t xml:space="preserve">Pod koniec 2011 r. rynkowe uwarunkowania produkcji rolniczej nadal były korzystne. Syntetyczny wskaźnik koniunktury w rolnictwie (SWKR) był jednak o 0,6 pkt. proc. gorszy niż przed rokiem. Wpłynęła na to zarówno poprawa wyrównanego wskaźnika nożyc cen </w:t>
      </w:r>
      <w:r w:rsidR="00B514EA">
        <w:rPr>
          <w:rFonts w:ascii="Times New Roman" w:hAnsi="Times New Roman" w:cs="Times New Roman"/>
          <w:sz w:val="24"/>
          <w:szCs w:val="24"/>
        </w:rPr>
        <w:br/>
      </w:r>
      <w:r w:rsidRPr="00C90BB2">
        <w:rPr>
          <w:rFonts w:ascii="Times New Roman" w:hAnsi="Times New Roman" w:cs="Times New Roman"/>
          <w:sz w:val="24"/>
          <w:szCs w:val="24"/>
        </w:rPr>
        <w:t>(o 0,3 pkt. proc.), jak i wyrównanego wskaźnika potencjalnego popytu (o 0,3 pkt. proc.). Na poprawę wyrównanego wskaźnika nożyc cen wpływ miał wzrost wyrównanego wskaźnika cen skupu podstawowych produktów rolniczych (o 0,3 pkt. proc.) przy wzroście wskaźnik</w:t>
      </w:r>
      <w:r w:rsidR="00AD6139">
        <w:rPr>
          <w:rFonts w:ascii="Times New Roman" w:hAnsi="Times New Roman" w:cs="Times New Roman"/>
          <w:sz w:val="24"/>
          <w:szCs w:val="24"/>
        </w:rPr>
        <w:t>a</w:t>
      </w:r>
      <w:r w:rsidRPr="00C90BB2">
        <w:rPr>
          <w:rFonts w:ascii="Times New Roman" w:hAnsi="Times New Roman" w:cs="Times New Roman"/>
          <w:sz w:val="24"/>
          <w:szCs w:val="24"/>
        </w:rPr>
        <w:t xml:space="preserve"> cen detalicznych śro</w:t>
      </w:r>
      <w:r w:rsidR="00670635">
        <w:rPr>
          <w:rFonts w:ascii="Times New Roman" w:hAnsi="Times New Roman" w:cs="Times New Roman"/>
          <w:sz w:val="24"/>
          <w:szCs w:val="24"/>
        </w:rPr>
        <w:t>dków produkcji o 0,1 pkt. proc.</w:t>
      </w:r>
      <w:r w:rsidRPr="00C90BB2">
        <w:rPr>
          <w:rFonts w:ascii="Times New Roman" w:hAnsi="Times New Roman" w:cs="Times New Roman"/>
          <w:sz w:val="24"/>
          <w:szCs w:val="24"/>
        </w:rPr>
        <w:t xml:space="preserve"> Na poprawę wyrównanego wskaźnika potencjalnego popytu wpłynęła </w:t>
      </w:r>
      <w:r w:rsidR="00AD6139">
        <w:rPr>
          <w:rFonts w:ascii="Times New Roman" w:hAnsi="Times New Roman" w:cs="Times New Roman"/>
          <w:sz w:val="24"/>
          <w:szCs w:val="24"/>
        </w:rPr>
        <w:t xml:space="preserve">natomiast </w:t>
      </w:r>
      <w:r w:rsidRPr="00C90BB2">
        <w:rPr>
          <w:rFonts w:ascii="Times New Roman" w:hAnsi="Times New Roman" w:cs="Times New Roman"/>
          <w:sz w:val="24"/>
          <w:szCs w:val="24"/>
        </w:rPr>
        <w:t xml:space="preserve">poprawa wyrównanego indeksu produkcji przemysłu spożywczego oraz ożywienie obrotów handlowych z zagranicą. </w:t>
      </w:r>
    </w:p>
    <w:p w:rsidR="00FD73EC" w:rsidRPr="00C90BB2" w:rsidRDefault="00FD73EC" w:rsidP="00C90BB2">
      <w:pPr>
        <w:spacing w:before="120" w:after="120"/>
        <w:ind w:firstLine="709"/>
        <w:jc w:val="both"/>
        <w:rPr>
          <w:rFonts w:ascii="Times New Roman" w:hAnsi="Times New Roman" w:cs="Times New Roman"/>
          <w:sz w:val="24"/>
          <w:szCs w:val="24"/>
        </w:rPr>
      </w:pPr>
      <w:r w:rsidRPr="00C90BB2">
        <w:rPr>
          <w:rFonts w:ascii="Times New Roman" w:hAnsi="Times New Roman" w:cs="Times New Roman"/>
          <w:sz w:val="24"/>
          <w:szCs w:val="24"/>
        </w:rPr>
        <w:t>Można</w:t>
      </w:r>
      <w:r w:rsidR="001C0475" w:rsidRPr="00C90BB2">
        <w:rPr>
          <w:rFonts w:ascii="Times New Roman" w:hAnsi="Times New Roman" w:cs="Times New Roman"/>
          <w:sz w:val="24"/>
          <w:szCs w:val="24"/>
        </w:rPr>
        <w:t xml:space="preserve"> zatem</w:t>
      </w:r>
      <w:r w:rsidRPr="00C90BB2">
        <w:rPr>
          <w:rFonts w:ascii="Times New Roman" w:hAnsi="Times New Roman" w:cs="Times New Roman"/>
          <w:sz w:val="24"/>
          <w:szCs w:val="24"/>
        </w:rPr>
        <w:t xml:space="preserve"> </w:t>
      </w:r>
      <w:r w:rsidR="00B0005C" w:rsidRPr="00C90BB2">
        <w:rPr>
          <w:rFonts w:ascii="Times New Roman" w:hAnsi="Times New Roman" w:cs="Times New Roman"/>
          <w:sz w:val="24"/>
          <w:szCs w:val="24"/>
        </w:rPr>
        <w:t>stwierdzić</w:t>
      </w:r>
      <w:r w:rsidRPr="00C90BB2">
        <w:rPr>
          <w:rFonts w:ascii="Times New Roman" w:hAnsi="Times New Roman" w:cs="Times New Roman"/>
          <w:sz w:val="24"/>
          <w:szCs w:val="24"/>
        </w:rPr>
        <w:t>, iż rok 2011 był trzecim z kolei korzystnym rokiem dla Polskiego rolnictwa. Uwarunkowania produkcji rolniczej</w:t>
      </w:r>
      <w:r w:rsidR="00B0005C" w:rsidRPr="00C90BB2">
        <w:rPr>
          <w:rFonts w:ascii="Times New Roman" w:hAnsi="Times New Roman" w:cs="Times New Roman"/>
          <w:sz w:val="24"/>
          <w:szCs w:val="24"/>
        </w:rPr>
        <w:t>, co prawda</w:t>
      </w:r>
      <w:r w:rsidRPr="00C90BB2">
        <w:rPr>
          <w:rFonts w:ascii="Times New Roman" w:hAnsi="Times New Roman" w:cs="Times New Roman"/>
          <w:sz w:val="24"/>
          <w:szCs w:val="24"/>
        </w:rPr>
        <w:t xml:space="preserve"> nieznacznie pogorszyły się w porównaniu z bardzo dobrym pod tym względem </w:t>
      </w:r>
      <w:r w:rsidR="00B0005C" w:rsidRPr="00C90BB2">
        <w:rPr>
          <w:rFonts w:ascii="Times New Roman" w:hAnsi="Times New Roman" w:cs="Times New Roman"/>
          <w:sz w:val="24"/>
          <w:szCs w:val="24"/>
        </w:rPr>
        <w:t xml:space="preserve">2010 </w:t>
      </w:r>
      <w:r w:rsidRPr="00C90BB2">
        <w:rPr>
          <w:rFonts w:ascii="Times New Roman" w:hAnsi="Times New Roman" w:cs="Times New Roman"/>
          <w:sz w:val="24"/>
          <w:szCs w:val="24"/>
        </w:rPr>
        <w:t xml:space="preserve">rokiem, ale nadal były sprzyjające, mimo znacznego wzrostu cen detalicznych środków produkcji. </w:t>
      </w:r>
      <w:r w:rsidR="00B0005C" w:rsidRPr="00C90BB2">
        <w:rPr>
          <w:rFonts w:ascii="Times New Roman" w:hAnsi="Times New Roman" w:cs="Times New Roman"/>
          <w:sz w:val="24"/>
          <w:szCs w:val="24"/>
        </w:rPr>
        <w:t>W</w:t>
      </w:r>
      <w:r w:rsidRPr="00C90BB2">
        <w:rPr>
          <w:rFonts w:ascii="Times New Roman" w:hAnsi="Times New Roman" w:cs="Times New Roman"/>
          <w:sz w:val="24"/>
          <w:szCs w:val="24"/>
        </w:rPr>
        <w:t>zrost</w:t>
      </w:r>
      <w:r w:rsidR="00B0005C" w:rsidRPr="00C90BB2">
        <w:rPr>
          <w:rFonts w:ascii="Times New Roman" w:hAnsi="Times New Roman" w:cs="Times New Roman"/>
          <w:sz w:val="24"/>
          <w:szCs w:val="24"/>
        </w:rPr>
        <w:t xml:space="preserve"> na poziomie 18,6%</w:t>
      </w:r>
      <w:r w:rsidRPr="00C90BB2">
        <w:rPr>
          <w:rFonts w:ascii="Times New Roman" w:hAnsi="Times New Roman" w:cs="Times New Roman"/>
          <w:sz w:val="24"/>
          <w:szCs w:val="24"/>
        </w:rPr>
        <w:t xml:space="preserve"> cen skupu podstawowych surowców rolniczych w ciągu 12 miesięcy </w:t>
      </w:r>
      <w:r w:rsidR="00AD6139">
        <w:rPr>
          <w:rFonts w:ascii="Times New Roman" w:hAnsi="Times New Roman" w:cs="Times New Roman"/>
          <w:sz w:val="24"/>
          <w:szCs w:val="24"/>
        </w:rPr>
        <w:br/>
      </w:r>
      <w:r w:rsidRPr="00C90BB2">
        <w:rPr>
          <w:rFonts w:ascii="Times New Roman" w:hAnsi="Times New Roman" w:cs="Times New Roman"/>
          <w:sz w:val="24"/>
          <w:szCs w:val="24"/>
        </w:rPr>
        <w:t xml:space="preserve">(w porównaniu z grudniem 2010 r.) znacząco wyprzedzał dynamikę podwyżek cen </w:t>
      </w:r>
      <w:r w:rsidR="00B0005C" w:rsidRPr="00C90BB2">
        <w:rPr>
          <w:rFonts w:ascii="Times New Roman" w:hAnsi="Times New Roman" w:cs="Times New Roman"/>
          <w:sz w:val="24"/>
          <w:szCs w:val="24"/>
        </w:rPr>
        <w:t xml:space="preserve">detalicznych środków produkcji która wyniosła </w:t>
      </w:r>
      <w:r w:rsidRPr="00C90BB2">
        <w:rPr>
          <w:rFonts w:ascii="Times New Roman" w:hAnsi="Times New Roman" w:cs="Times New Roman"/>
          <w:sz w:val="24"/>
          <w:szCs w:val="24"/>
        </w:rPr>
        <w:t>8,4%</w:t>
      </w:r>
      <w:r w:rsidR="003C2E95" w:rsidRPr="00C90BB2">
        <w:rPr>
          <w:rFonts w:ascii="Times New Roman" w:hAnsi="Times New Roman" w:cs="Times New Roman"/>
          <w:sz w:val="24"/>
          <w:szCs w:val="24"/>
        </w:rPr>
        <w:t>.</w:t>
      </w:r>
      <w:r w:rsidR="00B0005C" w:rsidRPr="00C90BB2">
        <w:rPr>
          <w:rFonts w:ascii="Times New Roman" w:hAnsi="Times New Roman" w:cs="Times New Roman"/>
          <w:sz w:val="24"/>
          <w:szCs w:val="24"/>
        </w:rPr>
        <w:t xml:space="preserve"> </w:t>
      </w:r>
      <w:r w:rsidR="003C2E95" w:rsidRPr="00C90BB2">
        <w:rPr>
          <w:rFonts w:ascii="Times New Roman" w:hAnsi="Times New Roman" w:cs="Times New Roman"/>
          <w:sz w:val="24"/>
          <w:szCs w:val="24"/>
        </w:rPr>
        <w:t>S</w:t>
      </w:r>
      <w:r w:rsidRPr="00C90BB2">
        <w:rPr>
          <w:rFonts w:ascii="Times New Roman" w:hAnsi="Times New Roman" w:cs="Times New Roman"/>
          <w:sz w:val="24"/>
          <w:szCs w:val="24"/>
        </w:rPr>
        <w:t xml:space="preserve">kumulowany wskaźnik nożyc cen </w:t>
      </w:r>
      <w:r w:rsidR="003C2E95" w:rsidRPr="00C90BB2">
        <w:rPr>
          <w:rFonts w:ascii="Times New Roman" w:hAnsi="Times New Roman" w:cs="Times New Roman"/>
          <w:sz w:val="24"/>
          <w:szCs w:val="24"/>
        </w:rPr>
        <w:t xml:space="preserve">w 2011 roku </w:t>
      </w:r>
      <w:r w:rsidRPr="00C90BB2">
        <w:rPr>
          <w:rFonts w:ascii="Times New Roman" w:hAnsi="Times New Roman" w:cs="Times New Roman"/>
          <w:sz w:val="24"/>
          <w:szCs w:val="24"/>
        </w:rPr>
        <w:t>wyniósł 109,4</w:t>
      </w:r>
      <w:r w:rsidR="003C2E95" w:rsidRPr="00C90BB2">
        <w:rPr>
          <w:rFonts w:ascii="Times New Roman" w:hAnsi="Times New Roman" w:cs="Times New Roman"/>
          <w:sz w:val="24"/>
          <w:szCs w:val="24"/>
        </w:rPr>
        <w:t xml:space="preserve"> punktu, d</w:t>
      </w:r>
      <w:r w:rsidRPr="00C90BB2">
        <w:rPr>
          <w:rFonts w:ascii="Times New Roman" w:hAnsi="Times New Roman" w:cs="Times New Roman"/>
          <w:sz w:val="24"/>
          <w:szCs w:val="24"/>
        </w:rPr>
        <w:t>la porównania w 201</w:t>
      </w:r>
      <w:r w:rsidR="003C2E95" w:rsidRPr="00C90BB2">
        <w:rPr>
          <w:rFonts w:ascii="Times New Roman" w:hAnsi="Times New Roman" w:cs="Times New Roman"/>
          <w:sz w:val="24"/>
          <w:szCs w:val="24"/>
        </w:rPr>
        <w:t>0 roku</w:t>
      </w:r>
      <w:r w:rsidRPr="00C90BB2">
        <w:rPr>
          <w:rFonts w:ascii="Times New Roman" w:hAnsi="Times New Roman" w:cs="Times New Roman"/>
          <w:sz w:val="24"/>
          <w:szCs w:val="24"/>
        </w:rPr>
        <w:t xml:space="preserve"> wynosił on 111,5, w 2009 r</w:t>
      </w:r>
      <w:r w:rsidR="003C2E95" w:rsidRPr="00C90BB2">
        <w:rPr>
          <w:rFonts w:ascii="Times New Roman" w:hAnsi="Times New Roman" w:cs="Times New Roman"/>
          <w:sz w:val="24"/>
          <w:szCs w:val="24"/>
        </w:rPr>
        <w:t>oku</w:t>
      </w:r>
      <w:r w:rsidRPr="00C90BB2">
        <w:rPr>
          <w:rFonts w:ascii="Times New Roman" w:hAnsi="Times New Roman" w:cs="Times New Roman"/>
          <w:sz w:val="24"/>
          <w:szCs w:val="24"/>
        </w:rPr>
        <w:t>108,6</w:t>
      </w:r>
      <w:r w:rsidR="003C2E95" w:rsidRPr="00C90BB2">
        <w:rPr>
          <w:rFonts w:ascii="Times New Roman" w:hAnsi="Times New Roman" w:cs="Times New Roman"/>
          <w:sz w:val="24"/>
          <w:szCs w:val="24"/>
        </w:rPr>
        <w:t>.</w:t>
      </w:r>
    </w:p>
    <w:p w:rsidR="003C2E95" w:rsidRDefault="003C2E95" w:rsidP="00C90BB2">
      <w:pPr>
        <w:spacing w:after="120"/>
        <w:ind w:firstLine="708"/>
        <w:jc w:val="both"/>
        <w:rPr>
          <w:rFonts w:ascii="Times New Roman" w:hAnsi="Times New Roman" w:cs="Times New Roman"/>
          <w:sz w:val="24"/>
          <w:szCs w:val="24"/>
        </w:rPr>
      </w:pPr>
      <w:r w:rsidRPr="00C90BB2">
        <w:rPr>
          <w:rFonts w:ascii="Times New Roman" w:hAnsi="Times New Roman" w:cs="Times New Roman"/>
          <w:sz w:val="24"/>
          <w:szCs w:val="24"/>
        </w:rPr>
        <w:t>Na wzrost o 8,4% cen środków produkcji w 2011 roku największy wpływ miały rosnące ceny nawozów mineralnych oraz bezpośrednich nośników energii (odpowiednio o 18,6 i 12%). W tym czasie maszyny i urządzenia dla rolnictwa zdrożały średnio o 5,4%, a ceny pestycydów prawie nie zmieniły się.</w:t>
      </w:r>
    </w:p>
    <w:p w:rsidR="009D120E" w:rsidRPr="00C90BB2" w:rsidRDefault="009D120E" w:rsidP="009D120E">
      <w:pPr>
        <w:spacing w:after="120"/>
        <w:ind w:firstLine="708"/>
        <w:jc w:val="both"/>
        <w:rPr>
          <w:rFonts w:ascii="Times New Roman" w:hAnsi="Times New Roman" w:cs="Times New Roman"/>
          <w:sz w:val="24"/>
          <w:szCs w:val="24"/>
        </w:rPr>
      </w:pPr>
      <w:r w:rsidRPr="00C90BB2">
        <w:rPr>
          <w:rFonts w:ascii="Times New Roman" w:hAnsi="Times New Roman" w:cs="Times New Roman"/>
          <w:sz w:val="24"/>
          <w:szCs w:val="24"/>
        </w:rPr>
        <w:t>Ceny skupu podstawowych surowców rolniczych w ujęciu nominalnym wzrosły w ciągu całego 2011 r. o 18,6%, a realnie o ponad 13%. O wysokiej dynamice cen skupu podstawowych surowców rolniczych zadecydowały przede wszystkim podwyżki produktów pochodzenia zwierzęcego, a zwłaszcza cen skupu trzody chlewnej, które po dwóch latach niskich cen wzrosły o pond 43%.</w:t>
      </w:r>
      <w:r>
        <w:rPr>
          <w:rFonts w:ascii="Times New Roman" w:hAnsi="Times New Roman" w:cs="Times New Roman"/>
          <w:sz w:val="24"/>
          <w:szCs w:val="24"/>
        </w:rPr>
        <w:t>(tabela 2)</w:t>
      </w:r>
      <w:r w:rsidRPr="00C90BB2">
        <w:rPr>
          <w:rFonts w:ascii="Times New Roman" w:hAnsi="Times New Roman" w:cs="Times New Roman"/>
          <w:sz w:val="24"/>
          <w:szCs w:val="24"/>
        </w:rPr>
        <w:t xml:space="preserve"> </w:t>
      </w:r>
    </w:p>
    <w:p w:rsidR="006A64B7" w:rsidRPr="00C90BB2" w:rsidRDefault="006A64B7" w:rsidP="00C90BB2">
      <w:pPr>
        <w:ind w:firstLine="708"/>
        <w:jc w:val="right"/>
        <w:rPr>
          <w:rFonts w:ascii="Times New Roman" w:hAnsi="Times New Roman" w:cs="Times New Roman"/>
          <w:sz w:val="24"/>
          <w:szCs w:val="24"/>
        </w:rPr>
      </w:pPr>
      <w:r w:rsidRPr="00C90BB2">
        <w:rPr>
          <w:rFonts w:ascii="Times New Roman" w:hAnsi="Times New Roman" w:cs="Times New Roman"/>
          <w:sz w:val="24"/>
          <w:szCs w:val="24"/>
        </w:rPr>
        <w:lastRenderedPageBreak/>
        <w:t>Tabela</w:t>
      </w:r>
      <w:r w:rsidR="00485BDE">
        <w:rPr>
          <w:rFonts w:ascii="Times New Roman" w:hAnsi="Times New Roman" w:cs="Times New Roman"/>
          <w:sz w:val="24"/>
          <w:szCs w:val="24"/>
        </w:rPr>
        <w:t xml:space="preserve"> 2</w:t>
      </w:r>
    </w:p>
    <w:p w:rsidR="006A64B7" w:rsidRPr="00C90BB2" w:rsidRDefault="006A64B7" w:rsidP="00C90BB2">
      <w:pPr>
        <w:jc w:val="center"/>
        <w:rPr>
          <w:rFonts w:ascii="Times New Roman" w:hAnsi="Times New Roman" w:cs="Times New Roman"/>
          <w:sz w:val="24"/>
          <w:szCs w:val="24"/>
        </w:rPr>
      </w:pPr>
      <w:r w:rsidRPr="00C90BB2">
        <w:rPr>
          <w:rFonts w:ascii="Times New Roman" w:hAnsi="Times New Roman" w:cs="Times New Roman"/>
          <w:sz w:val="24"/>
          <w:szCs w:val="24"/>
        </w:rPr>
        <w:t>Skumulowane w</w:t>
      </w:r>
      <w:r w:rsidR="006B6356">
        <w:rPr>
          <w:rFonts w:ascii="Times New Roman" w:hAnsi="Times New Roman" w:cs="Times New Roman"/>
          <w:sz w:val="24"/>
          <w:szCs w:val="24"/>
        </w:rPr>
        <w:t>skaźniki zmian cen w latach 2009</w:t>
      </w:r>
      <w:r w:rsidRPr="00C90BB2">
        <w:rPr>
          <w:rFonts w:ascii="Times New Roman" w:hAnsi="Times New Roman" w:cs="Times New Roman"/>
          <w:sz w:val="24"/>
          <w:szCs w:val="24"/>
        </w:rPr>
        <w:t>-2010 (grudzień roku poprzedniego =100)</w:t>
      </w:r>
    </w:p>
    <w:tbl>
      <w:tblPr>
        <w:tblW w:w="0" w:type="auto"/>
        <w:jc w:val="center"/>
        <w:tblInd w:w="-2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530"/>
        <w:gridCol w:w="1250"/>
        <w:gridCol w:w="1276"/>
        <w:gridCol w:w="1134"/>
        <w:gridCol w:w="1418"/>
      </w:tblGrid>
      <w:tr w:rsidR="006A64B7" w:rsidRPr="00F91A46" w:rsidTr="00C90BB2">
        <w:trPr>
          <w:trHeight w:val="285"/>
          <w:jc w:val="center"/>
        </w:trPr>
        <w:tc>
          <w:tcPr>
            <w:tcW w:w="3530" w:type="dxa"/>
            <w:shd w:val="clear" w:color="auto" w:fill="auto"/>
            <w:noWrap/>
            <w:vAlign w:val="bottom"/>
          </w:tcPr>
          <w:p w:rsidR="006A64B7" w:rsidRPr="0058344F" w:rsidRDefault="006A64B7" w:rsidP="00BD48F0">
            <w:pPr>
              <w:spacing w:after="120" w:line="240" w:lineRule="auto"/>
              <w:jc w:val="both"/>
              <w:rPr>
                <w:rFonts w:ascii="Times New Roman" w:hAnsi="Times New Roman"/>
                <w:sz w:val="20"/>
                <w:szCs w:val="20"/>
              </w:rPr>
            </w:pPr>
            <w:r w:rsidRPr="0058344F">
              <w:rPr>
                <w:rFonts w:ascii="Times New Roman" w:hAnsi="Times New Roman"/>
                <w:sz w:val="20"/>
                <w:szCs w:val="20"/>
              </w:rPr>
              <w:t>Wyszczególnienie</w:t>
            </w:r>
          </w:p>
        </w:tc>
        <w:tc>
          <w:tcPr>
            <w:tcW w:w="1250" w:type="dxa"/>
            <w:shd w:val="clear" w:color="auto" w:fill="auto"/>
            <w:noWrap/>
            <w:vAlign w:val="center"/>
          </w:tcPr>
          <w:p w:rsidR="006A64B7" w:rsidRPr="0058344F" w:rsidRDefault="006A64B7" w:rsidP="00C90BB2">
            <w:pPr>
              <w:spacing w:after="120" w:line="240" w:lineRule="auto"/>
              <w:jc w:val="center"/>
              <w:rPr>
                <w:rFonts w:ascii="Times New Roman" w:hAnsi="Times New Roman"/>
                <w:sz w:val="20"/>
                <w:szCs w:val="20"/>
              </w:rPr>
            </w:pPr>
            <w:r>
              <w:rPr>
                <w:rFonts w:ascii="Times New Roman" w:hAnsi="Times New Roman"/>
                <w:sz w:val="20"/>
                <w:szCs w:val="20"/>
              </w:rPr>
              <w:t>2011</w:t>
            </w:r>
          </w:p>
        </w:tc>
        <w:tc>
          <w:tcPr>
            <w:tcW w:w="1276" w:type="dxa"/>
            <w:shd w:val="clear" w:color="auto" w:fill="auto"/>
            <w:noWrap/>
            <w:vAlign w:val="center"/>
          </w:tcPr>
          <w:p w:rsidR="006A64B7" w:rsidRPr="0058344F" w:rsidRDefault="006A64B7" w:rsidP="00C90BB2">
            <w:pPr>
              <w:spacing w:after="120" w:line="240" w:lineRule="auto"/>
              <w:jc w:val="center"/>
              <w:rPr>
                <w:rFonts w:ascii="Times New Roman" w:hAnsi="Times New Roman"/>
                <w:sz w:val="20"/>
                <w:szCs w:val="20"/>
              </w:rPr>
            </w:pPr>
            <w:r>
              <w:rPr>
                <w:rFonts w:ascii="Times New Roman" w:hAnsi="Times New Roman"/>
                <w:sz w:val="20"/>
                <w:szCs w:val="20"/>
              </w:rPr>
              <w:t>2010</w:t>
            </w:r>
          </w:p>
        </w:tc>
        <w:tc>
          <w:tcPr>
            <w:tcW w:w="1134" w:type="dxa"/>
            <w:shd w:val="clear" w:color="auto" w:fill="auto"/>
            <w:noWrap/>
            <w:vAlign w:val="center"/>
          </w:tcPr>
          <w:p w:rsidR="006A64B7" w:rsidRPr="0058344F" w:rsidRDefault="006A64B7" w:rsidP="00C90BB2">
            <w:pPr>
              <w:spacing w:after="120" w:line="240" w:lineRule="auto"/>
              <w:jc w:val="center"/>
              <w:rPr>
                <w:rFonts w:ascii="Times New Roman" w:hAnsi="Times New Roman"/>
                <w:sz w:val="20"/>
                <w:szCs w:val="20"/>
              </w:rPr>
            </w:pPr>
            <w:r>
              <w:rPr>
                <w:rFonts w:ascii="Times New Roman" w:hAnsi="Times New Roman"/>
                <w:sz w:val="20"/>
                <w:szCs w:val="20"/>
              </w:rPr>
              <w:t>2009</w:t>
            </w:r>
          </w:p>
        </w:tc>
        <w:tc>
          <w:tcPr>
            <w:tcW w:w="1418" w:type="dxa"/>
            <w:shd w:val="clear" w:color="auto" w:fill="auto"/>
            <w:noWrap/>
            <w:vAlign w:val="center"/>
          </w:tcPr>
          <w:p w:rsidR="006A64B7" w:rsidRPr="0058344F" w:rsidRDefault="006A64B7" w:rsidP="00C90BB2">
            <w:pPr>
              <w:spacing w:after="120" w:line="240" w:lineRule="auto"/>
              <w:jc w:val="center"/>
              <w:rPr>
                <w:rFonts w:ascii="Times New Roman" w:hAnsi="Times New Roman"/>
                <w:sz w:val="20"/>
                <w:szCs w:val="20"/>
              </w:rPr>
            </w:pPr>
            <w:r>
              <w:rPr>
                <w:rFonts w:ascii="Times New Roman" w:hAnsi="Times New Roman"/>
                <w:sz w:val="20"/>
                <w:szCs w:val="20"/>
              </w:rPr>
              <w:t>XII 2008</w:t>
            </w:r>
            <w:r w:rsidRPr="0058344F">
              <w:rPr>
                <w:rFonts w:ascii="Times New Roman" w:hAnsi="Times New Roman"/>
                <w:sz w:val="20"/>
                <w:szCs w:val="20"/>
              </w:rPr>
              <w:t>=100</w:t>
            </w:r>
          </w:p>
        </w:tc>
      </w:tr>
      <w:tr w:rsidR="00C90BB2" w:rsidRPr="00F91A46" w:rsidTr="00C90BB2">
        <w:trPr>
          <w:trHeight w:val="285"/>
          <w:jc w:val="center"/>
        </w:trPr>
        <w:tc>
          <w:tcPr>
            <w:tcW w:w="3530" w:type="dxa"/>
            <w:shd w:val="clear" w:color="auto" w:fill="auto"/>
            <w:noWrap/>
            <w:vAlign w:val="bottom"/>
          </w:tcPr>
          <w:p w:rsidR="00C90BB2" w:rsidRPr="0058344F" w:rsidRDefault="00C90BB2" w:rsidP="00BD48F0">
            <w:pPr>
              <w:spacing w:after="120" w:line="240" w:lineRule="auto"/>
              <w:jc w:val="both"/>
              <w:rPr>
                <w:rFonts w:ascii="Times New Roman" w:hAnsi="Times New Roman"/>
                <w:sz w:val="20"/>
                <w:szCs w:val="20"/>
              </w:rPr>
            </w:pPr>
            <w:r w:rsidRPr="0058344F">
              <w:rPr>
                <w:rFonts w:ascii="Times New Roman" w:hAnsi="Times New Roman"/>
                <w:sz w:val="20"/>
                <w:szCs w:val="20"/>
              </w:rPr>
              <w:t>Środki produkcji</w:t>
            </w:r>
          </w:p>
        </w:tc>
        <w:tc>
          <w:tcPr>
            <w:tcW w:w="1250"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108,4</w:t>
            </w:r>
          </w:p>
        </w:tc>
        <w:tc>
          <w:tcPr>
            <w:tcW w:w="1276"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103,8</w:t>
            </w:r>
          </w:p>
        </w:tc>
        <w:tc>
          <w:tcPr>
            <w:tcW w:w="1134"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96,6</w:t>
            </w:r>
          </w:p>
        </w:tc>
        <w:tc>
          <w:tcPr>
            <w:tcW w:w="1418" w:type="dxa"/>
            <w:shd w:val="clear" w:color="auto" w:fill="auto"/>
            <w:noWrap/>
            <w:vAlign w:val="center"/>
          </w:tcPr>
          <w:p w:rsidR="00C90BB2" w:rsidRPr="00C90BB2" w:rsidRDefault="00C90BB2" w:rsidP="00C90BB2">
            <w:pPr>
              <w:spacing w:after="120" w:line="240" w:lineRule="auto"/>
              <w:ind w:right="340"/>
              <w:jc w:val="center"/>
              <w:rPr>
                <w:rFonts w:ascii="Times New Roman" w:hAnsi="Times New Roman"/>
                <w:sz w:val="20"/>
                <w:szCs w:val="20"/>
              </w:rPr>
            </w:pPr>
            <w:r w:rsidRPr="00C90BB2">
              <w:rPr>
                <w:rFonts w:ascii="Times New Roman" w:hAnsi="Times New Roman"/>
                <w:sz w:val="20"/>
                <w:szCs w:val="20"/>
              </w:rPr>
              <w:t>129,0</w:t>
            </w:r>
          </w:p>
        </w:tc>
      </w:tr>
      <w:tr w:rsidR="00C90BB2" w:rsidRPr="00F91A46" w:rsidTr="00C90BB2">
        <w:trPr>
          <w:trHeight w:val="285"/>
          <w:jc w:val="center"/>
        </w:trPr>
        <w:tc>
          <w:tcPr>
            <w:tcW w:w="3530" w:type="dxa"/>
            <w:shd w:val="clear" w:color="auto" w:fill="auto"/>
            <w:noWrap/>
            <w:vAlign w:val="bottom"/>
          </w:tcPr>
          <w:p w:rsidR="00C90BB2" w:rsidRPr="0058344F" w:rsidRDefault="00C90BB2" w:rsidP="00BD48F0">
            <w:pPr>
              <w:spacing w:after="120" w:line="240" w:lineRule="auto"/>
              <w:jc w:val="both"/>
              <w:rPr>
                <w:rFonts w:ascii="Times New Roman" w:hAnsi="Times New Roman"/>
                <w:sz w:val="20"/>
                <w:szCs w:val="20"/>
              </w:rPr>
            </w:pPr>
            <w:r w:rsidRPr="0058344F">
              <w:rPr>
                <w:rFonts w:ascii="Times New Roman" w:hAnsi="Times New Roman"/>
                <w:sz w:val="20"/>
                <w:szCs w:val="20"/>
              </w:rPr>
              <w:t>w tym nawozy mineralne</w:t>
            </w:r>
          </w:p>
        </w:tc>
        <w:tc>
          <w:tcPr>
            <w:tcW w:w="1250"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118,6</w:t>
            </w:r>
          </w:p>
        </w:tc>
        <w:tc>
          <w:tcPr>
            <w:tcW w:w="1276"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98,0</w:t>
            </w:r>
          </w:p>
        </w:tc>
        <w:tc>
          <w:tcPr>
            <w:tcW w:w="1134"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80,0</w:t>
            </w:r>
          </w:p>
        </w:tc>
        <w:tc>
          <w:tcPr>
            <w:tcW w:w="1418" w:type="dxa"/>
            <w:shd w:val="clear" w:color="auto" w:fill="auto"/>
            <w:noWrap/>
            <w:vAlign w:val="center"/>
          </w:tcPr>
          <w:p w:rsidR="00C90BB2" w:rsidRPr="00C90BB2" w:rsidRDefault="00C90BB2" w:rsidP="00C90BB2">
            <w:pPr>
              <w:spacing w:after="120" w:line="240" w:lineRule="auto"/>
              <w:ind w:right="340"/>
              <w:jc w:val="center"/>
              <w:rPr>
                <w:rFonts w:ascii="Times New Roman" w:hAnsi="Times New Roman"/>
                <w:sz w:val="20"/>
                <w:szCs w:val="20"/>
              </w:rPr>
            </w:pPr>
            <w:r w:rsidRPr="00C90BB2">
              <w:rPr>
                <w:rFonts w:ascii="Times New Roman" w:hAnsi="Times New Roman"/>
                <w:sz w:val="20"/>
                <w:szCs w:val="20"/>
              </w:rPr>
              <w:t>163,8</w:t>
            </w:r>
          </w:p>
        </w:tc>
      </w:tr>
      <w:tr w:rsidR="00C90BB2" w:rsidRPr="00F91A46" w:rsidTr="00C90BB2">
        <w:trPr>
          <w:trHeight w:val="285"/>
          <w:jc w:val="center"/>
        </w:trPr>
        <w:tc>
          <w:tcPr>
            <w:tcW w:w="3530" w:type="dxa"/>
            <w:shd w:val="clear" w:color="auto" w:fill="auto"/>
            <w:noWrap/>
            <w:vAlign w:val="bottom"/>
          </w:tcPr>
          <w:p w:rsidR="00C90BB2" w:rsidRPr="0058344F" w:rsidRDefault="00C90BB2" w:rsidP="00BD48F0">
            <w:pPr>
              <w:spacing w:after="120" w:line="240" w:lineRule="auto"/>
              <w:jc w:val="both"/>
              <w:rPr>
                <w:rFonts w:ascii="Times New Roman" w:hAnsi="Times New Roman"/>
                <w:sz w:val="20"/>
                <w:szCs w:val="20"/>
              </w:rPr>
            </w:pPr>
            <w:r w:rsidRPr="0058344F">
              <w:rPr>
                <w:rFonts w:ascii="Times New Roman" w:hAnsi="Times New Roman"/>
                <w:sz w:val="20"/>
                <w:szCs w:val="20"/>
              </w:rPr>
              <w:t xml:space="preserve">           pestycydy</w:t>
            </w:r>
          </w:p>
        </w:tc>
        <w:tc>
          <w:tcPr>
            <w:tcW w:w="1250"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100,1</w:t>
            </w:r>
          </w:p>
        </w:tc>
        <w:tc>
          <w:tcPr>
            <w:tcW w:w="1276"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102,8</w:t>
            </w:r>
          </w:p>
        </w:tc>
        <w:tc>
          <w:tcPr>
            <w:tcW w:w="1134"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107,1</w:t>
            </w:r>
          </w:p>
        </w:tc>
        <w:tc>
          <w:tcPr>
            <w:tcW w:w="1418" w:type="dxa"/>
            <w:shd w:val="clear" w:color="auto" w:fill="auto"/>
            <w:noWrap/>
            <w:vAlign w:val="center"/>
          </w:tcPr>
          <w:p w:rsidR="00C90BB2" w:rsidRPr="00C90BB2" w:rsidRDefault="00C90BB2" w:rsidP="00C90BB2">
            <w:pPr>
              <w:spacing w:after="120" w:line="240" w:lineRule="auto"/>
              <w:ind w:right="340"/>
              <w:jc w:val="center"/>
              <w:rPr>
                <w:rFonts w:ascii="Times New Roman" w:hAnsi="Times New Roman"/>
                <w:sz w:val="20"/>
                <w:szCs w:val="20"/>
              </w:rPr>
            </w:pPr>
            <w:r w:rsidRPr="00C90BB2">
              <w:rPr>
                <w:rFonts w:ascii="Times New Roman" w:hAnsi="Times New Roman"/>
                <w:sz w:val="20"/>
                <w:szCs w:val="20"/>
              </w:rPr>
              <w:t>125,3</w:t>
            </w:r>
          </w:p>
        </w:tc>
      </w:tr>
      <w:tr w:rsidR="00C90BB2" w:rsidRPr="00F91A46" w:rsidTr="00C90BB2">
        <w:trPr>
          <w:trHeight w:val="285"/>
          <w:jc w:val="center"/>
        </w:trPr>
        <w:tc>
          <w:tcPr>
            <w:tcW w:w="3530" w:type="dxa"/>
            <w:shd w:val="clear" w:color="auto" w:fill="auto"/>
            <w:noWrap/>
            <w:vAlign w:val="bottom"/>
          </w:tcPr>
          <w:p w:rsidR="00C90BB2" w:rsidRPr="0058344F" w:rsidRDefault="00C90BB2" w:rsidP="00BD48F0">
            <w:pPr>
              <w:spacing w:after="120" w:line="240" w:lineRule="auto"/>
              <w:jc w:val="both"/>
              <w:rPr>
                <w:rFonts w:ascii="Times New Roman" w:hAnsi="Times New Roman"/>
                <w:sz w:val="20"/>
                <w:szCs w:val="20"/>
              </w:rPr>
            </w:pPr>
            <w:r w:rsidRPr="0058344F">
              <w:rPr>
                <w:rFonts w:ascii="Times New Roman" w:hAnsi="Times New Roman"/>
                <w:sz w:val="20"/>
                <w:szCs w:val="20"/>
              </w:rPr>
              <w:t xml:space="preserve">           bezp.</w:t>
            </w:r>
            <w:r>
              <w:rPr>
                <w:rFonts w:ascii="Times New Roman" w:hAnsi="Times New Roman"/>
                <w:sz w:val="20"/>
                <w:szCs w:val="20"/>
              </w:rPr>
              <w:t xml:space="preserve"> </w:t>
            </w:r>
            <w:r w:rsidRPr="0058344F">
              <w:rPr>
                <w:rFonts w:ascii="Times New Roman" w:hAnsi="Times New Roman"/>
                <w:sz w:val="20"/>
                <w:szCs w:val="20"/>
              </w:rPr>
              <w:t>nośniki energii</w:t>
            </w:r>
          </w:p>
        </w:tc>
        <w:tc>
          <w:tcPr>
            <w:tcW w:w="1250"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112,0</w:t>
            </w:r>
          </w:p>
        </w:tc>
        <w:tc>
          <w:tcPr>
            <w:tcW w:w="1276"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111,8</w:t>
            </w:r>
          </w:p>
        </w:tc>
        <w:tc>
          <w:tcPr>
            <w:tcW w:w="1134"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100,7</w:t>
            </w:r>
          </w:p>
        </w:tc>
        <w:tc>
          <w:tcPr>
            <w:tcW w:w="1418" w:type="dxa"/>
            <w:shd w:val="clear" w:color="auto" w:fill="auto"/>
            <w:noWrap/>
            <w:vAlign w:val="center"/>
          </w:tcPr>
          <w:p w:rsidR="00C90BB2" w:rsidRPr="00C90BB2" w:rsidRDefault="00C90BB2" w:rsidP="00C90BB2">
            <w:pPr>
              <w:spacing w:after="120" w:line="240" w:lineRule="auto"/>
              <w:ind w:right="340"/>
              <w:jc w:val="center"/>
              <w:rPr>
                <w:rFonts w:ascii="Times New Roman" w:hAnsi="Times New Roman"/>
                <w:sz w:val="20"/>
                <w:szCs w:val="20"/>
              </w:rPr>
            </w:pPr>
            <w:r w:rsidRPr="00C90BB2">
              <w:rPr>
                <w:rFonts w:ascii="Times New Roman" w:hAnsi="Times New Roman"/>
                <w:sz w:val="20"/>
                <w:szCs w:val="20"/>
              </w:rPr>
              <w:t>129,5</w:t>
            </w:r>
          </w:p>
        </w:tc>
      </w:tr>
      <w:tr w:rsidR="00C90BB2" w:rsidRPr="00F91A46" w:rsidTr="00C90BB2">
        <w:trPr>
          <w:trHeight w:val="285"/>
          <w:jc w:val="center"/>
        </w:trPr>
        <w:tc>
          <w:tcPr>
            <w:tcW w:w="3530" w:type="dxa"/>
            <w:shd w:val="clear" w:color="auto" w:fill="auto"/>
            <w:noWrap/>
            <w:vAlign w:val="bottom"/>
          </w:tcPr>
          <w:p w:rsidR="00C90BB2" w:rsidRPr="0058344F" w:rsidRDefault="00C90BB2" w:rsidP="00BD48F0">
            <w:pPr>
              <w:spacing w:after="120" w:line="240" w:lineRule="auto"/>
              <w:jc w:val="both"/>
              <w:rPr>
                <w:rFonts w:ascii="Times New Roman" w:hAnsi="Times New Roman"/>
                <w:sz w:val="20"/>
                <w:szCs w:val="20"/>
              </w:rPr>
            </w:pPr>
            <w:r w:rsidRPr="0058344F">
              <w:rPr>
                <w:rFonts w:ascii="Times New Roman" w:hAnsi="Times New Roman"/>
                <w:sz w:val="20"/>
                <w:szCs w:val="20"/>
              </w:rPr>
              <w:t xml:space="preserve">           maszyny</w:t>
            </w:r>
          </w:p>
        </w:tc>
        <w:tc>
          <w:tcPr>
            <w:tcW w:w="1250"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105,4</w:t>
            </w:r>
          </w:p>
        </w:tc>
        <w:tc>
          <w:tcPr>
            <w:tcW w:w="1276"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103,6</w:t>
            </w:r>
          </w:p>
        </w:tc>
        <w:tc>
          <w:tcPr>
            <w:tcW w:w="1134"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103,8</w:t>
            </w:r>
          </w:p>
        </w:tc>
        <w:tc>
          <w:tcPr>
            <w:tcW w:w="1418" w:type="dxa"/>
            <w:shd w:val="clear" w:color="auto" w:fill="auto"/>
            <w:noWrap/>
            <w:vAlign w:val="center"/>
          </w:tcPr>
          <w:p w:rsidR="00C90BB2" w:rsidRPr="00C90BB2" w:rsidRDefault="00C90BB2" w:rsidP="00C90BB2">
            <w:pPr>
              <w:spacing w:after="120" w:line="240" w:lineRule="auto"/>
              <w:ind w:right="340"/>
              <w:jc w:val="center"/>
              <w:rPr>
                <w:rFonts w:ascii="Times New Roman" w:hAnsi="Times New Roman"/>
                <w:sz w:val="20"/>
                <w:szCs w:val="20"/>
              </w:rPr>
            </w:pPr>
            <w:r w:rsidRPr="00C90BB2">
              <w:rPr>
                <w:rFonts w:ascii="Times New Roman" w:hAnsi="Times New Roman"/>
                <w:sz w:val="20"/>
                <w:szCs w:val="20"/>
              </w:rPr>
              <w:t>118,7</w:t>
            </w:r>
          </w:p>
        </w:tc>
      </w:tr>
      <w:tr w:rsidR="00C90BB2" w:rsidRPr="00F91A46" w:rsidTr="00C90BB2">
        <w:trPr>
          <w:trHeight w:val="285"/>
          <w:jc w:val="center"/>
        </w:trPr>
        <w:tc>
          <w:tcPr>
            <w:tcW w:w="3530" w:type="dxa"/>
            <w:shd w:val="clear" w:color="auto" w:fill="auto"/>
            <w:noWrap/>
            <w:vAlign w:val="bottom"/>
          </w:tcPr>
          <w:p w:rsidR="00C90BB2" w:rsidRPr="0058344F" w:rsidRDefault="00C90BB2" w:rsidP="00BD48F0">
            <w:pPr>
              <w:spacing w:after="120" w:line="240" w:lineRule="auto"/>
              <w:jc w:val="both"/>
              <w:rPr>
                <w:rFonts w:ascii="Times New Roman" w:hAnsi="Times New Roman"/>
                <w:sz w:val="20"/>
                <w:szCs w:val="20"/>
              </w:rPr>
            </w:pPr>
            <w:r w:rsidRPr="0058344F">
              <w:rPr>
                <w:rFonts w:ascii="Times New Roman" w:hAnsi="Times New Roman"/>
                <w:sz w:val="20"/>
                <w:szCs w:val="20"/>
              </w:rPr>
              <w:t xml:space="preserve">           materiały budowlane</w:t>
            </w:r>
          </w:p>
        </w:tc>
        <w:tc>
          <w:tcPr>
            <w:tcW w:w="1250"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106,4</w:t>
            </w:r>
          </w:p>
        </w:tc>
        <w:tc>
          <w:tcPr>
            <w:tcW w:w="1276"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103,2</w:t>
            </w:r>
          </w:p>
        </w:tc>
        <w:tc>
          <w:tcPr>
            <w:tcW w:w="1134"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93,7</w:t>
            </w:r>
          </w:p>
        </w:tc>
        <w:tc>
          <w:tcPr>
            <w:tcW w:w="1418" w:type="dxa"/>
            <w:shd w:val="clear" w:color="auto" w:fill="auto"/>
            <w:noWrap/>
            <w:vAlign w:val="center"/>
          </w:tcPr>
          <w:p w:rsidR="00C90BB2" w:rsidRPr="00C90BB2" w:rsidRDefault="00C90BB2" w:rsidP="00C90BB2">
            <w:pPr>
              <w:spacing w:after="120" w:line="240" w:lineRule="auto"/>
              <w:ind w:right="340"/>
              <w:jc w:val="center"/>
              <w:rPr>
                <w:rFonts w:ascii="Times New Roman" w:hAnsi="Times New Roman"/>
                <w:sz w:val="20"/>
                <w:szCs w:val="20"/>
              </w:rPr>
            </w:pPr>
            <w:r w:rsidRPr="00C90BB2">
              <w:rPr>
                <w:rFonts w:ascii="Times New Roman" w:hAnsi="Times New Roman"/>
                <w:sz w:val="20"/>
                <w:szCs w:val="20"/>
              </w:rPr>
              <w:t>104,4</w:t>
            </w:r>
          </w:p>
        </w:tc>
      </w:tr>
      <w:tr w:rsidR="00C90BB2" w:rsidRPr="00F91A46" w:rsidTr="00C90BB2">
        <w:trPr>
          <w:trHeight w:val="285"/>
          <w:jc w:val="center"/>
        </w:trPr>
        <w:tc>
          <w:tcPr>
            <w:tcW w:w="3530" w:type="dxa"/>
            <w:shd w:val="clear" w:color="auto" w:fill="auto"/>
            <w:noWrap/>
            <w:vAlign w:val="bottom"/>
          </w:tcPr>
          <w:p w:rsidR="00C90BB2" w:rsidRPr="0058344F" w:rsidRDefault="00C90BB2" w:rsidP="00BD48F0">
            <w:pPr>
              <w:spacing w:after="120" w:line="240" w:lineRule="auto"/>
              <w:jc w:val="both"/>
              <w:rPr>
                <w:rFonts w:ascii="Times New Roman" w:hAnsi="Times New Roman"/>
                <w:sz w:val="20"/>
                <w:szCs w:val="20"/>
              </w:rPr>
            </w:pPr>
            <w:r w:rsidRPr="0058344F">
              <w:rPr>
                <w:rFonts w:ascii="Times New Roman" w:hAnsi="Times New Roman"/>
                <w:sz w:val="20"/>
                <w:szCs w:val="20"/>
              </w:rPr>
              <w:t>Nożyce cen koszyka skupu</w:t>
            </w:r>
          </w:p>
        </w:tc>
        <w:tc>
          <w:tcPr>
            <w:tcW w:w="1250"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109,4</w:t>
            </w:r>
          </w:p>
        </w:tc>
        <w:tc>
          <w:tcPr>
            <w:tcW w:w="1276"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111,5</w:t>
            </w:r>
          </w:p>
        </w:tc>
        <w:tc>
          <w:tcPr>
            <w:tcW w:w="1134"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108,6</w:t>
            </w:r>
          </w:p>
        </w:tc>
        <w:tc>
          <w:tcPr>
            <w:tcW w:w="1418" w:type="dxa"/>
            <w:shd w:val="clear" w:color="auto" w:fill="auto"/>
            <w:noWrap/>
            <w:vAlign w:val="center"/>
          </w:tcPr>
          <w:p w:rsidR="00C90BB2" w:rsidRPr="00C90BB2" w:rsidRDefault="00C90BB2" w:rsidP="00C90BB2">
            <w:pPr>
              <w:spacing w:after="120" w:line="240" w:lineRule="auto"/>
              <w:ind w:right="340"/>
              <w:jc w:val="center"/>
              <w:rPr>
                <w:rFonts w:ascii="Times New Roman" w:hAnsi="Times New Roman"/>
                <w:sz w:val="20"/>
                <w:szCs w:val="20"/>
              </w:rPr>
            </w:pPr>
            <w:r w:rsidRPr="00C90BB2">
              <w:rPr>
                <w:rFonts w:ascii="Times New Roman" w:hAnsi="Times New Roman"/>
                <w:sz w:val="20"/>
                <w:szCs w:val="20"/>
              </w:rPr>
              <w:t>97,6</w:t>
            </w:r>
          </w:p>
        </w:tc>
      </w:tr>
      <w:tr w:rsidR="00C90BB2" w:rsidRPr="00F91A46" w:rsidTr="00C90BB2">
        <w:trPr>
          <w:trHeight w:val="285"/>
          <w:jc w:val="center"/>
        </w:trPr>
        <w:tc>
          <w:tcPr>
            <w:tcW w:w="3530" w:type="dxa"/>
            <w:shd w:val="clear" w:color="auto" w:fill="auto"/>
            <w:noWrap/>
            <w:vAlign w:val="bottom"/>
          </w:tcPr>
          <w:p w:rsidR="00C90BB2" w:rsidRPr="0058344F" w:rsidRDefault="00C90BB2" w:rsidP="00BD48F0">
            <w:pPr>
              <w:spacing w:after="120" w:line="240" w:lineRule="auto"/>
              <w:jc w:val="both"/>
              <w:rPr>
                <w:rFonts w:ascii="Times New Roman" w:hAnsi="Times New Roman"/>
                <w:sz w:val="20"/>
                <w:szCs w:val="20"/>
              </w:rPr>
            </w:pPr>
            <w:r w:rsidRPr="0058344F">
              <w:rPr>
                <w:rFonts w:ascii="Times New Roman" w:hAnsi="Times New Roman"/>
                <w:sz w:val="20"/>
                <w:szCs w:val="20"/>
              </w:rPr>
              <w:t>Koszyk skupu</w:t>
            </w:r>
          </w:p>
        </w:tc>
        <w:tc>
          <w:tcPr>
            <w:tcW w:w="1250"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118,6</w:t>
            </w:r>
          </w:p>
        </w:tc>
        <w:tc>
          <w:tcPr>
            <w:tcW w:w="1276"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115,7</w:t>
            </w:r>
          </w:p>
        </w:tc>
        <w:tc>
          <w:tcPr>
            <w:tcW w:w="1134"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104,9</w:t>
            </w:r>
          </w:p>
        </w:tc>
        <w:tc>
          <w:tcPr>
            <w:tcW w:w="1418" w:type="dxa"/>
            <w:shd w:val="clear" w:color="auto" w:fill="auto"/>
            <w:noWrap/>
            <w:vAlign w:val="center"/>
          </w:tcPr>
          <w:p w:rsidR="00C90BB2" w:rsidRPr="00C90BB2" w:rsidRDefault="00C90BB2" w:rsidP="00C90BB2">
            <w:pPr>
              <w:spacing w:after="120" w:line="240" w:lineRule="auto"/>
              <w:ind w:right="340"/>
              <w:jc w:val="center"/>
              <w:rPr>
                <w:rFonts w:ascii="Times New Roman" w:hAnsi="Times New Roman"/>
                <w:sz w:val="20"/>
                <w:szCs w:val="20"/>
              </w:rPr>
            </w:pPr>
            <w:r w:rsidRPr="00C90BB2">
              <w:rPr>
                <w:rFonts w:ascii="Times New Roman" w:hAnsi="Times New Roman"/>
                <w:sz w:val="20"/>
                <w:szCs w:val="20"/>
              </w:rPr>
              <w:t>125,9</w:t>
            </w:r>
          </w:p>
        </w:tc>
      </w:tr>
      <w:tr w:rsidR="00C90BB2" w:rsidRPr="00F91A46" w:rsidTr="00C90BB2">
        <w:trPr>
          <w:trHeight w:val="285"/>
          <w:jc w:val="center"/>
        </w:trPr>
        <w:tc>
          <w:tcPr>
            <w:tcW w:w="3530" w:type="dxa"/>
            <w:shd w:val="clear" w:color="auto" w:fill="auto"/>
            <w:noWrap/>
            <w:vAlign w:val="bottom"/>
          </w:tcPr>
          <w:p w:rsidR="00C90BB2" w:rsidRPr="0058344F" w:rsidRDefault="00C90BB2" w:rsidP="00BD48F0">
            <w:pPr>
              <w:spacing w:after="120" w:line="240" w:lineRule="auto"/>
              <w:jc w:val="both"/>
              <w:rPr>
                <w:rFonts w:ascii="Times New Roman" w:hAnsi="Times New Roman"/>
                <w:sz w:val="20"/>
                <w:szCs w:val="20"/>
              </w:rPr>
            </w:pPr>
            <w:r w:rsidRPr="0058344F">
              <w:rPr>
                <w:rFonts w:ascii="Times New Roman" w:hAnsi="Times New Roman"/>
                <w:sz w:val="20"/>
                <w:szCs w:val="20"/>
              </w:rPr>
              <w:t>w tym pszenica</w:t>
            </w:r>
          </w:p>
        </w:tc>
        <w:tc>
          <w:tcPr>
            <w:tcW w:w="1250"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97,4</w:t>
            </w:r>
          </w:p>
        </w:tc>
        <w:tc>
          <w:tcPr>
            <w:tcW w:w="1276"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165,4</w:t>
            </w:r>
          </w:p>
        </w:tc>
        <w:tc>
          <w:tcPr>
            <w:tcW w:w="1134"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100,2</w:t>
            </w:r>
          </w:p>
        </w:tc>
        <w:tc>
          <w:tcPr>
            <w:tcW w:w="1418" w:type="dxa"/>
            <w:shd w:val="clear" w:color="auto" w:fill="auto"/>
            <w:noWrap/>
            <w:vAlign w:val="center"/>
          </w:tcPr>
          <w:p w:rsidR="00C90BB2" w:rsidRPr="00C90BB2" w:rsidRDefault="00C90BB2" w:rsidP="00C90BB2">
            <w:pPr>
              <w:spacing w:after="120" w:line="240" w:lineRule="auto"/>
              <w:ind w:right="340"/>
              <w:jc w:val="center"/>
              <w:rPr>
                <w:rFonts w:ascii="Times New Roman" w:hAnsi="Times New Roman"/>
                <w:sz w:val="20"/>
                <w:szCs w:val="20"/>
              </w:rPr>
            </w:pPr>
            <w:r w:rsidRPr="00C90BB2">
              <w:rPr>
                <w:rFonts w:ascii="Times New Roman" w:hAnsi="Times New Roman"/>
                <w:sz w:val="20"/>
                <w:szCs w:val="20"/>
              </w:rPr>
              <w:t>94,5</w:t>
            </w:r>
          </w:p>
        </w:tc>
      </w:tr>
      <w:tr w:rsidR="00C90BB2" w:rsidRPr="00F91A46" w:rsidTr="00C90BB2">
        <w:trPr>
          <w:trHeight w:val="285"/>
          <w:jc w:val="center"/>
        </w:trPr>
        <w:tc>
          <w:tcPr>
            <w:tcW w:w="3530" w:type="dxa"/>
            <w:shd w:val="clear" w:color="auto" w:fill="auto"/>
            <w:noWrap/>
            <w:vAlign w:val="bottom"/>
          </w:tcPr>
          <w:p w:rsidR="00C90BB2" w:rsidRPr="0058344F" w:rsidRDefault="00C90BB2" w:rsidP="00BD48F0">
            <w:pPr>
              <w:spacing w:after="120" w:line="240" w:lineRule="auto"/>
              <w:jc w:val="both"/>
              <w:rPr>
                <w:rFonts w:ascii="Times New Roman" w:hAnsi="Times New Roman"/>
                <w:sz w:val="20"/>
                <w:szCs w:val="20"/>
              </w:rPr>
            </w:pPr>
            <w:r>
              <w:rPr>
                <w:rFonts w:ascii="Times New Roman" w:hAnsi="Times New Roman"/>
                <w:sz w:val="20"/>
                <w:szCs w:val="20"/>
              </w:rPr>
              <w:t xml:space="preserve">           ż</w:t>
            </w:r>
            <w:r w:rsidRPr="0058344F">
              <w:rPr>
                <w:rFonts w:ascii="Times New Roman" w:hAnsi="Times New Roman"/>
                <w:sz w:val="20"/>
                <w:szCs w:val="20"/>
              </w:rPr>
              <w:t>yto</w:t>
            </w:r>
          </w:p>
        </w:tc>
        <w:tc>
          <w:tcPr>
            <w:tcW w:w="1250"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129,2</w:t>
            </w:r>
          </w:p>
        </w:tc>
        <w:tc>
          <w:tcPr>
            <w:tcW w:w="1276"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205,3</w:t>
            </w:r>
          </w:p>
        </w:tc>
        <w:tc>
          <w:tcPr>
            <w:tcW w:w="1134"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84,8</w:t>
            </w:r>
          </w:p>
        </w:tc>
        <w:tc>
          <w:tcPr>
            <w:tcW w:w="1418" w:type="dxa"/>
            <w:shd w:val="clear" w:color="auto" w:fill="auto"/>
            <w:noWrap/>
            <w:vAlign w:val="center"/>
          </w:tcPr>
          <w:p w:rsidR="00C90BB2" w:rsidRPr="00C90BB2" w:rsidRDefault="00C90BB2" w:rsidP="00C90BB2">
            <w:pPr>
              <w:spacing w:after="120" w:line="240" w:lineRule="auto"/>
              <w:ind w:right="340"/>
              <w:jc w:val="center"/>
              <w:rPr>
                <w:rFonts w:ascii="Times New Roman" w:hAnsi="Times New Roman"/>
                <w:sz w:val="20"/>
                <w:szCs w:val="20"/>
              </w:rPr>
            </w:pPr>
            <w:r w:rsidRPr="00C90BB2">
              <w:rPr>
                <w:rFonts w:ascii="Times New Roman" w:hAnsi="Times New Roman"/>
                <w:sz w:val="20"/>
                <w:szCs w:val="20"/>
              </w:rPr>
              <w:t>120,8</w:t>
            </w:r>
          </w:p>
        </w:tc>
      </w:tr>
      <w:tr w:rsidR="00C90BB2" w:rsidRPr="00F91A46" w:rsidTr="00C90BB2">
        <w:trPr>
          <w:trHeight w:val="285"/>
          <w:jc w:val="center"/>
        </w:trPr>
        <w:tc>
          <w:tcPr>
            <w:tcW w:w="3530" w:type="dxa"/>
            <w:shd w:val="clear" w:color="auto" w:fill="auto"/>
            <w:noWrap/>
            <w:vAlign w:val="bottom"/>
          </w:tcPr>
          <w:p w:rsidR="00C90BB2" w:rsidRPr="0058344F" w:rsidRDefault="00C90BB2" w:rsidP="00BD48F0">
            <w:pPr>
              <w:spacing w:after="120" w:line="240" w:lineRule="auto"/>
              <w:jc w:val="both"/>
              <w:rPr>
                <w:rFonts w:ascii="Times New Roman" w:hAnsi="Times New Roman"/>
                <w:sz w:val="20"/>
                <w:szCs w:val="20"/>
              </w:rPr>
            </w:pPr>
            <w:r>
              <w:rPr>
                <w:rFonts w:ascii="Times New Roman" w:hAnsi="Times New Roman"/>
                <w:sz w:val="20"/>
                <w:szCs w:val="20"/>
              </w:rPr>
              <w:t xml:space="preserve">           j</w:t>
            </w:r>
            <w:r w:rsidRPr="0058344F">
              <w:rPr>
                <w:rFonts w:ascii="Times New Roman" w:hAnsi="Times New Roman"/>
                <w:sz w:val="20"/>
                <w:szCs w:val="20"/>
              </w:rPr>
              <w:t>ęczmień</w:t>
            </w:r>
          </w:p>
        </w:tc>
        <w:tc>
          <w:tcPr>
            <w:tcW w:w="1250"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116,7</w:t>
            </w:r>
          </w:p>
        </w:tc>
        <w:tc>
          <w:tcPr>
            <w:tcW w:w="1276"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167,8</w:t>
            </w:r>
          </w:p>
        </w:tc>
        <w:tc>
          <w:tcPr>
            <w:tcW w:w="1134"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78,8</w:t>
            </w:r>
          </w:p>
        </w:tc>
        <w:tc>
          <w:tcPr>
            <w:tcW w:w="1418" w:type="dxa"/>
            <w:shd w:val="clear" w:color="auto" w:fill="auto"/>
            <w:noWrap/>
            <w:vAlign w:val="center"/>
          </w:tcPr>
          <w:p w:rsidR="00C90BB2" w:rsidRPr="00C90BB2" w:rsidRDefault="00C90BB2" w:rsidP="00C90BB2">
            <w:pPr>
              <w:spacing w:after="120" w:line="240" w:lineRule="auto"/>
              <w:ind w:right="340"/>
              <w:jc w:val="center"/>
              <w:rPr>
                <w:rFonts w:ascii="Times New Roman" w:hAnsi="Times New Roman"/>
                <w:sz w:val="20"/>
                <w:szCs w:val="20"/>
              </w:rPr>
            </w:pPr>
            <w:r w:rsidRPr="00C90BB2">
              <w:rPr>
                <w:rFonts w:ascii="Times New Roman" w:hAnsi="Times New Roman"/>
                <w:sz w:val="20"/>
                <w:szCs w:val="20"/>
              </w:rPr>
              <w:t>104,8</w:t>
            </w:r>
          </w:p>
        </w:tc>
      </w:tr>
      <w:tr w:rsidR="00C90BB2" w:rsidRPr="00F91A46" w:rsidTr="00C90BB2">
        <w:trPr>
          <w:trHeight w:val="285"/>
          <w:jc w:val="center"/>
        </w:trPr>
        <w:tc>
          <w:tcPr>
            <w:tcW w:w="3530" w:type="dxa"/>
            <w:shd w:val="clear" w:color="auto" w:fill="auto"/>
            <w:noWrap/>
            <w:vAlign w:val="bottom"/>
          </w:tcPr>
          <w:p w:rsidR="00C90BB2" w:rsidRPr="0058344F" w:rsidRDefault="00C90BB2" w:rsidP="00BD48F0">
            <w:pPr>
              <w:spacing w:after="120" w:line="240" w:lineRule="auto"/>
              <w:jc w:val="both"/>
              <w:rPr>
                <w:rFonts w:ascii="Times New Roman" w:hAnsi="Times New Roman"/>
                <w:sz w:val="20"/>
                <w:szCs w:val="20"/>
              </w:rPr>
            </w:pPr>
            <w:r>
              <w:rPr>
                <w:rFonts w:ascii="Times New Roman" w:hAnsi="Times New Roman"/>
                <w:sz w:val="20"/>
                <w:szCs w:val="20"/>
              </w:rPr>
              <w:t xml:space="preserve">           k</w:t>
            </w:r>
            <w:r w:rsidRPr="0058344F">
              <w:rPr>
                <w:rFonts w:ascii="Times New Roman" w:hAnsi="Times New Roman"/>
                <w:sz w:val="20"/>
                <w:szCs w:val="20"/>
              </w:rPr>
              <w:t>ukurydza</w:t>
            </w:r>
          </w:p>
        </w:tc>
        <w:tc>
          <w:tcPr>
            <w:tcW w:w="1250"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100,8</w:t>
            </w:r>
          </w:p>
        </w:tc>
        <w:tc>
          <w:tcPr>
            <w:tcW w:w="1276"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151,5</w:t>
            </w:r>
          </w:p>
        </w:tc>
        <w:tc>
          <w:tcPr>
            <w:tcW w:w="1134"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119,4</w:t>
            </w:r>
          </w:p>
        </w:tc>
        <w:tc>
          <w:tcPr>
            <w:tcW w:w="1418" w:type="dxa"/>
            <w:shd w:val="clear" w:color="auto" w:fill="auto"/>
            <w:noWrap/>
            <w:vAlign w:val="center"/>
          </w:tcPr>
          <w:p w:rsidR="00C90BB2" w:rsidRPr="00C90BB2" w:rsidRDefault="00C90BB2" w:rsidP="00C90BB2">
            <w:pPr>
              <w:spacing w:after="120" w:line="240" w:lineRule="auto"/>
              <w:ind w:right="340"/>
              <w:jc w:val="center"/>
              <w:rPr>
                <w:rFonts w:ascii="Times New Roman" w:hAnsi="Times New Roman"/>
                <w:sz w:val="20"/>
                <w:szCs w:val="20"/>
              </w:rPr>
            </w:pPr>
            <w:r w:rsidRPr="00C90BB2">
              <w:rPr>
                <w:rFonts w:ascii="Times New Roman" w:hAnsi="Times New Roman"/>
                <w:sz w:val="20"/>
                <w:szCs w:val="20"/>
              </w:rPr>
              <w:t>94,6</w:t>
            </w:r>
          </w:p>
        </w:tc>
      </w:tr>
      <w:tr w:rsidR="00C90BB2" w:rsidRPr="00F91A46" w:rsidTr="00C90BB2">
        <w:trPr>
          <w:trHeight w:val="285"/>
          <w:jc w:val="center"/>
        </w:trPr>
        <w:tc>
          <w:tcPr>
            <w:tcW w:w="3530" w:type="dxa"/>
            <w:shd w:val="clear" w:color="auto" w:fill="auto"/>
            <w:noWrap/>
            <w:vAlign w:val="bottom"/>
          </w:tcPr>
          <w:p w:rsidR="00C90BB2" w:rsidRPr="0058344F" w:rsidRDefault="00C90BB2" w:rsidP="00BD48F0">
            <w:pPr>
              <w:spacing w:after="120" w:line="240" w:lineRule="auto"/>
              <w:jc w:val="both"/>
              <w:rPr>
                <w:rFonts w:ascii="Times New Roman" w:hAnsi="Times New Roman"/>
                <w:sz w:val="20"/>
                <w:szCs w:val="20"/>
              </w:rPr>
            </w:pPr>
            <w:r>
              <w:rPr>
                <w:rFonts w:ascii="Times New Roman" w:hAnsi="Times New Roman"/>
                <w:sz w:val="20"/>
                <w:szCs w:val="20"/>
              </w:rPr>
              <w:t xml:space="preserve">           z</w:t>
            </w:r>
            <w:r w:rsidRPr="0058344F">
              <w:rPr>
                <w:rFonts w:ascii="Times New Roman" w:hAnsi="Times New Roman"/>
                <w:sz w:val="20"/>
                <w:szCs w:val="20"/>
              </w:rPr>
              <w:t>iemniaki</w:t>
            </w:r>
          </w:p>
        </w:tc>
        <w:tc>
          <w:tcPr>
            <w:tcW w:w="1250"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91,9</w:t>
            </w:r>
          </w:p>
        </w:tc>
        <w:tc>
          <w:tcPr>
            <w:tcW w:w="1276"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102,8</w:t>
            </w:r>
          </w:p>
        </w:tc>
        <w:tc>
          <w:tcPr>
            <w:tcW w:w="1134"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104,2</w:t>
            </w:r>
          </w:p>
        </w:tc>
        <w:tc>
          <w:tcPr>
            <w:tcW w:w="1418" w:type="dxa"/>
            <w:shd w:val="clear" w:color="auto" w:fill="auto"/>
            <w:noWrap/>
            <w:vAlign w:val="center"/>
          </w:tcPr>
          <w:p w:rsidR="00C90BB2" w:rsidRPr="00C90BB2" w:rsidRDefault="00C90BB2" w:rsidP="00C90BB2">
            <w:pPr>
              <w:spacing w:after="120" w:line="240" w:lineRule="auto"/>
              <w:ind w:right="340"/>
              <w:jc w:val="center"/>
              <w:rPr>
                <w:rFonts w:ascii="Times New Roman" w:hAnsi="Times New Roman"/>
                <w:sz w:val="20"/>
                <w:szCs w:val="20"/>
              </w:rPr>
            </w:pPr>
            <w:r w:rsidRPr="00C90BB2">
              <w:rPr>
                <w:rFonts w:ascii="Times New Roman" w:hAnsi="Times New Roman"/>
                <w:sz w:val="20"/>
                <w:szCs w:val="20"/>
              </w:rPr>
              <w:t>105,4</w:t>
            </w:r>
          </w:p>
        </w:tc>
      </w:tr>
      <w:tr w:rsidR="00C90BB2" w:rsidRPr="00F91A46" w:rsidTr="00C90BB2">
        <w:trPr>
          <w:trHeight w:val="285"/>
          <w:jc w:val="center"/>
        </w:trPr>
        <w:tc>
          <w:tcPr>
            <w:tcW w:w="3530" w:type="dxa"/>
            <w:shd w:val="clear" w:color="auto" w:fill="auto"/>
            <w:noWrap/>
            <w:vAlign w:val="bottom"/>
          </w:tcPr>
          <w:p w:rsidR="00C90BB2" w:rsidRPr="0058344F" w:rsidRDefault="00C90BB2" w:rsidP="00BD48F0">
            <w:pPr>
              <w:spacing w:after="120" w:line="240" w:lineRule="auto"/>
              <w:jc w:val="both"/>
              <w:rPr>
                <w:rFonts w:ascii="Times New Roman" w:hAnsi="Times New Roman"/>
                <w:sz w:val="20"/>
                <w:szCs w:val="20"/>
              </w:rPr>
            </w:pPr>
            <w:r>
              <w:rPr>
                <w:rFonts w:ascii="Times New Roman" w:hAnsi="Times New Roman"/>
                <w:sz w:val="20"/>
                <w:szCs w:val="20"/>
              </w:rPr>
              <w:t xml:space="preserve">           b</w:t>
            </w:r>
            <w:r w:rsidRPr="0058344F">
              <w:rPr>
                <w:rFonts w:ascii="Times New Roman" w:hAnsi="Times New Roman"/>
                <w:sz w:val="20"/>
                <w:szCs w:val="20"/>
              </w:rPr>
              <w:t>ydło</w:t>
            </w:r>
          </w:p>
        </w:tc>
        <w:tc>
          <w:tcPr>
            <w:tcW w:w="1250"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123,1</w:t>
            </w:r>
          </w:p>
        </w:tc>
        <w:tc>
          <w:tcPr>
            <w:tcW w:w="1276"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111,2</w:t>
            </w:r>
          </w:p>
        </w:tc>
        <w:tc>
          <w:tcPr>
            <w:tcW w:w="1134"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112,3</w:t>
            </w:r>
          </w:p>
        </w:tc>
        <w:tc>
          <w:tcPr>
            <w:tcW w:w="1418" w:type="dxa"/>
            <w:shd w:val="clear" w:color="auto" w:fill="auto"/>
            <w:noWrap/>
            <w:vAlign w:val="center"/>
          </w:tcPr>
          <w:p w:rsidR="00C90BB2" w:rsidRPr="00C90BB2" w:rsidRDefault="00C90BB2" w:rsidP="00C90BB2">
            <w:pPr>
              <w:spacing w:after="120" w:line="240" w:lineRule="auto"/>
              <w:ind w:right="340"/>
              <w:jc w:val="center"/>
              <w:rPr>
                <w:rFonts w:ascii="Times New Roman" w:hAnsi="Times New Roman"/>
                <w:sz w:val="20"/>
                <w:szCs w:val="20"/>
              </w:rPr>
            </w:pPr>
            <w:r w:rsidRPr="00C90BB2">
              <w:rPr>
                <w:rFonts w:ascii="Times New Roman" w:hAnsi="Times New Roman"/>
                <w:sz w:val="20"/>
                <w:szCs w:val="20"/>
              </w:rPr>
              <w:t>162,3</w:t>
            </w:r>
          </w:p>
        </w:tc>
      </w:tr>
      <w:tr w:rsidR="00C90BB2" w:rsidRPr="00F91A46" w:rsidTr="00C90BB2">
        <w:trPr>
          <w:trHeight w:val="285"/>
          <w:jc w:val="center"/>
        </w:trPr>
        <w:tc>
          <w:tcPr>
            <w:tcW w:w="3530" w:type="dxa"/>
            <w:shd w:val="clear" w:color="auto" w:fill="auto"/>
            <w:noWrap/>
            <w:vAlign w:val="bottom"/>
          </w:tcPr>
          <w:p w:rsidR="00C90BB2" w:rsidRPr="0058344F" w:rsidRDefault="00C90BB2" w:rsidP="00BD48F0">
            <w:pPr>
              <w:spacing w:after="120" w:line="240" w:lineRule="auto"/>
              <w:jc w:val="both"/>
              <w:rPr>
                <w:rFonts w:ascii="Times New Roman" w:hAnsi="Times New Roman"/>
                <w:sz w:val="20"/>
                <w:szCs w:val="20"/>
              </w:rPr>
            </w:pPr>
            <w:r>
              <w:rPr>
                <w:rFonts w:ascii="Times New Roman" w:hAnsi="Times New Roman"/>
                <w:sz w:val="20"/>
                <w:szCs w:val="20"/>
              </w:rPr>
              <w:t xml:space="preserve">           t</w:t>
            </w:r>
            <w:r w:rsidRPr="0058344F">
              <w:rPr>
                <w:rFonts w:ascii="Times New Roman" w:hAnsi="Times New Roman"/>
                <w:sz w:val="20"/>
                <w:szCs w:val="20"/>
              </w:rPr>
              <w:t>rzoda chlewna</w:t>
            </w:r>
          </w:p>
        </w:tc>
        <w:tc>
          <w:tcPr>
            <w:tcW w:w="1250"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143,3</w:t>
            </w:r>
          </w:p>
        </w:tc>
        <w:tc>
          <w:tcPr>
            <w:tcW w:w="1276"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100,3</w:t>
            </w:r>
          </w:p>
        </w:tc>
        <w:tc>
          <w:tcPr>
            <w:tcW w:w="1134"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86,2</w:t>
            </w:r>
          </w:p>
        </w:tc>
        <w:tc>
          <w:tcPr>
            <w:tcW w:w="1418" w:type="dxa"/>
            <w:shd w:val="clear" w:color="auto" w:fill="auto"/>
            <w:noWrap/>
            <w:vAlign w:val="center"/>
          </w:tcPr>
          <w:p w:rsidR="00C90BB2" w:rsidRPr="00C90BB2" w:rsidRDefault="00C90BB2" w:rsidP="00C90BB2">
            <w:pPr>
              <w:spacing w:after="120" w:line="240" w:lineRule="auto"/>
              <w:ind w:right="340"/>
              <w:jc w:val="center"/>
              <w:rPr>
                <w:rFonts w:ascii="Times New Roman" w:hAnsi="Times New Roman"/>
                <w:sz w:val="20"/>
                <w:szCs w:val="20"/>
              </w:rPr>
            </w:pPr>
            <w:r w:rsidRPr="00C90BB2">
              <w:rPr>
                <w:rFonts w:ascii="Times New Roman" w:hAnsi="Times New Roman"/>
                <w:sz w:val="20"/>
                <w:szCs w:val="20"/>
              </w:rPr>
              <w:t>166,1</w:t>
            </w:r>
          </w:p>
        </w:tc>
      </w:tr>
      <w:tr w:rsidR="00C90BB2" w:rsidRPr="00F91A46" w:rsidTr="00C90BB2">
        <w:trPr>
          <w:trHeight w:val="285"/>
          <w:jc w:val="center"/>
        </w:trPr>
        <w:tc>
          <w:tcPr>
            <w:tcW w:w="3530" w:type="dxa"/>
            <w:shd w:val="clear" w:color="auto" w:fill="auto"/>
            <w:noWrap/>
            <w:vAlign w:val="bottom"/>
          </w:tcPr>
          <w:p w:rsidR="00C90BB2" w:rsidRPr="0058344F" w:rsidRDefault="00C90BB2" w:rsidP="00BD48F0">
            <w:pPr>
              <w:spacing w:after="120" w:line="240" w:lineRule="auto"/>
              <w:jc w:val="both"/>
              <w:rPr>
                <w:rFonts w:ascii="Times New Roman" w:hAnsi="Times New Roman"/>
                <w:sz w:val="20"/>
                <w:szCs w:val="20"/>
              </w:rPr>
            </w:pPr>
            <w:r>
              <w:rPr>
                <w:rFonts w:ascii="Times New Roman" w:hAnsi="Times New Roman"/>
                <w:sz w:val="20"/>
                <w:szCs w:val="20"/>
              </w:rPr>
              <w:t xml:space="preserve">           d</w:t>
            </w:r>
            <w:r w:rsidRPr="0058344F">
              <w:rPr>
                <w:rFonts w:ascii="Times New Roman" w:hAnsi="Times New Roman"/>
                <w:sz w:val="20"/>
                <w:szCs w:val="20"/>
              </w:rPr>
              <w:t>rób</w:t>
            </w:r>
          </w:p>
        </w:tc>
        <w:tc>
          <w:tcPr>
            <w:tcW w:w="1250"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127,9</w:t>
            </w:r>
          </w:p>
        </w:tc>
        <w:tc>
          <w:tcPr>
            <w:tcW w:w="1276"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103,7</w:t>
            </w:r>
          </w:p>
        </w:tc>
        <w:tc>
          <w:tcPr>
            <w:tcW w:w="1134"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103,8</w:t>
            </w:r>
          </w:p>
        </w:tc>
        <w:tc>
          <w:tcPr>
            <w:tcW w:w="1418" w:type="dxa"/>
            <w:shd w:val="clear" w:color="auto" w:fill="auto"/>
            <w:noWrap/>
            <w:vAlign w:val="center"/>
          </w:tcPr>
          <w:p w:rsidR="00C90BB2" w:rsidRPr="00C90BB2" w:rsidRDefault="00C90BB2" w:rsidP="00C90BB2">
            <w:pPr>
              <w:spacing w:after="120" w:line="240" w:lineRule="auto"/>
              <w:ind w:right="340"/>
              <w:jc w:val="center"/>
              <w:rPr>
                <w:rFonts w:ascii="Times New Roman" w:hAnsi="Times New Roman"/>
                <w:sz w:val="20"/>
                <w:szCs w:val="20"/>
              </w:rPr>
            </w:pPr>
            <w:r w:rsidRPr="00C90BB2">
              <w:rPr>
                <w:rFonts w:ascii="Times New Roman" w:hAnsi="Times New Roman"/>
                <w:sz w:val="20"/>
                <w:szCs w:val="20"/>
              </w:rPr>
              <w:t>131,4</w:t>
            </w:r>
          </w:p>
        </w:tc>
      </w:tr>
      <w:tr w:rsidR="00C90BB2" w:rsidRPr="00F91A46" w:rsidTr="00C90BB2">
        <w:trPr>
          <w:trHeight w:val="285"/>
          <w:jc w:val="center"/>
        </w:trPr>
        <w:tc>
          <w:tcPr>
            <w:tcW w:w="3530" w:type="dxa"/>
            <w:shd w:val="clear" w:color="auto" w:fill="auto"/>
            <w:noWrap/>
            <w:vAlign w:val="bottom"/>
          </w:tcPr>
          <w:p w:rsidR="00C90BB2" w:rsidRPr="0058344F" w:rsidRDefault="00C90BB2" w:rsidP="00BD48F0">
            <w:pPr>
              <w:spacing w:after="120" w:line="240" w:lineRule="auto"/>
              <w:jc w:val="both"/>
              <w:rPr>
                <w:rFonts w:ascii="Times New Roman" w:hAnsi="Times New Roman"/>
                <w:sz w:val="20"/>
                <w:szCs w:val="20"/>
              </w:rPr>
            </w:pPr>
            <w:r>
              <w:rPr>
                <w:rFonts w:ascii="Times New Roman" w:hAnsi="Times New Roman"/>
                <w:sz w:val="20"/>
                <w:szCs w:val="20"/>
              </w:rPr>
              <w:t xml:space="preserve">           c</w:t>
            </w:r>
            <w:r w:rsidRPr="0058344F">
              <w:rPr>
                <w:rFonts w:ascii="Times New Roman" w:hAnsi="Times New Roman"/>
                <w:sz w:val="20"/>
                <w:szCs w:val="20"/>
              </w:rPr>
              <w:t>ielęta</w:t>
            </w:r>
          </w:p>
        </w:tc>
        <w:tc>
          <w:tcPr>
            <w:tcW w:w="1250"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132,6</w:t>
            </w:r>
          </w:p>
        </w:tc>
        <w:tc>
          <w:tcPr>
            <w:tcW w:w="1276"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78,5</w:t>
            </w:r>
          </w:p>
        </w:tc>
        <w:tc>
          <w:tcPr>
            <w:tcW w:w="1134"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119,3</w:t>
            </w:r>
          </w:p>
        </w:tc>
        <w:tc>
          <w:tcPr>
            <w:tcW w:w="1418" w:type="dxa"/>
            <w:shd w:val="clear" w:color="auto" w:fill="auto"/>
            <w:noWrap/>
            <w:vAlign w:val="center"/>
          </w:tcPr>
          <w:p w:rsidR="00C90BB2" w:rsidRPr="00C90BB2" w:rsidRDefault="00C90BB2" w:rsidP="00C90BB2">
            <w:pPr>
              <w:spacing w:after="120" w:line="240" w:lineRule="auto"/>
              <w:ind w:right="340"/>
              <w:jc w:val="center"/>
              <w:rPr>
                <w:rFonts w:ascii="Times New Roman" w:hAnsi="Times New Roman"/>
                <w:sz w:val="20"/>
                <w:szCs w:val="20"/>
              </w:rPr>
            </w:pPr>
            <w:r w:rsidRPr="00C90BB2">
              <w:rPr>
                <w:rFonts w:ascii="Times New Roman" w:hAnsi="Times New Roman"/>
                <w:sz w:val="20"/>
                <w:szCs w:val="20"/>
              </w:rPr>
              <w:t>120,8</w:t>
            </w:r>
          </w:p>
        </w:tc>
      </w:tr>
      <w:tr w:rsidR="00C90BB2" w:rsidRPr="00F91A46" w:rsidTr="00C90BB2">
        <w:trPr>
          <w:trHeight w:val="285"/>
          <w:jc w:val="center"/>
        </w:trPr>
        <w:tc>
          <w:tcPr>
            <w:tcW w:w="3530" w:type="dxa"/>
            <w:shd w:val="clear" w:color="auto" w:fill="auto"/>
            <w:noWrap/>
            <w:vAlign w:val="bottom"/>
          </w:tcPr>
          <w:p w:rsidR="00C90BB2" w:rsidRPr="0058344F" w:rsidRDefault="00C90BB2" w:rsidP="00BD48F0">
            <w:pPr>
              <w:spacing w:after="120" w:line="240" w:lineRule="auto"/>
              <w:jc w:val="both"/>
              <w:rPr>
                <w:rFonts w:ascii="Times New Roman" w:hAnsi="Times New Roman"/>
                <w:sz w:val="20"/>
                <w:szCs w:val="20"/>
              </w:rPr>
            </w:pPr>
            <w:r>
              <w:rPr>
                <w:rFonts w:ascii="Times New Roman" w:hAnsi="Times New Roman"/>
                <w:sz w:val="20"/>
                <w:szCs w:val="20"/>
              </w:rPr>
              <w:t xml:space="preserve">           m</w:t>
            </w:r>
            <w:r w:rsidRPr="0058344F">
              <w:rPr>
                <w:rFonts w:ascii="Times New Roman" w:hAnsi="Times New Roman"/>
                <w:sz w:val="20"/>
                <w:szCs w:val="20"/>
              </w:rPr>
              <w:t>leko</w:t>
            </w:r>
          </w:p>
        </w:tc>
        <w:tc>
          <w:tcPr>
            <w:tcW w:w="1250"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109,3</w:t>
            </w:r>
          </w:p>
        </w:tc>
        <w:tc>
          <w:tcPr>
            <w:tcW w:w="1276"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112,8</w:t>
            </w:r>
          </w:p>
        </w:tc>
        <w:tc>
          <w:tcPr>
            <w:tcW w:w="1134" w:type="dxa"/>
            <w:shd w:val="clear" w:color="auto" w:fill="auto"/>
            <w:noWrap/>
            <w:vAlign w:val="center"/>
          </w:tcPr>
          <w:p w:rsidR="00C90BB2" w:rsidRPr="00C90BB2" w:rsidRDefault="00C90BB2" w:rsidP="00C90BB2">
            <w:pPr>
              <w:spacing w:after="120" w:line="240" w:lineRule="auto"/>
              <w:jc w:val="center"/>
              <w:rPr>
                <w:rFonts w:ascii="Times New Roman" w:hAnsi="Times New Roman"/>
                <w:sz w:val="20"/>
                <w:szCs w:val="20"/>
              </w:rPr>
            </w:pPr>
            <w:r w:rsidRPr="00C90BB2">
              <w:rPr>
                <w:rFonts w:ascii="Times New Roman" w:hAnsi="Times New Roman"/>
                <w:sz w:val="20"/>
                <w:szCs w:val="20"/>
              </w:rPr>
              <w:t>117,9</w:t>
            </w:r>
          </w:p>
        </w:tc>
        <w:tc>
          <w:tcPr>
            <w:tcW w:w="1418" w:type="dxa"/>
            <w:shd w:val="clear" w:color="auto" w:fill="auto"/>
            <w:noWrap/>
            <w:vAlign w:val="center"/>
          </w:tcPr>
          <w:p w:rsidR="00C90BB2" w:rsidRPr="00C90BB2" w:rsidRDefault="00C90BB2" w:rsidP="00C90BB2">
            <w:pPr>
              <w:spacing w:after="120" w:line="240" w:lineRule="auto"/>
              <w:ind w:right="340"/>
              <w:jc w:val="center"/>
              <w:rPr>
                <w:rFonts w:ascii="Times New Roman" w:hAnsi="Times New Roman"/>
                <w:sz w:val="20"/>
                <w:szCs w:val="20"/>
              </w:rPr>
            </w:pPr>
            <w:r w:rsidRPr="00C90BB2">
              <w:rPr>
                <w:rFonts w:ascii="Times New Roman" w:hAnsi="Times New Roman"/>
                <w:sz w:val="20"/>
                <w:szCs w:val="20"/>
              </w:rPr>
              <w:t>97,9</w:t>
            </w:r>
          </w:p>
        </w:tc>
      </w:tr>
    </w:tbl>
    <w:p w:rsidR="006A64B7" w:rsidRPr="00C90BB2" w:rsidRDefault="006A64B7" w:rsidP="006A64B7">
      <w:pPr>
        <w:pStyle w:val="Tekstpodstawowy"/>
        <w:spacing w:after="240"/>
        <w:rPr>
          <w:rFonts w:ascii="Times New Roman" w:hAnsi="Times New Roman" w:cs="Times New Roman"/>
          <w:sz w:val="20"/>
          <w:szCs w:val="20"/>
        </w:rPr>
      </w:pPr>
      <w:r w:rsidRPr="00C90BB2">
        <w:rPr>
          <w:rFonts w:ascii="Times New Roman" w:hAnsi="Times New Roman" w:cs="Times New Roman"/>
          <w:sz w:val="20"/>
          <w:szCs w:val="20"/>
        </w:rPr>
        <w:t>Źródło: „Rynek Rolny”, Luty 2012.</w:t>
      </w:r>
    </w:p>
    <w:p w:rsidR="00E3413E" w:rsidRDefault="00E3413E" w:rsidP="00E3413E">
      <w:pPr>
        <w:spacing w:after="0" w:line="264" w:lineRule="auto"/>
        <w:ind w:firstLine="709"/>
        <w:jc w:val="right"/>
        <w:rPr>
          <w:rFonts w:ascii="Times New Roman" w:hAnsi="Times New Roman"/>
          <w:sz w:val="24"/>
          <w:szCs w:val="24"/>
          <w:lang w:eastAsia="pl-PL"/>
        </w:rPr>
      </w:pPr>
      <w:r>
        <w:rPr>
          <w:rFonts w:ascii="Times New Roman" w:hAnsi="Times New Roman"/>
          <w:sz w:val="24"/>
          <w:szCs w:val="24"/>
          <w:lang w:eastAsia="pl-PL"/>
        </w:rPr>
        <w:t>Tabela</w:t>
      </w:r>
      <w:r w:rsidR="00485BDE">
        <w:rPr>
          <w:rFonts w:ascii="Times New Roman" w:hAnsi="Times New Roman"/>
          <w:sz w:val="24"/>
          <w:szCs w:val="24"/>
          <w:lang w:eastAsia="pl-PL"/>
        </w:rPr>
        <w:t xml:space="preserve"> 3</w:t>
      </w:r>
      <w:r>
        <w:rPr>
          <w:rFonts w:ascii="Times New Roman" w:hAnsi="Times New Roman"/>
          <w:sz w:val="24"/>
          <w:szCs w:val="24"/>
          <w:lang w:eastAsia="pl-PL"/>
        </w:rPr>
        <w:t xml:space="preserve"> </w:t>
      </w:r>
    </w:p>
    <w:p w:rsidR="00E3413E" w:rsidRDefault="00E3413E" w:rsidP="00E3413E">
      <w:pPr>
        <w:spacing w:after="120" w:line="240" w:lineRule="auto"/>
        <w:jc w:val="both"/>
        <w:rPr>
          <w:rFonts w:ascii="Times New Roman" w:hAnsi="Times New Roman"/>
          <w:sz w:val="24"/>
          <w:szCs w:val="24"/>
        </w:rPr>
      </w:pPr>
      <w:r w:rsidRPr="008B1A18">
        <w:rPr>
          <w:rFonts w:ascii="Times New Roman" w:hAnsi="Times New Roman"/>
          <w:sz w:val="24"/>
          <w:szCs w:val="24"/>
        </w:rPr>
        <w:t>Ceny sk</w:t>
      </w:r>
      <w:r>
        <w:rPr>
          <w:rFonts w:ascii="Times New Roman" w:hAnsi="Times New Roman"/>
          <w:sz w:val="24"/>
          <w:szCs w:val="24"/>
        </w:rPr>
        <w:t>upu płodów rolnych w latach 2009-2011</w:t>
      </w:r>
      <w:r w:rsidRPr="008B1A18">
        <w:rPr>
          <w:rFonts w:ascii="Times New Roman" w:hAnsi="Times New Roman"/>
          <w:sz w:val="24"/>
          <w:szCs w:val="24"/>
        </w:rPr>
        <w:t xml:space="preserve"> (</w:t>
      </w:r>
      <w:r>
        <w:rPr>
          <w:rFonts w:ascii="Times New Roman" w:hAnsi="Times New Roman"/>
          <w:sz w:val="24"/>
          <w:szCs w:val="24"/>
        </w:rPr>
        <w:t xml:space="preserve">dane z miesiąca grudnia w zł) </w:t>
      </w:r>
    </w:p>
    <w:tbl>
      <w:tblPr>
        <w:tblW w:w="8653"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15"/>
        <w:gridCol w:w="851"/>
        <w:gridCol w:w="590"/>
        <w:gridCol w:w="885"/>
        <w:gridCol w:w="1076"/>
        <w:gridCol w:w="993"/>
        <w:gridCol w:w="708"/>
        <w:gridCol w:w="851"/>
        <w:gridCol w:w="567"/>
        <w:gridCol w:w="709"/>
        <w:gridCol w:w="708"/>
      </w:tblGrid>
      <w:tr w:rsidR="00AB25F6" w:rsidRPr="004F581F" w:rsidTr="00AB25F6">
        <w:trPr>
          <w:trHeight w:val="285"/>
          <w:jc w:val="center"/>
        </w:trPr>
        <w:tc>
          <w:tcPr>
            <w:tcW w:w="715" w:type="dxa"/>
            <w:shd w:val="clear" w:color="auto" w:fill="auto"/>
            <w:noWrap/>
            <w:vAlign w:val="center"/>
            <w:hideMark/>
          </w:tcPr>
          <w:p w:rsidR="00E3413E" w:rsidRPr="004F581F" w:rsidRDefault="00E3413E" w:rsidP="00BD48F0">
            <w:pPr>
              <w:spacing w:after="120" w:line="240" w:lineRule="auto"/>
              <w:jc w:val="both"/>
              <w:rPr>
                <w:rFonts w:ascii="Times New Roman" w:hAnsi="Times New Roman"/>
                <w:sz w:val="20"/>
                <w:szCs w:val="20"/>
              </w:rPr>
            </w:pPr>
            <w:r>
              <w:rPr>
                <w:rFonts w:ascii="Times New Roman" w:hAnsi="Times New Roman"/>
                <w:sz w:val="20"/>
                <w:szCs w:val="20"/>
              </w:rPr>
              <w:t>L</w:t>
            </w:r>
            <w:r w:rsidRPr="004F581F">
              <w:rPr>
                <w:rFonts w:ascii="Times New Roman" w:hAnsi="Times New Roman"/>
                <w:sz w:val="20"/>
                <w:szCs w:val="20"/>
              </w:rPr>
              <w:t>ata</w:t>
            </w:r>
          </w:p>
        </w:tc>
        <w:tc>
          <w:tcPr>
            <w:tcW w:w="851" w:type="dxa"/>
            <w:shd w:val="clear" w:color="auto" w:fill="auto"/>
            <w:noWrap/>
            <w:vAlign w:val="center"/>
            <w:hideMark/>
          </w:tcPr>
          <w:p w:rsidR="00E3413E" w:rsidRPr="004F581F" w:rsidRDefault="00E3413E" w:rsidP="00BD48F0">
            <w:pPr>
              <w:spacing w:after="120" w:line="240" w:lineRule="auto"/>
              <w:jc w:val="both"/>
              <w:rPr>
                <w:rFonts w:ascii="Times New Roman" w:hAnsi="Times New Roman"/>
                <w:sz w:val="20"/>
                <w:szCs w:val="20"/>
              </w:rPr>
            </w:pPr>
            <w:r w:rsidRPr="004F581F">
              <w:rPr>
                <w:rFonts w:ascii="Times New Roman" w:hAnsi="Times New Roman"/>
                <w:sz w:val="20"/>
                <w:szCs w:val="20"/>
              </w:rPr>
              <w:t>Pszenica</w:t>
            </w:r>
            <w:r>
              <w:rPr>
                <w:rFonts w:ascii="Times New Roman" w:hAnsi="Times New Roman"/>
                <w:sz w:val="20"/>
                <w:szCs w:val="20"/>
              </w:rPr>
              <w:t xml:space="preserve"> </w:t>
            </w:r>
            <w:r w:rsidRPr="00294839">
              <w:rPr>
                <w:rFonts w:ascii="Times New Roman" w:hAnsi="Times New Roman"/>
                <w:sz w:val="16"/>
                <w:szCs w:val="16"/>
              </w:rPr>
              <w:t>(</w:t>
            </w:r>
            <w:proofErr w:type="spellStart"/>
            <w:r w:rsidRPr="00294839">
              <w:rPr>
                <w:rFonts w:ascii="Times New Roman" w:hAnsi="Times New Roman"/>
                <w:sz w:val="16"/>
                <w:szCs w:val="16"/>
              </w:rPr>
              <w:t>dt</w:t>
            </w:r>
            <w:proofErr w:type="spellEnd"/>
            <w:r w:rsidRPr="00294839">
              <w:rPr>
                <w:rFonts w:ascii="Times New Roman" w:hAnsi="Times New Roman"/>
                <w:sz w:val="16"/>
                <w:szCs w:val="16"/>
              </w:rPr>
              <w:t>)</w:t>
            </w:r>
          </w:p>
        </w:tc>
        <w:tc>
          <w:tcPr>
            <w:tcW w:w="590" w:type="dxa"/>
            <w:shd w:val="clear" w:color="auto" w:fill="auto"/>
            <w:noWrap/>
            <w:vAlign w:val="center"/>
            <w:hideMark/>
          </w:tcPr>
          <w:p w:rsidR="00E3413E" w:rsidRPr="004F581F" w:rsidRDefault="00E3413E" w:rsidP="00BD48F0">
            <w:pPr>
              <w:spacing w:after="120" w:line="240" w:lineRule="auto"/>
              <w:jc w:val="both"/>
              <w:rPr>
                <w:rFonts w:ascii="Times New Roman" w:hAnsi="Times New Roman"/>
                <w:sz w:val="20"/>
                <w:szCs w:val="20"/>
              </w:rPr>
            </w:pPr>
            <w:r w:rsidRPr="004F581F">
              <w:rPr>
                <w:rFonts w:ascii="Times New Roman" w:hAnsi="Times New Roman"/>
                <w:sz w:val="20"/>
                <w:szCs w:val="20"/>
              </w:rPr>
              <w:t>Żyto</w:t>
            </w:r>
            <w:r>
              <w:rPr>
                <w:rFonts w:ascii="Times New Roman" w:hAnsi="Times New Roman"/>
                <w:sz w:val="20"/>
                <w:szCs w:val="20"/>
              </w:rPr>
              <w:t xml:space="preserve"> </w:t>
            </w:r>
            <w:r w:rsidRPr="00294839">
              <w:rPr>
                <w:rFonts w:ascii="Times New Roman" w:hAnsi="Times New Roman"/>
                <w:sz w:val="16"/>
                <w:szCs w:val="16"/>
              </w:rPr>
              <w:t>(</w:t>
            </w:r>
            <w:proofErr w:type="spellStart"/>
            <w:r w:rsidRPr="00294839">
              <w:rPr>
                <w:rFonts w:ascii="Times New Roman" w:hAnsi="Times New Roman"/>
                <w:sz w:val="16"/>
                <w:szCs w:val="16"/>
              </w:rPr>
              <w:t>dt</w:t>
            </w:r>
            <w:proofErr w:type="spellEnd"/>
            <w:r w:rsidRPr="00294839">
              <w:rPr>
                <w:rFonts w:ascii="Times New Roman" w:hAnsi="Times New Roman"/>
                <w:sz w:val="16"/>
                <w:szCs w:val="16"/>
              </w:rPr>
              <w:t>)</w:t>
            </w:r>
          </w:p>
        </w:tc>
        <w:tc>
          <w:tcPr>
            <w:tcW w:w="885" w:type="dxa"/>
            <w:shd w:val="clear" w:color="auto" w:fill="auto"/>
            <w:noWrap/>
            <w:vAlign w:val="center"/>
            <w:hideMark/>
          </w:tcPr>
          <w:p w:rsidR="00E3413E" w:rsidRPr="004F581F" w:rsidRDefault="00E3413E" w:rsidP="00BD48F0">
            <w:pPr>
              <w:spacing w:after="120" w:line="240" w:lineRule="auto"/>
              <w:jc w:val="both"/>
              <w:rPr>
                <w:rFonts w:ascii="Times New Roman" w:hAnsi="Times New Roman"/>
                <w:sz w:val="20"/>
                <w:szCs w:val="20"/>
              </w:rPr>
            </w:pPr>
            <w:r w:rsidRPr="004F581F">
              <w:rPr>
                <w:rFonts w:ascii="Times New Roman" w:hAnsi="Times New Roman"/>
                <w:sz w:val="20"/>
                <w:szCs w:val="20"/>
              </w:rPr>
              <w:t>Jęczmień</w:t>
            </w:r>
            <w:r>
              <w:rPr>
                <w:rFonts w:ascii="Times New Roman" w:hAnsi="Times New Roman"/>
                <w:sz w:val="20"/>
                <w:szCs w:val="20"/>
              </w:rPr>
              <w:t xml:space="preserve"> </w:t>
            </w:r>
            <w:r w:rsidRPr="00294839">
              <w:rPr>
                <w:rFonts w:ascii="Times New Roman" w:hAnsi="Times New Roman"/>
                <w:sz w:val="16"/>
                <w:szCs w:val="16"/>
              </w:rPr>
              <w:t>(</w:t>
            </w:r>
            <w:proofErr w:type="spellStart"/>
            <w:r w:rsidRPr="00294839">
              <w:rPr>
                <w:rFonts w:ascii="Times New Roman" w:hAnsi="Times New Roman"/>
                <w:sz w:val="16"/>
                <w:szCs w:val="16"/>
              </w:rPr>
              <w:t>dt</w:t>
            </w:r>
            <w:proofErr w:type="spellEnd"/>
            <w:r w:rsidRPr="00294839">
              <w:rPr>
                <w:rFonts w:ascii="Times New Roman" w:hAnsi="Times New Roman"/>
                <w:sz w:val="16"/>
                <w:szCs w:val="16"/>
              </w:rPr>
              <w:t>)</w:t>
            </w:r>
          </w:p>
        </w:tc>
        <w:tc>
          <w:tcPr>
            <w:tcW w:w="1076" w:type="dxa"/>
            <w:shd w:val="clear" w:color="auto" w:fill="auto"/>
            <w:noWrap/>
            <w:vAlign w:val="center"/>
            <w:hideMark/>
          </w:tcPr>
          <w:p w:rsidR="00E3413E" w:rsidRPr="004F581F" w:rsidRDefault="00E3413E" w:rsidP="00BD48F0">
            <w:pPr>
              <w:spacing w:after="120" w:line="240" w:lineRule="auto"/>
              <w:jc w:val="both"/>
              <w:rPr>
                <w:rFonts w:ascii="Times New Roman" w:hAnsi="Times New Roman"/>
                <w:sz w:val="20"/>
                <w:szCs w:val="20"/>
              </w:rPr>
            </w:pPr>
            <w:r w:rsidRPr="004F581F">
              <w:rPr>
                <w:rFonts w:ascii="Times New Roman" w:hAnsi="Times New Roman"/>
                <w:sz w:val="20"/>
                <w:szCs w:val="20"/>
              </w:rPr>
              <w:t>Kukurydza</w:t>
            </w:r>
            <w:r>
              <w:rPr>
                <w:rFonts w:ascii="Times New Roman" w:hAnsi="Times New Roman"/>
                <w:sz w:val="20"/>
                <w:szCs w:val="20"/>
              </w:rPr>
              <w:t xml:space="preserve"> </w:t>
            </w:r>
            <w:r w:rsidRPr="00294839">
              <w:rPr>
                <w:rFonts w:ascii="Times New Roman" w:hAnsi="Times New Roman"/>
                <w:sz w:val="16"/>
                <w:szCs w:val="16"/>
              </w:rPr>
              <w:t>(</w:t>
            </w:r>
            <w:proofErr w:type="spellStart"/>
            <w:r w:rsidRPr="00294839">
              <w:rPr>
                <w:rFonts w:ascii="Times New Roman" w:hAnsi="Times New Roman"/>
                <w:sz w:val="16"/>
                <w:szCs w:val="16"/>
              </w:rPr>
              <w:t>dt</w:t>
            </w:r>
            <w:proofErr w:type="spellEnd"/>
            <w:r w:rsidRPr="00294839">
              <w:rPr>
                <w:rFonts w:ascii="Times New Roman" w:hAnsi="Times New Roman"/>
                <w:sz w:val="16"/>
                <w:szCs w:val="16"/>
              </w:rPr>
              <w:t>)</w:t>
            </w:r>
          </w:p>
        </w:tc>
        <w:tc>
          <w:tcPr>
            <w:tcW w:w="993" w:type="dxa"/>
            <w:shd w:val="clear" w:color="auto" w:fill="auto"/>
            <w:noWrap/>
            <w:vAlign w:val="center"/>
            <w:hideMark/>
          </w:tcPr>
          <w:p w:rsidR="00E3413E" w:rsidRPr="004F581F" w:rsidRDefault="00E3413E" w:rsidP="00BD48F0">
            <w:pPr>
              <w:spacing w:after="120" w:line="240" w:lineRule="auto"/>
              <w:jc w:val="both"/>
              <w:rPr>
                <w:rFonts w:ascii="Times New Roman" w:hAnsi="Times New Roman"/>
                <w:sz w:val="20"/>
                <w:szCs w:val="20"/>
              </w:rPr>
            </w:pPr>
            <w:r w:rsidRPr="004F581F">
              <w:rPr>
                <w:rFonts w:ascii="Times New Roman" w:hAnsi="Times New Roman"/>
                <w:sz w:val="20"/>
                <w:szCs w:val="20"/>
              </w:rPr>
              <w:t>Ziemniaki</w:t>
            </w:r>
            <w:r>
              <w:rPr>
                <w:rFonts w:ascii="Times New Roman" w:hAnsi="Times New Roman"/>
                <w:sz w:val="20"/>
                <w:szCs w:val="20"/>
              </w:rPr>
              <w:t xml:space="preserve"> </w:t>
            </w:r>
            <w:r w:rsidRPr="00294839">
              <w:rPr>
                <w:rFonts w:ascii="Times New Roman" w:hAnsi="Times New Roman"/>
                <w:sz w:val="16"/>
                <w:szCs w:val="16"/>
              </w:rPr>
              <w:t>(</w:t>
            </w:r>
            <w:proofErr w:type="spellStart"/>
            <w:r w:rsidRPr="00294839">
              <w:rPr>
                <w:rFonts w:ascii="Times New Roman" w:hAnsi="Times New Roman"/>
                <w:sz w:val="16"/>
                <w:szCs w:val="16"/>
              </w:rPr>
              <w:t>dt</w:t>
            </w:r>
            <w:proofErr w:type="spellEnd"/>
            <w:r w:rsidRPr="00294839">
              <w:rPr>
                <w:rFonts w:ascii="Times New Roman" w:hAnsi="Times New Roman"/>
                <w:sz w:val="16"/>
                <w:szCs w:val="16"/>
              </w:rPr>
              <w:t>)</w:t>
            </w:r>
          </w:p>
        </w:tc>
        <w:tc>
          <w:tcPr>
            <w:tcW w:w="708" w:type="dxa"/>
            <w:shd w:val="clear" w:color="auto" w:fill="auto"/>
            <w:noWrap/>
            <w:vAlign w:val="center"/>
            <w:hideMark/>
          </w:tcPr>
          <w:p w:rsidR="00E3413E" w:rsidRPr="004F581F" w:rsidRDefault="00E3413E" w:rsidP="00BD48F0">
            <w:pPr>
              <w:spacing w:after="120" w:line="240" w:lineRule="auto"/>
              <w:jc w:val="both"/>
              <w:rPr>
                <w:rFonts w:ascii="Times New Roman" w:hAnsi="Times New Roman"/>
                <w:sz w:val="20"/>
                <w:szCs w:val="20"/>
              </w:rPr>
            </w:pPr>
            <w:r w:rsidRPr="004F581F">
              <w:rPr>
                <w:rFonts w:ascii="Times New Roman" w:hAnsi="Times New Roman"/>
                <w:sz w:val="20"/>
                <w:szCs w:val="20"/>
              </w:rPr>
              <w:t>Bydło</w:t>
            </w:r>
            <w:r>
              <w:rPr>
                <w:rFonts w:ascii="Times New Roman" w:hAnsi="Times New Roman"/>
                <w:sz w:val="20"/>
                <w:szCs w:val="20"/>
              </w:rPr>
              <w:t xml:space="preserve"> </w:t>
            </w:r>
            <w:r w:rsidRPr="00294839">
              <w:rPr>
                <w:rFonts w:ascii="Times New Roman" w:hAnsi="Times New Roman"/>
                <w:sz w:val="16"/>
                <w:szCs w:val="16"/>
              </w:rPr>
              <w:t>(kg)</w:t>
            </w:r>
          </w:p>
        </w:tc>
        <w:tc>
          <w:tcPr>
            <w:tcW w:w="851" w:type="dxa"/>
            <w:shd w:val="clear" w:color="auto" w:fill="auto"/>
            <w:noWrap/>
            <w:vAlign w:val="center"/>
            <w:hideMark/>
          </w:tcPr>
          <w:p w:rsidR="00E3413E" w:rsidRPr="004F581F" w:rsidRDefault="00E3413E" w:rsidP="00AB25F6">
            <w:pPr>
              <w:spacing w:after="120" w:line="240" w:lineRule="auto"/>
              <w:ind w:right="-70"/>
              <w:jc w:val="both"/>
              <w:rPr>
                <w:rFonts w:ascii="Times New Roman" w:hAnsi="Times New Roman"/>
                <w:sz w:val="20"/>
                <w:szCs w:val="20"/>
              </w:rPr>
            </w:pPr>
            <w:r w:rsidRPr="004F581F">
              <w:rPr>
                <w:rFonts w:ascii="Times New Roman" w:hAnsi="Times New Roman"/>
                <w:sz w:val="20"/>
                <w:szCs w:val="20"/>
              </w:rPr>
              <w:t>Trzoda chlewna</w:t>
            </w:r>
            <w:r>
              <w:rPr>
                <w:rFonts w:ascii="Times New Roman" w:hAnsi="Times New Roman"/>
                <w:sz w:val="20"/>
                <w:szCs w:val="20"/>
              </w:rPr>
              <w:t xml:space="preserve"> </w:t>
            </w:r>
            <w:r w:rsidRPr="00294839">
              <w:rPr>
                <w:rFonts w:ascii="Times New Roman" w:hAnsi="Times New Roman"/>
                <w:sz w:val="16"/>
                <w:szCs w:val="16"/>
              </w:rPr>
              <w:t>(kg)</w:t>
            </w:r>
          </w:p>
        </w:tc>
        <w:tc>
          <w:tcPr>
            <w:tcW w:w="567" w:type="dxa"/>
            <w:shd w:val="clear" w:color="auto" w:fill="auto"/>
            <w:noWrap/>
            <w:vAlign w:val="center"/>
            <w:hideMark/>
          </w:tcPr>
          <w:p w:rsidR="00E3413E" w:rsidRPr="004F581F" w:rsidRDefault="00E3413E" w:rsidP="00BD48F0">
            <w:pPr>
              <w:spacing w:after="120" w:line="240" w:lineRule="auto"/>
              <w:jc w:val="both"/>
              <w:rPr>
                <w:rFonts w:ascii="Times New Roman" w:hAnsi="Times New Roman"/>
                <w:sz w:val="20"/>
                <w:szCs w:val="20"/>
              </w:rPr>
            </w:pPr>
            <w:r w:rsidRPr="004F581F">
              <w:rPr>
                <w:rFonts w:ascii="Times New Roman" w:hAnsi="Times New Roman"/>
                <w:sz w:val="20"/>
                <w:szCs w:val="20"/>
              </w:rPr>
              <w:t>Drób</w:t>
            </w:r>
            <w:r>
              <w:rPr>
                <w:rFonts w:ascii="Times New Roman" w:hAnsi="Times New Roman"/>
                <w:sz w:val="20"/>
                <w:szCs w:val="20"/>
              </w:rPr>
              <w:t xml:space="preserve"> </w:t>
            </w:r>
            <w:r w:rsidRPr="00294839">
              <w:rPr>
                <w:rFonts w:ascii="Times New Roman" w:hAnsi="Times New Roman"/>
                <w:sz w:val="16"/>
                <w:szCs w:val="16"/>
              </w:rPr>
              <w:t>(kg)</w:t>
            </w:r>
          </w:p>
        </w:tc>
        <w:tc>
          <w:tcPr>
            <w:tcW w:w="709" w:type="dxa"/>
            <w:shd w:val="clear" w:color="auto" w:fill="auto"/>
            <w:noWrap/>
            <w:vAlign w:val="center"/>
            <w:hideMark/>
          </w:tcPr>
          <w:p w:rsidR="00E3413E" w:rsidRPr="004F581F" w:rsidRDefault="00E3413E" w:rsidP="00BD48F0">
            <w:pPr>
              <w:spacing w:after="120" w:line="240" w:lineRule="auto"/>
              <w:jc w:val="both"/>
              <w:rPr>
                <w:rFonts w:ascii="Times New Roman" w:hAnsi="Times New Roman"/>
                <w:sz w:val="20"/>
                <w:szCs w:val="20"/>
              </w:rPr>
            </w:pPr>
            <w:r w:rsidRPr="004F581F">
              <w:rPr>
                <w:rFonts w:ascii="Times New Roman" w:hAnsi="Times New Roman"/>
                <w:sz w:val="20"/>
                <w:szCs w:val="20"/>
              </w:rPr>
              <w:t>Cielęta</w:t>
            </w:r>
            <w:r>
              <w:rPr>
                <w:rFonts w:ascii="Times New Roman" w:hAnsi="Times New Roman"/>
                <w:sz w:val="20"/>
                <w:szCs w:val="20"/>
              </w:rPr>
              <w:t xml:space="preserve"> </w:t>
            </w:r>
            <w:r w:rsidRPr="00294839">
              <w:rPr>
                <w:rFonts w:ascii="Times New Roman" w:hAnsi="Times New Roman"/>
                <w:sz w:val="16"/>
                <w:szCs w:val="16"/>
              </w:rPr>
              <w:t>(kg)</w:t>
            </w:r>
          </w:p>
        </w:tc>
        <w:tc>
          <w:tcPr>
            <w:tcW w:w="708" w:type="dxa"/>
            <w:shd w:val="clear" w:color="auto" w:fill="auto"/>
            <w:noWrap/>
            <w:vAlign w:val="center"/>
            <w:hideMark/>
          </w:tcPr>
          <w:p w:rsidR="00E3413E" w:rsidRPr="004F581F" w:rsidRDefault="00E3413E" w:rsidP="00BD48F0">
            <w:pPr>
              <w:spacing w:after="120" w:line="240" w:lineRule="auto"/>
              <w:jc w:val="both"/>
              <w:rPr>
                <w:rFonts w:ascii="Times New Roman" w:hAnsi="Times New Roman"/>
                <w:sz w:val="20"/>
                <w:szCs w:val="20"/>
              </w:rPr>
            </w:pPr>
            <w:r w:rsidRPr="004F581F">
              <w:rPr>
                <w:rFonts w:ascii="Times New Roman" w:hAnsi="Times New Roman"/>
                <w:sz w:val="20"/>
                <w:szCs w:val="20"/>
              </w:rPr>
              <w:t>Mleko</w:t>
            </w:r>
            <w:r>
              <w:rPr>
                <w:rFonts w:ascii="Times New Roman" w:hAnsi="Times New Roman"/>
                <w:sz w:val="20"/>
                <w:szCs w:val="20"/>
              </w:rPr>
              <w:t xml:space="preserve"> </w:t>
            </w:r>
            <w:r w:rsidRPr="00294839">
              <w:rPr>
                <w:rFonts w:ascii="Times New Roman" w:hAnsi="Times New Roman"/>
                <w:sz w:val="16"/>
                <w:szCs w:val="16"/>
              </w:rPr>
              <w:t>(l.)</w:t>
            </w:r>
          </w:p>
        </w:tc>
      </w:tr>
      <w:tr w:rsidR="00AB25F6" w:rsidRPr="004F581F" w:rsidTr="00AB25F6">
        <w:trPr>
          <w:trHeight w:val="285"/>
          <w:jc w:val="center"/>
        </w:trPr>
        <w:tc>
          <w:tcPr>
            <w:tcW w:w="715" w:type="dxa"/>
            <w:shd w:val="clear" w:color="auto" w:fill="auto"/>
            <w:noWrap/>
            <w:vAlign w:val="bottom"/>
          </w:tcPr>
          <w:p w:rsidR="00E3413E" w:rsidRPr="004F581F" w:rsidRDefault="00E3413E" w:rsidP="00BD48F0">
            <w:pPr>
              <w:spacing w:after="120" w:line="240" w:lineRule="auto"/>
              <w:jc w:val="both"/>
              <w:rPr>
                <w:rFonts w:ascii="Times New Roman" w:hAnsi="Times New Roman"/>
                <w:sz w:val="20"/>
                <w:szCs w:val="20"/>
              </w:rPr>
            </w:pPr>
            <w:r>
              <w:rPr>
                <w:rFonts w:ascii="Times New Roman" w:hAnsi="Times New Roman"/>
                <w:sz w:val="20"/>
                <w:szCs w:val="20"/>
              </w:rPr>
              <w:t>2011</w:t>
            </w:r>
          </w:p>
        </w:tc>
        <w:tc>
          <w:tcPr>
            <w:tcW w:w="851" w:type="dxa"/>
            <w:shd w:val="clear" w:color="auto" w:fill="auto"/>
            <w:noWrap/>
            <w:vAlign w:val="bottom"/>
          </w:tcPr>
          <w:p w:rsidR="00E3413E" w:rsidRPr="00D37578" w:rsidRDefault="00E3413E" w:rsidP="00BD48F0">
            <w:pPr>
              <w:spacing w:after="120" w:line="240" w:lineRule="auto"/>
              <w:jc w:val="right"/>
              <w:rPr>
                <w:rFonts w:ascii="Times New Roman" w:hAnsi="Times New Roman"/>
                <w:sz w:val="20"/>
                <w:szCs w:val="20"/>
              </w:rPr>
            </w:pPr>
            <w:r w:rsidRPr="00D37578">
              <w:rPr>
                <w:rFonts w:ascii="Times New Roman" w:hAnsi="Times New Roman"/>
                <w:sz w:val="20"/>
                <w:szCs w:val="20"/>
              </w:rPr>
              <w:t>75,91</w:t>
            </w:r>
          </w:p>
        </w:tc>
        <w:tc>
          <w:tcPr>
            <w:tcW w:w="590" w:type="dxa"/>
            <w:shd w:val="clear" w:color="auto" w:fill="auto"/>
            <w:noWrap/>
            <w:vAlign w:val="bottom"/>
          </w:tcPr>
          <w:p w:rsidR="00E3413E" w:rsidRPr="00D37578" w:rsidRDefault="00E3413E" w:rsidP="00BD48F0">
            <w:pPr>
              <w:spacing w:after="120" w:line="240" w:lineRule="auto"/>
              <w:jc w:val="right"/>
              <w:rPr>
                <w:rFonts w:ascii="Times New Roman" w:hAnsi="Times New Roman"/>
                <w:sz w:val="20"/>
                <w:szCs w:val="20"/>
              </w:rPr>
            </w:pPr>
            <w:r w:rsidRPr="00D37578">
              <w:rPr>
                <w:rFonts w:ascii="Times New Roman" w:hAnsi="Times New Roman"/>
                <w:sz w:val="20"/>
                <w:szCs w:val="20"/>
              </w:rPr>
              <w:t>79,99</w:t>
            </w:r>
          </w:p>
        </w:tc>
        <w:tc>
          <w:tcPr>
            <w:tcW w:w="885" w:type="dxa"/>
            <w:shd w:val="clear" w:color="auto" w:fill="auto"/>
            <w:noWrap/>
            <w:vAlign w:val="bottom"/>
          </w:tcPr>
          <w:p w:rsidR="00E3413E" w:rsidRPr="004F581F" w:rsidRDefault="00E3413E" w:rsidP="00BD48F0">
            <w:pPr>
              <w:spacing w:after="120" w:line="240" w:lineRule="auto"/>
              <w:jc w:val="right"/>
              <w:rPr>
                <w:rFonts w:ascii="Times New Roman" w:hAnsi="Times New Roman"/>
                <w:sz w:val="20"/>
                <w:szCs w:val="20"/>
              </w:rPr>
            </w:pPr>
            <w:r>
              <w:rPr>
                <w:rFonts w:ascii="Times New Roman" w:hAnsi="Times New Roman"/>
                <w:sz w:val="20"/>
                <w:szCs w:val="20"/>
              </w:rPr>
              <w:t>74,94</w:t>
            </w:r>
          </w:p>
        </w:tc>
        <w:tc>
          <w:tcPr>
            <w:tcW w:w="1076" w:type="dxa"/>
            <w:shd w:val="clear" w:color="auto" w:fill="auto"/>
            <w:noWrap/>
            <w:vAlign w:val="bottom"/>
          </w:tcPr>
          <w:p w:rsidR="00E3413E" w:rsidRPr="004F581F" w:rsidRDefault="00E3413E" w:rsidP="00BD48F0">
            <w:pPr>
              <w:spacing w:after="120" w:line="240" w:lineRule="auto"/>
              <w:jc w:val="right"/>
              <w:rPr>
                <w:rFonts w:ascii="Times New Roman" w:hAnsi="Times New Roman"/>
                <w:sz w:val="20"/>
                <w:szCs w:val="20"/>
              </w:rPr>
            </w:pPr>
            <w:r>
              <w:rPr>
                <w:rFonts w:ascii="Times New Roman" w:hAnsi="Times New Roman"/>
                <w:sz w:val="20"/>
                <w:szCs w:val="20"/>
              </w:rPr>
              <w:t>68,61</w:t>
            </w:r>
          </w:p>
        </w:tc>
        <w:tc>
          <w:tcPr>
            <w:tcW w:w="993" w:type="dxa"/>
            <w:shd w:val="clear" w:color="auto" w:fill="auto"/>
            <w:noWrap/>
            <w:vAlign w:val="bottom"/>
          </w:tcPr>
          <w:p w:rsidR="00E3413E" w:rsidRPr="004F581F" w:rsidRDefault="00E3413E" w:rsidP="00BD48F0">
            <w:pPr>
              <w:spacing w:after="120" w:line="240" w:lineRule="auto"/>
              <w:jc w:val="right"/>
              <w:rPr>
                <w:rFonts w:ascii="Times New Roman" w:hAnsi="Times New Roman"/>
                <w:sz w:val="20"/>
                <w:szCs w:val="20"/>
              </w:rPr>
            </w:pPr>
            <w:r w:rsidRPr="00D37578">
              <w:rPr>
                <w:rFonts w:ascii="Times New Roman" w:hAnsi="Times New Roman"/>
                <w:sz w:val="20"/>
                <w:szCs w:val="20"/>
              </w:rPr>
              <w:t>32,80</w:t>
            </w:r>
          </w:p>
        </w:tc>
        <w:tc>
          <w:tcPr>
            <w:tcW w:w="708" w:type="dxa"/>
            <w:shd w:val="clear" w:color="auto" w:fill="auto"/>
            <w:noWrap/>
            <w:vAlign w:val="bottom"/>
          </w:tcPr>
          <w:p w:rsidR="00E3413E" w:rsidRPr="004F581F" w:rsidRDefault="00E3413E" w:rsidP="00BD48F0">
            <w:pPr>
              <w:spacing w:after="120" w:line="240" w:lineRule="auto"/>
              <w:jc w:val="right"/>
              <w:rPr>
                <w:rFonts w:ascii="Times New Roman" w:hAnsi="Times New Roman"/>
                <w:sz w:val="20"/>
                <w:szCs w:val="20"/>
              </w:rPr>
            </w:pPr>
            <w:r w:rsidRPr="00B563AD">
              <w:rPr>
                <w:rFonts w:ascii="Times New Roman" w:hAnsi="Times New Roman"/>
                <w:sz w:val="20"/>
                <w:szCs w:val="20"/>
              </w:rPr>
              <w:t>6,35</w:t>
            </w:r>
          </w:p>
        </w:tc>
        <w:tc>
          <w:tcPr>
            <w:tcW w:w="851" w:type="dxa"/>
            <w:shd w:val="clear" w:color="auto" w:fill="auto"/>
            <w:noWrap/>
            <w:vAlign w:val="bottom"/>
          </w:tcPr>
          <w:p w:rsidR="00E3413E" w:rsidRPr="004F581F" w:rsidRDefault="00E3413E" w:rsidP="00BD48F0">
            <w:pPr>
              <w:spacing w:after="120" w:line="240" w:lineRule="auto"/>
              <w:jc w:val="right"/>
              <w:rPr>
                <w:rFonts w:ascii="Times New Roman" w:hAnsi="Times New Roman"/>
                <w:sz w:val="20"/>
                <w:szCs w:val="20"/>
              </w:rPr>
            </w:pPr>
            <w:r w:rsidRPr="00AD587D">
              <w:rPr>
                <w:rFonts w:ascii="Times New Roman" w:hAnsi="Times New Roman"/>
                <w:sz w:val="20"/>
                <w:szCs w:val="20"/>
              </w:rPr>
              <w:t>5,57</w:t>
            </w:r>
          </w:p>
        </w:tc>
        <w:tc>
          <w:tcPr>
            <w:tcW w:w="567" w:type="dxa"/>
            <w:shd w:val="clear" w:color="auto" w:fill="auto"/>
            <w:noWrap/>
            <w:vAlign w:val="bottom"/>
          </w:tcPr>
          <w:p w:rsidR="00E3413E" w:rsidRPr="004F581F" w:rsidRDefault="00E3413E" w:rsidP="00BD48F0">
            <w:pPr>
              <w:spacing w:after="120" w:line="240" w:lineRule="auto"/>
              <w:jc w:val="right"/>
              <w:rPr>
                <w:rFonts w:ascii="Times New Roman" w:hAnsi="Times New Roman"/>
                <w:sz w:val="20"/>
                <w:szCs w:val="20"/>
              </w:rPr>
            </w:pPr>
            <w:r>
              <w:rPr>
                <w:rFonts w:ascii="Times New Roman" w:hAnsi="Times New Roman"/>
                <w:sz w:val="20"/>
                <w:szCs w:val="20"/>
              </w:rPr>
              <w:t>4,3</w:t>
            </w:r>
          </w:p>
        </w:tc>
        <w:tc>
          <w:tcPr>
            <w:tcW w:w="709" w:type="dxa"/>
            <w:shd w:val="clear" w:color="auto" w:fill="auto"/>
            <w:noWrap/>
            <w:vAlign w:val="bottom"/>
          </w:tcPr>
          <w:p w:rsidR="00E3413E" w:rsidRPr="004F581F" w:rsidRDefault="00E3413E" w:rsidP="00BD48F0">
            <w:pPr>
              <w:spacing w:after="120" w:line="240" w:lineRule="auto"/>
              <w:jc w:val="right"/>
              <w:rPr>
                <w:rFonts w:ascii="Times New Roman" w:hAnsi="Times New Roman"/>
                <w:sz w:val="20"/>
                <w:szCs w:val="20"/>
              </w:rPr>
            </w:pPr>
            <w:r w:rsidRPr="00B563AD">
              <w:rPr>
                <w:rFonts w:ascii="Times New Roman" w:hAnsi="Times New Roman"/>
                <w:sz w:val="20"/>
                <w:szCs w:val="20"/>
              </w:rPr>
              <w:t>9,95</w:t>
            </w:r>
          </w:p>
        </w:tc>
        <w:tc>
          <w:tcPr>
            <w:tcW w:w="708" w:type="dxa"/>
            <w:shd w:val="clear" w:color="auto" w:fill="auto"/>
            <w:noWrap/>
            <w:vAlign w:val="bottom"/>
          </w:tcPr>
          <w:p w:rsidR="00E3413E" w:rsidRPr="004F581F" w:rsidRDefault="00E3413E" w:rsidP="00BD48F0">
            <w:pPr>
              <w:spacing w:after="120" w:line="240" w:lineRule="auto"/>
              <w:jc w:val="right"/>
              <w:rPr>
                <w:rFonts w:ascii="Times New Roman" w:hAnsi="Times New Roman"/>
                <w:sz w:val="20"/>
                <w:szCs w:val="20"/>
              </w:rPr>
            </w:pPr>
            <w:r>
              <w:rPr>
                <w:rFonts w:ascii="Times New Roman" w:hAnsi="Times New Roman"/>
                <w:sz w:val="20"/>
                <w:szCs w:val="20"/>
              </w:rPr>
              <w:t>1,29</w:t>
            </w:r>
          </w:p>
        </w:tc>
      </w:tr>
      <w:tr w:rsidR="00AB25F6" w:rsidRPr="004F581F" w:rsidTr="00AB25F6">
        <w:trPr>
          <w:trHeight w:val="285"/>
          <w:jc w:val="center"/>
        </w:trPr>
        <w:tc>
          <w:tcPr>
            <w:tcW w:w="715" w:type="dxa"/>
            <w:shd w:val="clear" w:color="auto" w:fill="auto"/>
            <w:noWrap/>
            <w:vAlign w:val="bottom"/>
          </w:tcPr>
          <w:p w:rsidR="00E3413E" w:rsidRPr="004F581F" w:rsidRDefault="00E3413E" w:rsidP="00BD48F0">
            <w:pPr>
              <w:spacing w:after="120" w:line="240" w:lineRule="auto"/>
              <w:jc w:val="both"/>
              <w:rPr>
                <w:rFonts w:ascii="Times New Roman" w:hAnsi="Times New Roman"/>
                <w:sz w:val="20"/>
                <w:szCs w:val="20"/>
              </w:rPr>
            </w:pPr>
            <w:r w:rsidRPr="004F581F">
              <w:rPr>
                <w:rFonts w:ascii="Times New Roman" w:hAnsi="Times New Roman"/>
                <w:sz w:val="20"/>
                <w:szCs w:val="20"/>
              </w:rPr>
              <w:t>2010</w:t>
            </w:r>
          </w:p>
        </w:tc>
        <w:tc>
          <w:tcPr>
            <w:tcW w:w="851" w:type="dxa"/>
            <w:shd w:val="clear" w:color="auto" w:fill="auto"/>
            <w:noWrap/>
            <w:vAlign w:val="bottom"/>
          </w:tcPr>
          <w:p w:rsidR="00E3413E" w:rsidRPr="004F581F" w:rsidRDefault="00E3413E" w:rsidP="00BD48F0">
            <w:pPr>
              <w:spacing w:after="120" w:line="240" w:lineRule="auto"/>
              <w:jc w:val="right"/>
              <w:rPr>
                <w:rFonts w:ascii="Times New Roman" w:hAnsi="Times New Roman"/>
                <w:sz w:val="20"/>
                <w:szCs w:val="20"/>
              </w:rPr>
            </w:pPr>
            <w:r w:rsidRPr="004F581F">
              <w:rPr>
                <w:rFonts w:ascii="Times New Roman" w:hAnsi="Times New Roman"/>
                <w:sz w:val="20"/>
                <w:szCs w:val="20"/>
              </w:rPr>
              <w:t>77,97</w:t>
            </w:r>
          </w:p>
        </w:tc>
        <w:tc>
          <w:tcPr>
            <w:tcW w:w="590" w:type="dxa"/>
            <w:shd w:val="clear" w:color="auto" w:fill="auto"/>
            <w:noWrap/>
            <w:vAlign w:val="bottom"/>
          </w:tcPr>
          <w:p w:rsidR="00E3413E" w:rsidRPr="004F581F" w:rsidRDefault="00E3413E" w:rsidP="00BD48F0">
            <w:pPr>
              <w:spacing w:after="120" w:line="240" w:lineRule="auto"/>
              <w:jc w:val="right"/>
              <w:rPr>
                <w:rFonts w:ascii="Times New Roman" w:hAnsi="Times New Roman"/>
                <w:sz w:val="20"/>
                <w:szCs w:val="20"/>
              </w:rPr>
            </w:pPr>
            <w:r w:rsidRPr="004F581F">
              <w:rPr>
                <w:rFonts w:ascii="Times New Roman" w:hAnsi="Times New Roman"/>
                <w:sz w:val="20"/>
                <w:szCs w:val="20"/>
              </w:rPr>
              <w:t>61,91</w:t>
            </w:r>
          </w:p>
        </w:tc>
        <w:tc>
          <w:tcPr>
            <w:tcW w:w="885" w:type="dxa"/>
            <w:shd w:val="clear" w:color="auto" w:fill="auto"/>
            <w:noWrap/>
            <w:vAlign w:val="bottom"/>
          </w:tcPr>
          <w:p w:rsidR="00E3413E" w:rsidRPr="004F581F" w:rsidRDefault="00E3413E" w:rsidP="00BD48F0">
            <w:pPr>
              <w:spacing w:after="120" w:line="240" w:lineRule="auto"/>
              <w:jc w:val="right"/>
              <w:rPr>
                <w:rFonts w:ascii="Times New Roman" w:hAnsi="Times New Roman"/>
                <w:sz w:val="20"/>
                <w:szCs w:val="20"/>
              </w:rPr>
            </w:pPr>
            <w:r w:rsidRPr="004F581F">
              <w:rPr>
                <w:rFonts w:ascii="Times New Roman" w:hAnsi="Times New Roman"/>
                <w:sz w:val="20"/>
                <w:szCs w:val="20"/>
              </w:rPr>
              <w:t>65,5</w:t>
            </w:r>
            <w:r>
              <w:rPr>
                <w:rFonts w:ascii="Times New Roman" w:hAnsi="Times New Roman"/>
                <w:sz w:val="20"/>
                <w:szCs w:val="20"/>
              </w:rPr>
              <w:t>0</w:t>
            </w:r>
          </w:p>
        </w:tc>
        <w:tc>
          <w:tcPr>
            <w:tcW w:w="1076" w:type="dxa"/>
            <w:shd w:val="clear" w:color="auto" w:fill="auto"/>
            <w:noWrap/>
            <w:vAlign w:val="bottom"/>
          </w:tcPr>
          <w:p w:rsidR="00E3413E" w:rsidRPr="004F581F" w:rsidRDefault="00E3413E" w:rsidP="00BD48F0">
            <w:pPr>
              <w:spacing w:after="120" w:line="240" w:lineRule="auto"/>
              <w:jc w:val="right"/>
              <w:rPr>
                <w:rFonts w:ascii="Times New Roman" w:hAnsi="Times New Roman"/>
                <w:sz w:val="20"/>
                <w:szCs w:val="20"/>
              </w:rPr>
            </w:pPr>
            <w:r w:rsidRPr="004F581F">
              <w:rPr>
                <w:rFonts w:ascii="Times New Roman" w:hAnsi="Times New Roman"/>
                <w:sz w:val="20"/>
                <w:szCs w:val="20"/>
              </w:rPr>
              <w:t>66,45</w:t>
            </w:r>
          </w:p>
        </w:tc>
        <w:tc>
          <w:tcPr>
            <w:tcW w:w="993" w:type="dxa"/>
            <w:shd w:val="clear" w:color="auto" w:fill="auto"/>
            <w:noWrap/>
            <w:vAlign w:val="bottom"/>
          </w:tcPr>
          <w:p w:rsidR="00E3413E" w:rsidRPr="004F581F" w:rsidRDefault="00E3413E" w:rsidP="00BD48F0">
            <w:pPr>
              <w:spacing w:after="120" w:line="240" w:lineRule="auto"/>
              <w:jc w:val="right"/>
              <w:rPr>
                <w:rFonts w:ascii="Times New Roman" w:hAnsi="Times New Roman"/>
                <w:sz w:val="20"/>
                <w:szCs w:val="20"/>
              </w:rPr>
            </w:pPr>
            <w:r w:rsidRPr="004F581F">
              <w:rPr>
                <w:rFonts w:ascii="Times New Roman" w:hAnsi="Times New Roman"/>
                <w:sz w:val="20"/>
                <w:szCs w:val="20"/>
              </w:rPr>
              <w:t>38,37</w:t>
            </w:r>
          </w:p>
        </w:tc>
        <w:tc>
          <w:tcPr>
            <w:tcW w:w="708" w:type="dxa"/>
            <w:shd w:val="clear" w:color="auto" w:fill="auto"/>
            <w:noWrap/>
            <w:vAlign w:val="bottom"/>
          </w:tcPr>
          <w:p w:rsidR="00E3413E" w:rsidRPr="004F581F" w:rsidRDefault="00E3413E" w:rsidP="00BD48F0">
            <w:pPr>
              <w:spacing w:after="120" w:line="240" w:lineRule="auto"/>
              <w:jc w:val="right"/>
              <w:rPr>
                <w:rFonts w:ascii="Times New Roman" w:hAnsi="Times New Roman"/>
                <w:sz w:val="20"/>
                <w:szCs w:val="20"/>
              </w:rPr>
            </w:pPr>
            <w:r w:rsidRPr="004F581F">
              <w:rPr>
                <w:rFonts w:ascii="Times New Roman" w:hAnsi="Times New Roman"/>
                <w:sz w:val="20"/>
                <w:szCs w:val="20"/>
              </w:rPr>
              <w:t>5,16</w:t>
            </w:r>
          </w:p>
        </w:tc>
        <w:tc>
          <w:tcPr>
            <w:tcW w:w="851" w:type="dxa"/>
            <w:shd w:val="clear" w:color="auto" w:fill="auto"/>
            <w:noWrap/>
            <w:vAlign w:val="bottom"/>
          </w:tcPr>
          <w:p w:rsidR="00E3413E" w:rsidRPr="004F581F" w:rsidRDefault="00E3413E" w:rsidP="00BD48F0">
            <w:pPr>
              <w:spacing w:after="120" w:line="240" w:lineRule="auto"/>
              <w:jc w:val="right"/>
              <w:rPr>
                <w:rFonts w:ascii="Times New Roman" w:hAnsi="Times New Roman"/>
                <w:sz w:val="20"/>
                <w:szCs w:val="20"/>
              </w:rPr>
            </w:pPr>
            <w:r w:rsidRPr="004F581F">
              <w:rPr>
                <w:rFonts w:ascii="Times New Roman" w:hAnsi="Times New Roman"/>
                <w:sz w:val="20"/>
                <w:szCs w:val="20"/>
              </w:rPr>
              <w:t>3,89</w:t>
            </w:r>
          </w:p>
        </w:tc>
        <w:tc>
          <w:tcPr>
            <w:tcW w:w="567" w:type="dxa"/>
            <w:shd w:val="clear" w:color="auto" w:fill="auto"/>
            <w:noWrap/>
            <w:vAlign w:val="bottom"/>
          </w:tcPr>
          <w:p w:rsidR="00E3413E" w:rsidRPr="004F581F" w:rsidRDefault="00E3413E" w:rsidP="00BD48F0">
            <w:pPr>
              <w:spacing w:after="120" w:line="240" w:lineRule="auto"/>
              <w:jc w:val="right"/>
              <w:rPr>
                <w:rFonts w:ascii="Times New Roman" w:hAnsi="Times New Roman"/>
                <w:sz w:val="20"/>
                <w:szCs w:val="20"/>
              </w:rPr>
            </w:pPr>
            <w:r w:rsidRPr="004F581F">
              <w:rPr>
                <w:rFonts w:ascii="Times New Roman" w:hAnsi="Times New Roman"/>
                <w:sz w:val="20"/>
                <w:szCs w:val="20"/>
              </w:rPr>
              <w:t>3,4</w:t>
            </w:r>
          </w:p>
        </w:tc>
        <w:tc>
          <w:tcPr>
            <w:tcW w:w="709" w:type="dxa"/>
            <w:shd w:val="clear" w:color="auto" w:fill="auto"/>
            <w:noWrap/>
            <w:vAlign w:val="bottom"/>
          </w:tcPr>
          <w:p w:rsidR="00E3413E" w:rsidRPr="004F581F" w:rsidRDefault="00E3413E" w:rsidP="00BD48F0">
            <w:pPr>
              <w:spacing w:after="120" w:line="240" w:lineRule="auto"/>
              <w:jc w:val="right"/>
              <w:rPr>
                <w:rFonts w:ascii="Times New Roman" w:hAnsi="Times New Roman"/>
                <w:sz w:val="20"/>
                <w:szCs w:val="20"/>
              </w:rPr>
            </w:pPr>
            <w:r w:rsidRPr="004F581F">
              <w:rPr>
                <w:rFonts w:ascii="Times New Roman" w:hAnsi="Times New Roman"/>
                <w:sz w:val="20"/>
                <w:szCs w:val="20"/>
              </w:rPr>
              <w:t>7,8</w:t>
            </w:r>
          </w:p>
        </w:tc>
        <w:tc>
          <w:tcPr>
            <w:tcW w:w="708" w:type="dxa"/>
            <w:shd w:val="clear" w:color="auto" w:fill="auto"/>
            <w:noWrap/>
            <w:vAlign w:val="bottom"/>
          </w:tcPr>
          <w:p w:rsidR="00E3413E" w:rsidRPr="004F581F" w:rsidRDefault="00E3413E" w:rsidP="00BD48F0">
            <w:pPr>
              <w:spacing w:after="120" w:line="240" w:lineRule="auto"/>
              <w:jc w:val="right"/>
              <w:rPr>
                <w:rFonts w:ascii="Times New Roman" w:hAnsi="Times New Roman"/>
                <w:sz w:val="20"/>
                <w:szCs w:val="20"/>
              </w:rPr>
            </w:pPr>
            <w:r w:rsidRPr="004F581F">
              <w:rPr>
                <w:rFonts w:ascii="Times New Roman" w:hAnsi="Times New Roman"/>
                <w:sz w:val="20"/>
                <w:szCs w:val="20"/>
              </w:rPr>
              <w:t>1,18</w:t>
            </w:r>
          </w:p>
        </w:tc>
      </w:tr>
      <w:tr w:rsidR="00AB25F6" w:rsidRPr="004F581F" w:rsidTr="00AB25F6">
        <w:trPr>
          <w:trHeight w:val="285"/>
          <w:jc w:val="center"/>
        </w:trPr>
        <w:tc>
          <w:tcPr>
            <w:tcW w:w="715" w:type="dxa"/>
            <w:shd w:val="clear" w:color="auto" w:fill="auto"/>
            <w:noWrap/>
            <w:vAlign w:val="bottom"/>
            <w:hideMark/>
          </w:tcPr>
          <w:p w:rsidR="00E3413E" w:rsidRPr="004F581F" w:rsidRDefault="00E3413E" w:rsidP="00BD48F0">
            <w:pPr>
              <w:spacing w:after="120" w:line="240" w:lineRule="auto"/>
              <w:jc w:val="both"/>
              <w:rPr>
                <w:rFonts w:ascii="Times New Roman" w:hAnsi="Times New Roman"/>
                <w:sz w:val="20"/>
                <w:szCs w:val="20"/>
              </w:rPr>
            </w:pPr>
            <w:r w:rsidRPr="004F581F">
              <w:rPr>
                <w:rFonts w:ascii="Times New Roman" w:hAnsi="Times New Roman"/>
                <w:sz w:val="20"/>
                <w:szCs w:val="20"/>
              </w:rPr>
              <w:t>2009</w:t>
            </w:r>
          </w:p>
        </w:tc>
        <w:tc>
          <w:tcPr>
            <w:tcW w:w="851" w:type="dxa"/>
            <w:shd w:val="clear" w:color="auto" w:fill="auto"/>
            <w:noWrap/>
            <w:vAlign w:val="bottom"/>
            <w:hideMark/>
          </w:tcPr>
          <w:p w:rsidR="00E3413E" w:rsidRPr="004F581F" w:rsidRDefault="00E3413E" w:rsidP="00BD48F0">
            <w:pPr>
              <w:spacing w:after="120" w:line="240" w:lineRule="auto"/>
              <w:jc w:val="right"/>
              <w:rPr>
                <w:rFonts w:ascii="Times New Roman" w:hAnsi="Times New Roman"/>
                <w:sz w:val="20"/>
                <w:szCs w:val="20"/>
              </w:rPr>
            </w:pPr>
            <w:r w:rsidRPr="004F581F">
              <w:rPr>
                <w:rFonts w:ascii="Times New Roman" w:hAnsi="Times New Roman"/>
                <w:sz w:val="20"/>
                <w:szCs w:val="20"/>
              </w:rPr>
              <w:t>47,15</w:t>
            </w:r>
          </w:p>
        </w:tc>
        <w:tc>
          <w:tcPr>
            <w:tcW w:w="590" w:type="dxa"/>
            <w:shd w:val="clear" w:color="auto" w:fill="auto"/>
            <w:noWrap/>
            <w:vAlign w:val="bottom"/>
            <w:hideMark/>
          </w:tcPr>
          <w:p w:rsidR="00E3413E" w:rsidRPr="004F581F" w:rsidRDefault="00E3413E" w:rsidP="00BD48F0">
            <w:pPr>
              <w:spacing w:after="120" w:line="240" w:lineRule="auto"/>
              <w:jc w:val="right"/>
              <w:rPr>
                <w:rFonts w:ascii="Times New Roman" w:hAnsi="Times New Roman"/>
                <w:sz w:val="20"/>
                <w:szCs w:val="20"/>
              </w:rPr>
            </w:pPr>
            <w:r w:rsidRPr="004F581F">
              <w:rPr>
                <w:rFonts w:ascii="Times New Roman" w:hAnsi="Times New Roman"/>
                <w:sz w:val="20"/>
                <w:szCs w:val="20"/>
              </w:rPr>
              <w:t>30,15</w:t>
            </w:r>
          </w:p>
        </w:tc>
        <w:tc>
          <w:tcPr>
            <w:tcW w:w="885" w:type="dxa"/>
            <w:shd w:val="clear" w:color="auto" w:fill="auto"/>
            <w:noWrap/>
            <w:vAlign w:val="bottom"/>
            <w:hideMark/>
          </w:tcPr>
          <w:p w:rsidR="00E3413E" w:rsidRPr="004F581F" w:rsidRDefault="00E3413E" w:rsidP="00BD48F0">
            <w:pPr>
              <w:spacing w:after="120" w:line="240" w:lineRule="auto"/>
              <w:jc w:val="right"/>
              <w:rPr>
                <w:rFonts w:ascii="Times New Roman" w:hAnsi="Times New Roman"/>
                <w:sz w:val="20"/>
                <w:szCs w:val="20"/>
              </w:rPr>
            </w:pPr>
            <w:r w:rsidRPr="004F581F">
              <w:rPr>
                <w:rFonts w:ascii="Times New Roman" w:hAnsi="Times New Roman"/>
                <w:sz w:val="20"/>
                <w:szCs w:val="20"/>
              </w:rPr>
              <w:t>39,04</w:t>
            </w:r>
          </w:p>
        </w:tc>
        <w:tc>
          <w:tcPr>
            <w:tcW w:w="1076" w:type="dxa"/>
            <w:shd w:val="clear" w:color="auto" w:fill="auto"/>
            <w:noWrap/>
            <w:vAlign w:val="bottom"/>
            <w:hideMark/>
          </w:tcPr>
          <w:p w:rsidR="00E3413E" w:rsidRPr="004F581F" w:rsidRDefault="00E3413E" w:rsidP="00BD48F0">
            <w:pPr>
              <w:spacing w:after="120" w:line="240" w:lineRule="auto"/>
              <w:jc w:val="right"/>
              <w:rPr>
                <w:rFonts w:ascii="Times New Roman" w:hAnsi="Times New Roman"/>
                <w:sz w:val="20"/>
                <w:szCs w:val="20"/>
              </w:rPr>
            </w:pPr>
            <w:r w:rsidRPr="004F581F">
              <w:rPr>
                <w:rFonts w:ascii="Times New Roman" w:hAnsi="Times New Roman"/>
                <w:sz w:val="20"/>
                <w:szCs w:val="20"/>
              </w:rPr>
              <w:t>43,86</w:t>
            </w:r>
          </w:p>
        </w:tc>
        <w:tc>
          <w:tcPr>
            <w:tcW w:w="993" w:type="dxa"/>
            <w:shd w:val="clear" w:color="auto" w:fill="auto"/>
            <w:noWrap/>
            <w:vAlign w:val="bottom"/>
            <w:hideMark/>
          </w:tcPr>
          <w:p w:rsidR="00E3413E" w:rsidRPr="004F581F" w:rsidRDefault="00E3413E" w:rsidP="00BD48F0">
            <w:pPr>
              <w:spacing w:after="120" w:line="240" w:lineRule="auto"/>
              <w:jc w:val="right"/>
              <w:rPr>
                <w:rFonts w:ascii="Times New Roman" w:hAnsi="Times New Roman"/>
                <w:sz w:val="20"/>
                <w:szCs w:val="20"/>
              </w:rPr>
            </w:pPr>
            <w:r w:rsidRPr="004F581F">
              <w:rPr>
                <w:rFonts w:ascii="Times New Roman" w:hAnsi="Times New Roman"/>
                <w:sz w:val="20"/>
                <w:szCs w:val="20"/>
              </w:rPr>
              <w:t>37,34</w:t>
            </w:r>
          </w:p>
        </w:tc>
        <w:tc>
          <w:tcPr>
            <w:tcW w:w="708" w:type="dxa"/>
            <w:shd w:val="clear" w:color="auto" w:fill="auto"/>
            <w:noWrap/>
            <w:vAlign w:val="bottom"/>
            <w:hideMark/>
          </w:tcPr>
          <w:p w:rsidR="00E3413E" w:rsidRPr="004F581F" w:rsidRDefault="00E3413E" w:rsidP="00BD48F0">
            <w:pPr>
              <w:spacing w:after="120" w:line="240" w:lineRule="auto"/>
              <w:jc w:val="right"/>
              <w:rPr>
                <w:rFonts w:ascii="Times New Roman" w:hAnsi="Times New Roman"/>
                <w:sz w:val="20"/>
                <w:szCs w:val="20"/>
              </w:rPr>
            </w:pPr>
            <w:r w:rsidRPr="004F581F">
              <w:rPr>
                <w:rFonts w:ascii="Times New Roman" w:hAnsi="Times New Roman"/>
                <w:sz w:val="20"/>
                <w:szCs w:val="20"/>
              </w:rPr>
              <w:t>4,64</w:t>
            </w:r>
          </w:p>
        </w:tc>
        <w:tc>
          <w:tcPr>
            <w:tcW w:w="851" w:type="dxa"/>
            <w:shd w:val="clear" w:color="auto" w:fill="auto"/>
            <w:noWrap/>
            <w:vAlign w:val="bottom"/>
            <w:hideMark/>
          </w:tcPr>
          <w:p w:rsidR="00E3413E" w:rsidRPr="004F581F" w:rsidRDefault="00E3413E" w:rsidP="00BD48F0">
            <w:pPr>
              <w:spacing w:after="120" w:line="240" w:lineRule="auto"/>
              <w:jc w:val="right"/>
              <w:rPr>
                <w:rFonts w:ascii="Times New Roman" w:hAnsi="Times New Roman"/>
                <w:sz w:val="20"/>
                <w:szCs w:val="20"/>
              </w:rPr>
            </w:pPr>
            <w:r w:rsidRPr="004F581F">
              <w:rPr>
                <w:rFonts w:ascii="Times New Roman" w:hAnsi="Times New Roman"/>
                <w:sz w:val="20"/>
                <w:szCs w:val="20"/>
              </w:rPr>
              <w:t>3,88</w:t>
            </w:r>
          </w:p>
        </w:tc>
        <w:tc>
          <w:tcPr>
            <w:tcW w:w="567" w:type="dxa"/>
            <w:shd w:val="clear" w:color="auto" w:fill="auto"/>
            <w:noWrap/>
            <w:vAlign w:val="bottom"/>
            <w:hideMark/>
          </w:tcPr>
          <w:p w:rsidR="00E3413E" w:rsidRPr="004F581F" w:rsidRDefault="00E3413E" w:rsidP="00BD48F0">
            <w:pPr>
              <w:spacing w:after="120" w:line="240" w:lineRule="auto"/>
              <w:jc w:val="right"/>
              <w:rPr>
                <w:rFonts w:ascii="Times New Roman" w:hAnsi="Times New Roman"/>
                <w:sz w:val="20"/>
                <w:szCs w:val="20"/>
              </w:rPr>
            </w:pPr>
            <w:r w:rsidRPr="004F581F">
              <w:rPr>
                <w:rFonts w:ascii="Times New Roman" w:hAnsi="Times New Roman"/>
                <w:sz w:val="20"/>
                <w:szCs w:val="20"/>
              </w:rPr>
              <w:t>3,3</w:t>
            </w:r>
          </w:p>
        </w:tc>
        <w:tc>
          <w:tcPr>
            <w:tcW w:w="709" w:type="dxa"/>
            <w:shd w:val="clear" w:color="auto" w:fill="auto"/>
            <w:noWrap/>
            <w:vAlign w:val="bottom"/>
            <w:hideMark/>
          </w:tcPr>
          <w:p w:rsidR="00E3413E" w:rsidRPr="004F581F" w:rsidRDefault="00E3413E" w:rsidP="00BD48F0">
            <w:pPr>
              <w:spacing w:after="120" w:line="240" w:lineRule="auto"/>
              <w:jc w:val="right"/>
              <w:rPr>
                <w:rFonts w:ascii="Times New Roman" w:hAnsi="Times New Roman"/>
                <w:sz w:val="20"/>
                <w:szCs w:val="20"/>
              </w:rPr>
            </w:pPr>
            <w:r w:rsidRPr="004F581F">
              <w:rPr>
                <w:rFonts w:ascii="Times New Roman" w:hAnsi="Times New Roman"/>
                <w:sz w:val="20"/>
                <w:szCs w:val="20"/>
              </w:rPr>
              <w:t>9,93</w:t>
            </w:r>
          </w:p>
        </w:tc>
        <w:tc>
          <w:tcPr>
            <w:tcW w:w="708" w:type="dxa"/>
            <w:shd w:val="clear" w:color="auto" w:fill="auto"/>
            <w:noWrap/>
            <w:vAlign w:val="bottom"/>
            <w:hideMark/>
          </w:tcPr>
          <w:p w:rsidR="00E3413E" w:rsidRPr="004F581F" w:rsidRDefault="00E3413E" w:rsidP="00BD48F0">
            <w:pPr>
              <w:spacing w:after="120" w:line="240" w:lineRule="auto"/>
              <w:jc w:val="right"/>
              <w:rPr>
                <w:rFonts w:ascii="Times New Roman" w:hAnsi="Times New Roman"/>
                <w:sz w:val="20"/>
                <w:szCs w:val="20"/>
              </w:rPr>
            </w:pPr>
            <w:r w:rsidRPr="004F581F">
              <w:rPr>
                <w:rFonts w:ascii="Times New Roman" w:hAnsi="Times New Roman"/>
                <w:sz w:val="20"/>
                <w:szCs w:val="20"/>
              </w:rPr>
              <w:t>1,05</w:t>
            </w:r>
          </w:p>
        </w:tc>
      </w:tr>
    </w:tbl>
    <w:p w:rsidR="00E3413E" w:rsidRPr="00E3413E" w:rsidRDefault="00E3413E" w:rsidP="00E3413E">
      <w:pPr>
        <w:pStyle w:val="Tekstpodstawowy"/>
        <w:spacing w:after="240"/>
        <w:rPr>
          <w:rFonts w:ascii="Times New Roman" w:hAnsi="Times New Roman" w:cs="Times New Roman"/>
          <w:sz w:val="20"/>
        </w:rPr>
      </w:pPr>
      <w:r w:rsidRPr="00E3413E">
        <w:rPr>
          <w:rFonts w:ascii="Times New Roman" w:hAnsi="Times New Roman" w:cs="Times New Roman"/>
          <w:sz w:val="20"/>
        </w:rPr>
        <w:t>Źródło: G. Makowska i in., „</w:t>
      </w:r>
      <w:r w:rsidRPr="00E3413E">
        <w:rPr>
          <w:rFonts w:ascii="Times New Roman" w:hAnsi="Times New Roman" w:cs="Times New Roman"/>
          <w:iCs/>
          <w:sz w:val="20"/>
        </w:rPr>
        <w:t>Skup i ceny produktów rolnych w 2011 r.”, GUS, Warszawa 2012.</w:t>
      </w:r>
    </w:p>
    <w:p w:rsidR="004A43E4" w:rsidRPr="00C90BB2" w:rsidRDefault="00ED0D97" w:rsidP="00C90BB2">
      <w:pPr>
        <w:spacing w:after="120"/>
        <w:ind w:firstLine="709"/>
        <w:jc w:val="both"/>
        <w:rPr>
          <w:rFonts w:ascii="Times New Roman" w:hAnsi="Times New Roman" w:cs="Times New Roman"/>
          <w:sz w:val="24"/>
          <w:szCs w:val="24"/>
        </w:rPr>
      </w:pPr>
      <w:r w:rsidRPr="00C90BB2">
        <w:rPr>
          <w:rFonts w:ascii="Times New Roman" w:hAnsi="Times New Roman" w:cs="Times New Roman"/>
          <w:sz w:val="24"/>
          <w:szCs w:val="24"/>
        </w:rPr>
        <w:t>Dynamika wzrostu cen skupu bydła znacząco przyspieszyła w 2011 r. pod wpływem rozwijającego się eksportu przede wszystkim wołowiny. Sprzyjał temu wzrost cen w Unii Europejskiej, zwiększenie kontyngentu preferencyjnego przez Turcję dla Unii oraz deprecjacja złotego.</w:t>
      </w:r>
      <w:r w:rsidR="004A43E4" w:rsidRPr="00C90BB2">
        <w:rPr>
          <w:rFonts w:ascii="Times New Roman" w:hAnsi="Times New Roman" w:cs="Times New Roman"/>
          <w:sz w:val="24"/>
          <w:szCs w:val="24"/>
        </w:rPr>
        <w:t xml:space="preserve"> </w:t>
      </w:r>
      <w:r w:rsidRPr="00C90BB2">
        <w:rPr>
          <w:rFonts w:ascii="Times New Roman" w:hAnsi="Times New Roman" w:cs="Times New Roman"/>
          <w:sz w:val="24"/>
          <w:szCs w:val="24"/>
        </w:rPr>
        <w:t xml:space="preserve">Rosnącym cenom skupu bydła towarzyszył jeszcze szybszy wzrost cen cieląt, które w </w:t>
      </w:r>
      <w:r w:rsidR="004A43E4" w:rsidRPr="00C90BB2">
        <w:rPr>
          <w:rFonts w:ascii="Times New Roman" w:hAnsi="Times New Roman" w:cs="Times New Roman"/>
          <w:sz w:val="24"/>
          <w:szCs w:val="24"/>
        </w:rPr>
        <w:t>2011 roku wzrosły</w:t>
      </w:r>
      <w:r w:rsidRPr="00C90BB2">
        <w:rPr>
          <w:rFonts w:ascii="Times New Roman" w:hAnsi="Times New Roman" w:cs="Times New Roman"/>
          <w:sz w:val="24"/>
          <w:szCs w:val="24"/>
        </w:rPr>
        <w:t xml:space="preserve"> nominalnie o prawie 1/3, a realnie o ponad 26%. </w:t>
      </w:r>
    </w:p>
    <w:p w:rsidR="00ED0D97" w:rsidRPr="00C90BB2" w:rsidRDefault="004A43E4" w:rsidP="00C90BB2">
      <w:pPr>
        <w:spacing w:after="120"/>
        <w:ind w:firstLine="709"/>
        <w:jc w:val="both"/>
        <w:rPr>
          <w:rFonts w:ascii="Times New Roman" w:hAnsi="Times New Roman" w:cs="Times New Roman"/>
          <w:sz w:val="24"/>
          <w:szCs w:val="24"/>
        </w:rPr>
      </w:pPr>
      <w:r w:rsidRPr="00C90BB2">
        <w:rPr>
          <w:rFonts w:ascii="Times New Roman" w:hAnsi="Times New Roman" w:cs="Times New Roman"/>
          <w:sz w:val="24"/>
          <w:szCs w:val="24"/>
        </w:rPr>
        <w:t>Mięso drobiowe</w:t>
      </w:r>
      <w:r w:rsidR="00ED0D97" w:rsidRPr="00C90BB2">
        <w:rPr>
          <w:rFonts w:ascii="Times New Roman" w:hAnsi="Times New Roman" w:cs="Times New Roman"/>
          <w:sz w:val="24"/>
          <w:szCs w:val="24"/>
        </w:rPr>
        <w:t xml:space="preserve"> zdrożał</w:t>
      </w:r>
      <w:r w:rsidRPr="00C90BB2">
        <w:rPr>
          <w:rFonts w:ascii="Times New Roman" w:hAnsi="Times New Roman" w:cs="Times New Roman"/>
          <w:sz w:val="24"/>
          <w:szCs w:val="24"/>
        </w:rPr>
        <w:t>o</w:t>
      </w:r>
      <w:r w:rsidR="00ED0D97" w:rsidRPr="00C90BB2">
        <w:rPr>
          <w:rFonts w:ascii="Times New Roman" w:hAnsi="Times New Roman" w:cs="Times New Roman"/>
          <w:sz w:val="24"/>
          <w:szCs w:val="24"/>
        </w:rPr>
        <w:t xml:space="preserve"> o prawie 28</w:t>
      </w:r>
      <w:r w:rsidRPr="00C90BB2">
        <w:rPr>
          <w:rFonts w:ascii="Times New Roman" w:hAnsi="Times New Roman" w:cs="Times New Roman"/>
          <w:sz w:val="24"/>
          <w:szCs w:val="24"/>
        </w:rPr>
        <w:t>% i była to znacząca podwyżka cen skupu wobec 4% wzrostów w latach ubiegłych.</w:t>
      </w:r>
    </w:p>
    <w:p w:rsidR="004A43E4" w:rsidRPr="00C90BB2" w:rsidRDefault="00ED0D97" w:rsidP="00C90BB2">
      <w:pPr>
        <w:spacing w:after="120"/>
        <w:ind w:firstLine="709"/>
        <w:jc w:val="both"/>
        <w:rPr>
          <w:rFonts w:ascii="Times New Roman" w:hAnsi="Times New Roman" w:cs="Times New Roman"/>
          <w:sz w:val="24"/>
          <w:szCs w:val="24"/>
        </w:rPr>
      </w:pPr>
      <w:r w:rsidRPr="00C90BB2">
        <w:rPr>
          <w:rFonts w:ascii="Times New Roman" w:hAnsi="Times New Roman" w:cs="Times New Roman"/>
          <w:sz w:val="24"/>
          <w:szCs w:val="24"/>
        </w:rPr>
        <w:lastRenderedPageBreak/>
        <w:t xml:space="preserve">Po dynamicznym wzroście cen, zwłaszcza w czwartym kwartale 2010 r., ceny mleka w ciągu 12 miesięcy 2011 r. wzrosły o kolejne 9,3%, a więc najmniej ze wszystkich produktów pochodzenia zwierzęcego. </w:t>
      </w:r>
    </w:p>
    <w:p w:rsidR="00AD6139" w:rsidRDefault="004A43E4" w:rsidP="00C90BB2">
      <w:pPr>
        <w:spacing w:after="120"/>
        <w:ind w:firstLine="709"/>
        <w:jc w:val="both"/>
        <w:rPr>
          <w:rFonts w:ascii="Times New Roman" w:hAnsi="Times New Roman" w:cs="Times New Roman"/>
          <w:sz w:val="24"/>
          <w:szCs w:val="24"/>
        </w:rPr>
      </w:pPr>
      <w:r w:rsidRPr="00C90BB2">
        <w:rPr>
          <w:rFonts w:ascii="Times New Roman" w:hAnsi="Times New Roman" w:cs="Times New Roman"/>
          <w:sz w:val="24"/>
          <w:szCs w:val="24"/>
        </w:rPr>
        <w:t>Przy podwyżce</w:t>
      </w:r>
      <w:r w:rsidR="00ED0D97" w:rsidRPr="00C90BB2">
        <w:rPr>
          <w:rFonts w:ascii="Times New Roman" w:hAnsi="Times New Roman" w:cs="Times New Roman"/>
          <w:sz w:val="24"/>
          <w:szCs w:val="24"/>
        </w:rPr>
        <w:t xml:space="preserve"> cen produktów pochodzenia zwierzęcego</w:t>
      </w:r>
      <w:r w:rsidR="008D2F88" w:rsidRPr="00C90BB2">
        <w:rPr>
          <w:rFonts w:ascii="Times New Roman" w:hAnsi="Times New Roman" w:cs="Times New Roman"/>
          <w:sz w:val="24"/>
          <w:szCs w:val="24"/>
        </w:rPr>
        <w:t>, sytuacja na rynku produktów roślinnych była niezmiernie zróżnicowana</w:t>
      </w:r>
      <w:r w:rsidR="00ED0D97" w:rsidRPr="00C90BB2">
        <w:rPr>
          <w:rFonts w:ascii="Times New Roman" w:hAnsi="Times New Roman" w:cs="Times New Roman"/>
          <w:sz w:val="24"/>
          <w:szCs w:val="24"/>
        </w:rPr>
        <w:t xml:space="preserve">. </w:t>
      </w:r>
      <w:r w:rsidR="008D2F88" w:rsidRPr="00C90BB2">
        <w:rPr>
          <w:rFonts w:ascii="Times New Roman" w:hAnsi="Times New Roman" w:cs="Times New Roman"/>
          <w:sz w:val="24"/>
          <w:szCs w:val="24"/>
        </w:rPr>
        <w:t xml:space="preserve">Część zbóż </w:t>
      </w:r>
      <w:r w:rsidR="00ED0D97" w:rsidRPr="00C90BB2">
        <w:rPr>
          <w:rFonts w:ascii="Times New Roman" w:hAnsi="Times New Roman" w:cs="Times New Roman"/>
          <w:sz w:val="24"/>
          <w:szCs w:val="24"/>
        </w:rPr>
        <w:t>staniała, po bardzo silnych podwyżkach cen jakie miały miejsce w</w:t>
      </w:r>
      <w:r w:rsidR="008D2F88" w:rsidRPr="00C90BB2">
        <w:rPr>
          <w:rFonts w:ascii="Times New Roman" w:hAnsi="Times New Roman" w:cs="Times New Roman"/>
          <w:sz w:val="24"/>
          <w:szCs w:val="24"/>
        </w:rPr>
        <w:t xml:space="preserve"> 2010</w:t>
      </w:r>
      <w:r w:rsidR="00ED0D97" w:rsidRPr="00C90BB2">
        <w:rPr>
          <w:rFonts w:ascii="Times New Roman" w:hAnsi="Times New Roman" w:cs="Times New Roman"/>
          <w:sz w:val="24"/>
          <w:szCs w:val="24"/>
        </w:rPr>
        <w:t xml:space="preserve"> roku</w:t>
      </w:r>
      <w:r w:rsidR="008D2F88" w:rsidRPr="00C90BB2">
        <w:rPr>
          <w:rFonts w:ascii="Times New Roman" w:hAnsi="Times New Roman" w:cs="Times New Roman"/>
          <w:sz w:val="24"/>
          <w:szCs w:val="24"/>
        </w:rPr>
        <w:t xml:space="preserve"> cena pszenicy</w:t>
      </w:r>
      <w:r w:rsidR="00ED0D97" w:rsidRPr="00C90BB2">
        <w:rPr>
          <w:rFonts w:ascii="Times New Roman" w:hAnsi="Times New Roman" w:cs="Times New Roman"/>
          <w:sz w:val="24"/>
          <w:szCs w:val="24"/>
        </w:rPr>
        <w:t xml:space="preserve"> w skupie</w:t>
      </w:r>
      <w:r w:rsidR="008D2F88" w:rsidRPr="00C90BB2">
        <w:rPr>
          <w:rFonts w:ascii="Times New Roman" w:hAnsi="Times New Roman" w:cs="Times New Roman"/>
          <w:sz w:val="24"/>
          <w:szCs w:val="24"/>
        </w:rPr>
        <w:t xml:space="preserve"> spadła</w:t>
      </w:r>
      <w:r w:rsidR="00ED0D97" w:rsidRPr="00C90BB2">
        <w:rPr>
          <w:rFonts w:ascii="Times New Roman" w:hAnsi="Times New Roman" w:cs="Times New Roman"/>
          <w:sz w:val="24"/>
          <w:szCs w:val="24"/>
        </w:rPr>
        <w:t xml:space="preserve"> o 2,6%. Zdrożał natomiast jęczmień (o prawie 17%) i żyto (o ponad 29%). Ceny kukurydzy prawie nie zmieniły się. Ceny zbóż pozostały więc bardzo wysokie. </w:t>
      </w:r>
    </w:p>
    <w:p w:rsidR="00FD73EC" w:rsidRDefault="00ED0D97" w:rsidP="00C90BB2">
      <w:pPr>
        <w:spacing w:after="120"/>
        <w:ind w:firstLine="709"/>
        <w:jc w:val="both"/>
        <w:rPr>
          <w:rFonts w:ascii="Times New Roman" w:hAnsi="Times New Roman" w:cs="Times New Roman"/>
          <w:sz w:val="24"/>
          <w:szCs w:val="24"/>
        </w:rPr>
      </w:pPr>
      <w:r w:rsidRPr="00C90BB2">
        <w:rPr>
          <w:rFonts w:ascii="Times New Roman" w:hAnsi="Times New Roman" w:cs="Times New Roman"/>
          <w:sz w:val="24"/>
          <w:szCs w:val="24"/>
        </w:rPr>
        <w:t xml:space="preserve">W </w:t>
      </w:r>
      <w:r w:rsidR="008D2F88" w:rsidRPr="00C90BB2">
        <w:rPr>
          <w:rFonts w:ascii="Times New Roman" w:hAnsi="Times New Roman" w:cs="Times New Roman"/>
          <w:sz w:val="24"/>
          <w:szCs w:val="24"/>
        </w:rPr>
        <w:t>2011roku</w:t>
      </w:r>
      <w:r w:rsidRPr="00C90BB2">
        <w:rPr>
          <w:rFonts w:ascii="Times New Roman" w:hAnsi="Times New Roman" w:cs="Times New Roman"/>
          <w:sz w:val="24"/>
          <w:szCs w:val="24"/>
        </w:rPr>
        <w:t xml:space="preserve"> </w:t>
      </w:r>
      <w:r w:rsidR="008D2F88" w:rsidRPr="00C90BB2">
        <w:rPr>
          <w:rFonts w:ascii="Times New Roman" w:hAnsi="Times New Roman" w:cs="Times New Roman"/>
          <w:sz w:val="24"/>
          <w:szCs w:val="24"/>
        </w:rPr>
        <w:t>staniały jednak</w:t>
      </w:r>
      <w:r w:rsidR="004A43E4" w:rsidRPr="00C90BB2">
        <w:rPr>
          <w:rFonts w:ascii="Times New Roman" w:hAnsi="Times New Roman" w:cs="Times New Roman"/>
          <w:sz w:val="24"/>
          <w:szCs w:val="24"/>
        </w:rPr>
        <w:t xml:space="preserve"> ziemniaki </w:t>
      </w:r>
      <w:r w:rsidRPr="00C90BB2">
        <w:rPr>
          <w:rFonts w:ascii="Times New Roman" w:hAnsi="Times New Roman" w:cs="Times New Roman"/>
          <w:sz w:val="24"/>
          <w:szCs w:val="24"/>
        </w:rPr>
        <w:t>ceny</w:t>
      </w:r>
      <w:r w:rsidR="00AD6139">
        <w:rPr>
          <w:rFonts w:ascii="Times New Roman" w:hAnsi="Times New Roman" w:cs="Times New Roman"/>
          <w:sz w:val="24"/>
          <w:szCs w:val="24"/>
        </w:rPr>
        <w:t xml:space="preserve"> uzyskiwane za nie na skupie</w:t>
      </w:r>
      <w:r w:rsidRPr="00C90BB2">
        <w:rPr>
          <w:rFonts w:ascii="Times New Roman" w:hAnsi="Times New Roman" w:cs="Times New Roman"/>
          <w:sz w:val="24"/>
          <w:szCs w:val="24"/>
        </w:rPr>
        <w:t xml:space="preserve"> spadły</w:t>
      </w:r>
      <w:r w:rsidR="00AD6139">
        <w:rPr>
          <w:rFonts w:ascii="Times New Roman" w:hAnsi="Times New Roman" w:cs="Times New Roman"/>
          <w:sz w:val="24"/>
          <w:szCs w:val="24"/>
        </w:rPr>
        <w:t xml:space="preserve"> </w:t>
      </w:r>
      <w:r w:rsidR="00AD6139">
        <w:rPr>
          <w:rFonts w:ascii="Times New Roman" w:hAnsi="Times New Roman" w:cs="Times New Roman"/>
          <w:sz w:val="24"/>
          <w:szCs w:val="24"/>
        </w:rPr>
        <w:br/>
        <w:t>w ujęciu nominalnym o około 8%, a realnym</w:t>
      </w:r>
      <w:r w:rsidRPr="00C90BB2">
        <w:rPr>
          <w:rFonts w:ascii="Times New Roman" w:hAnsi="Times New Roman" w:cs="Times New Roman"/>
          <w:sz w:val="24"/>
          <w:szCs w:val="24"/>
        </w:rPr>
        <w:t xml:space="preserve"> o 12%. </w:t>
      </w:r>
    </w:p>
    <w:p w:rsidR="00DD6EC8" w:rsidRPr="006B6356" w:rsidRDefault="00DD6EC8" w:rsidP="00DD6EC8">
      <w:pPr>
        <w:spacing w:after="120"/>
        <w:ind w:firstLine="709"/>
        <w:jc w:val="both"/>
        <w:rPr>
          <w:rFonts w:ascii="Times New Roman" w:hAnsi="Times New Roman" w:cs="Times New Roman"/>
          <w:b/>
          <w:sz w:val="24"/>
          <w:szCs w:val="24"/>
        </w:rPr>
      </w:pPr>
      <w:r w:rsidRPr="006B6356">
        <w:rPr>
          <w:rFonts w:ascii="Times New Roman" w:hAnsi="Times New Roman" w:cs="Times New Roman"/>
          <w:b/>
          <w:sz w:val="24"/>
          <w:szCs w:val="24"/>
        </w:rPr>
        <w:t>Wyniki ekonomiczne spółdzielni</w:t>
      </w:r>
    </w:p>
    <w:p w:rsidR="00D53F97" w:rsidRDefault="00CE4214" w:rsidP="007C4E34">
      <w:pPr>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Przeprowadzona analiza zbiorowości RSP wykazała poprawę uzyskiwanych wyników ekonomicznych. </w:t>
      </w:r>
      <w:r w:rsidR="00DD6EC8">
        <w:rPr>
          <w:rFonts w:ascii="Times New Roman" w:hAnsi="Times New Roman" w:cs="Times New Roman"/>
          <w:sz w:val="24"/>
          <w:szCs w:val="24"/>
        </w:rPr>
        <w:t>Zebrane dane do rankingu z</w:t>
      </w:r>
      <w:r w:rsidR="00D53F97">
        <w:rPr>
          <w:rFonts w:ascii="Times New Roman" w:hAnsi="Times New Roman" w:cs="Times New Roman"/>
          <w:sz w:val="24"/>
          <w:szCs w:val="24"/>
        </w:rPr>
        <w:t>a</w:t>
      </w:r>
      <w:r w:rsidR="00DD6EC8">
        <w:rPr>
          <w:rFonts w:ascii="Times New Roman" w:hAnsi="Times New Roman" w:cs="Times New Roman"/>
          <w:sz w:val="24"/>
          <w:szCs w:val="24"/>
        </w:rPr>
        <w:t xml:space="preserve"> 2011 rok umożliwiły utworzenie próby 84 spółdzielni</w:t>
      </w:r>
      <w:r w:rsidR="004E1A0D">
        <w:rPr>
          <w:rFonts w:ascii="Times New Roman" w:hAnsi="Times New Roman" w:cs="Times New Roman"/>
          <w:sz w:val="24"/>
          <w:szCs w:val="24"/>
        </w:rPr>
        <w:t>,</w:t>
      </w:r>
      <w:r w:rsidR="00DD6EC8">
        <w:rPr>
          <w:rFonts w:ascii="Times New Roman" w:hAnsi="Times New Roman" w:cs="Times New Roman"/>
          <w:sz w:val="24"/>
          <w:szCs w:val="24"/>
        </w:rPr>
        <w:t xml:space="preserve"> które uczestniczyły w nim nieprzerwanie od 2009 roku. </w:t>
      </w:r>
      <w:r>
        <w:rPr>
          <w:rFonts w:ascii="Times New Roman" w:hAnsi="Times New Roman" w:cs="Times New Roman"/>
          <w:sz w:val="24"/>
          <w:szCs w:val="24"/>
        </w:rPr>
        <w:t>Ta dość liczna zbiorowość uprawnia do stwierdzenia, iż rok 2011 był kolejnym korzystnym rokiem dla RSP.</w:t>
      </w:r>
      <w:r w:rsidR="00727E9E">
        <w:rPr>
          <w:rFonts w:ascii="Times New Roman" w:hAnsi="Times New Roman" w:cs="Times New Roman"/>
          <w:sz w:val="24"/>
          <w:szCs w:val="24"/>
        </w:rPr>
        <w:t xml:space="preserve"> Sięgając w analizie koniunktury nieco głębiej</w:t>
      </w:r>
      <w:r w:rsidR="00D53F97">
        <w:rPr>
          <w:rFonts w:ascii="Times New Roman" w:hAnsi="Times New Roman" w:cs="Times New Roman"/>
          <w:sz w:val="24"/>
          <w:szCs w:val="24"/>
        </w:rPr>
        <w:t>,</w:t>
      </w:r>
      <w:r w:rsidR="00727E9E">
        <w:rPr>
          <w:rFonts w:ascii="Times New Roman" w:hAnsi="Times New Roman" w:cs="Times New Roman"/>
          <w:sz w:val="24"/>
          <w:szCs w:val="24"/>
        </w:rPr>
        <w:t xml:space="preserve"> można </w:t>
      </w:r>
      <w:r w:rsidR="00DC292C">
        <w:rPr>
          <w:rFonts w:ascii="Times New Roman" w:hAnsi="Times New Roman" w:cs="Times New Roman"/>
          <w:sz w:val="24"/>
          <w:szCs w:val="24"/>
        </w:rPr>
        <w:t>powiedzieć</w:t>
      </w:r>
      <w:r w:rsidR="00727E9E">
        <w:rPr>
          <w:rFonts w:ascii="Times New Roman" w:hAnsi="Times New Roman" w:cs="Times New Roman"/>
          <w:sz w:val="24"/>
          <w:szCs w:val="24"/>
        </w:rPr>
        <w:t>, iż ostatnie 5</w:t>
      </w:r>
      <w:r w:rsidR="00D53F97">
        <w:rPr>
          <w:rFonts w:ascii="Times New Roman" w:hAnsi="Times New Roman" w:cs="Times New Roman"/>
          <w:sz w:val="24"/>
          <w:szCs w:val="24"/>
        </w:rPr>
        <w:t>-</w:t>
      </w:r>
      <w:r w:rsidR="00727E9E">
        <w:rPr>
          <w:rFonts w:ascii="Times New Roman" w:hAnsi="Times New Roman" w:cs="Times New Roman"/>
          <w:sz w:val="24"/>
          <w:szCs w:val="24"/>
        </w:rPr>
        <w:t>lec</w:t>
      </w:r>
      <w:r w:rsidR="004E1A0D">
        <w:rPr>
          <w:rFonts w:ascii="Times New Roman" w:hAnsi="Times New Roman" w:cs="Times New Roman"/>
          <w:sz w:val="24"/>
          <w:szCs w:val="24"/>
        </w:rPr>
        <w:t>ie było również dość korzystnie. P</w:t>
      </w:r>
      <w:r w:rsidR="00727E9E">
        <w:rPr>
          <w:rFonts w:ascii="Times New Roman" w:hAnsi="Times New Roman" w:cs="Times New Roman"/>
          <w:sz w:val="24"/>
          <w:szCs w:val="24"/>
        </w:rPr>
        <w:t>o dwóch latach w miarę dobrej koniunktury (2007 i 2008) obserwowane było załamanie wyników w 2009 roku</w:t>
      </w:r>
      <w:r w:rsidR="004E1A0D">
        <w:rPr>
          <w:rFonts w:ascii="Times New Roman" w:hAnsi="Times New Roman" w:cs="Times New Roman"/>
          <w:sz w:val="24"/>
          <w:szCs w:val="24"/>
        </w:rPr>
        <w:t>,</w:t>
      </w:r>
      <w:r w:rsidR="00D53F97">
        <w:rPr>
          <w:rFonts w:ascii="Times New Roman" w:hAnsi="Times New Roman" w:cs="Times New Roman"/>
          <w:sz w:val="24"/>
          <w:szCs w:val="24"/>
        </w:rPr>
        <w:t xml:space="preserve"> a następn</w:t>
      </w:r>
      <w:r w:rsidR="00727E9E">
        <w:rPr>
          <w:rFonts w:ascii="Times New Roman" w:hAnsi="Times New Roman" w:cs="Times New Roman"/>
          <w:sz w:val="24"/>
          <w:szCs w:val="24"/>
        </w:rPr>
        <w:t>e lata 2010 i 2011 przyniosły znowu wyraźn</w:t>
      </w:r>
      <w:r w:rsidR="004E1A0D">
        <w:rPr>
          <w:rFonts w:ascii="Times New Roman" w:hAnsi="Times New Roman" w:cs="Times New Roman"/>
          <w:sz w:val="24"/>
          <w:szCs w:val="24"/>
        </w:rPr>
        <w:t>ą</w:t>
      </w:r>
      <w:r w:rsidR="00727E9E">
        <w:rPr>
          <w:rFonts w:ascii="Times New Roman" w:hAnsi="Times New Roman" w:cs="Times New Roman"/>
          <w:sz w:val="24"/>
          <w:szCs w:val="24"/>
        </w:rPr>
        <w:t xml:space="preserve"> poprawę </w:t>
      </w:r>
      <w:r w:rsidR="00DC292C">
        <w:rPr>
          <w:rFonts w:ascii="Times New Roman" w:hAnsi="Times New Roman" w:cs="Times New Roman"/>
          <w:sz w:val="24"/>
          <w:szCs w:val="24"/>
        </w:rPr>
        <w:t>sytuacji w spółdzielniach</w:t>
      </w:r>
      <w:r w:rsidR="00727E9E">
        <w:rPr>
          <w:rFonts w:ascii="Times New Roman" w:hAnsi="Times New Roman" w:cs="Times New Roman"/>
          <w:sz w:val="24"/>
          <w:szCs w:val="24"/>
        </w:rPr>
        <w:t>. Dopatrując się w tym schemacie pewnej analogii, przy nie najlepszych</w:t>
      </w:r>
      <w:r w:rsidR="007C4E34">
        <w:rPr>
          <w:rFonts w:ascii="Times New Roman" w:hAnsi="Times New Roman" w:cs="Times New Roman"/>
          <w:sz w:val="24"/>
          <w:szCs w:val="24"/>
        </w:rPr>
        <w:t xml:space="preserve"> </w:t>
      </w:r>
      <w:r w:rsidR="00C13334">
        <w:rPr>
          <w:rFonts w:ascii="Times New Roman" w:hAnsi="Times New Roman" w:cs="Times New Roman"/>
          <w:sz w:val="24"/>
          <w:szCs w:val="24"/>
        </w:rPr>
        <w:t>prognozach</w:t>
      </w:r>
      <w:r w:rsidR="007C4E34">
        <w:rPr>
          <w:rFonts w:ascii="Times New Roman" w:hAnsi="Times New Roman" w:cs="Times New Roman"/>
          <w:sz w:val="24"/>
          <w:szCs w:val="24"/>
        </w:rPr>
        <w:t xml:space="preserve"> dla</w:t>
      </w:r>
      <w:r w:rsidR="00D53F97">
        <w:rPr>
          <w:rFonts w:ascii="Times New Roman" w:hAnsi="Times New Roman" w:cs="Times New Roman"/>
          <w:sz w:val="24"/>
          <w:szCs w:val="24"/>
        </w:rPr>
        <w:t xml:space="preserve"> polskiej gospodarki n</w:t>
      </w:r>
      <w:r w:rsidR="00727E9E">
        <w:rPr>
          <w:rFonts w:ascii="Times New Roman" w:hAnsi="Times New Roman" w:cs="Times New Roman"/>
          <w:sz w:val="24"/>
          <w:szCs w:val="24"/>
        </w:rPr>
        <w:t>a 2012 rok</w:t>
      </w:r>
      <w:r w:rsidR="007C4E34">
        <w:rPr>
          <w:rFonts w:ascii="Times New Roman" w:hAnsi="Times New Roman" w:cs="Times New Roman"/>
          <w:sz w:val="24"/>
          <w:szCs w:val="24"/>
        </w:rPr>
        <w:t xml:space="preserve">, </w:t>
      </w:r>
      <w:r w:rsidR="0011247C">
        <w:rPr>
          <w:rFonts w:ascii="Times New Roman" w:hAnsi="Times New Roman" w:cs="Times New Roman"/>
          <w:sz w:val="24"/>
          <w:szCs w:val="24"/>
        </w:rPr>
        <w:t>wydaje się</w:t>
      </w:r>
      <w:r w:rsidR="00C13334">
        <w:rPr>
          <w:rFonts w:ascii="Times New Roman" w:hAnsi="Times New Roman" w:cs="Times New Roman"/>
          <w:sz w:val="24"/>
          <w:szCs w:val="24"/>
        </w:rPr>
        <w:t>,</w:t>
      </w:r>
      <w:r w:rsidR="0011247C">
        <w:rPr>
          <w:rFonts w:ascii="Times New Roman" w:hAnsi="Times New Roman" w:cs="Times New Roman"/>
          <w:sz w:val="24"/>
          <w:szCs w:val="24"/>
        </w:rPr>
        <w:t xml:space="preserve"> że w kolejnym roku </w:t>
      </w:r>
      <w:r w:rsidR="00DC292C">
        <w:rPr>
          <w:rFonts w:ascii="Times New Roman" w:hAnsi="Times New Roman" w:cs="Times New Roman"/>
          <w:sz w:val="24"/>
          <w:szCs w:val="24"/>
        </w:rPr>
        <w:t>może do</w:t>
      </w:r>
      <w:r w:rsidR="00C13334">
        <w:rPr>
          <w:rFonts w:ascii="Times New Roman" w:hAnsi="Times New Roman" w:cs="Times New Roman"/>
          <w:sz w:val="24"/>
          <w:szCs w:val="24"/>
        </w:rPr>
        <w:t>j</w:t>
      </w:r>
      <w:r w:rsidR="00DC292C">
        <w:rPr>
          <w:rFonts w:ascii="Times New Roman" w:hAnsi="Times New Roman" w:cs="Times New Roman"/>
          <w:sz w:val="24"/>
          <w:szCs w:val="24"/>
        </w:rPr>
        <w:t>ść ponownie do</w:t>
      </w:r>
      <w:r w:rsidR="0011247C">
        <w:rPr>
          <w:rFonts w:ascii="Times New Roman" w:hAnsi="Times New Roman" w:cs="Times New Roman"/>
          <w:sz w:val="24"/>
          <w:szCs w:val="24"/>
        </w:rPr>
        <w:t xml:space="preserve"> </w:t>
      </w:r>
      <w:r w:rsidR="00DC292C">
        <w:rPr>
          <w:rFonts w:ascii="Times New Roman" w:hAnsi="Times New Roman" w:cs="Times New Roman"/>
          <w:sz w:val="24"/>
          <w:szCs w:val="24"/>
        </w:rPr>
        <w:t>pewnego</w:t>
      </w:r>
      <w:r w:rsidR="007C4E34">
        <w:rPr>
          <w:rFonts w:ascii="Times New Roman" w:hAnsi="Times New Roman" w:cs="Times New Roman"/>
          <w:sz w:val="24"/>
          <w:szCs w:val="24"/>
        </w:rPr>
        <w:t xml:space="preserve"> </w:t>
      </w:r>
      <w:r w:rsidR="00C13334">
        <w:rPr>
          <w:rFonts w:ascii="Times New Roman" w:hAnsi="Times New Roman" w:cs="Times New Roman"/>
          <w:sz w:val="24"/>
          <w:szCs w:val="24"/>
        </w:rPr>
        <w:t>pogorszenia wyników</w:t>
      </w:r>
      <w:r w:rsidR="00D53F97">
        <w:rPr>
          <w:rFonts w:ascii="Times New Roman" w:hAnsi="Times New Roman" w:cs="Times New Roman"/>
          <w:sz w:val="24"/>
          <w:szCs w:val="24"/>
        </w:rPr>
        <w:t>.</w:t>
      </w:r>
    </w:p>
    <w:p w:rsidR="0011247C" w:rsidRDefault="0011247C" w:rsidP="007C4E34">
      <w:pPr>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Można </w:t>
      </w:r>
      <w:r w:rsidR="00C13334">
        <w:rPr>
          <w:rFonts w:ascii="Times New Roman" w:hAnsi="Times New Roman" w:cs="Times New Roman"/>
          <w:sz w:val="24"/>
          <w:szCs w:val="24"/>
        </w:rPr>
        <w:t>stwierdzić</w:t>
      </w:r>
      <w:r>
        <w:rPr>
          <w:rFonts w:ascii="Times New Roman" w:hAnsi="Times New Roman" w:cs="Times New Roman"/>
          <w:sz w:val="24"/>
          <w:szCs w:val="24"/>
        </w:rPr>
        <w:t>, że wynik</w:t>
      </w:r>
      <w:r w:rsidR="00D53F97">
        <w:rPr>
          <w:rFonts w:ascii="Times New Roman" w:hAnsi="Times New Roman" w:cs="Times New Roman"/>
          <w:sz w:val="24"/>
          <w:szCs w:val="24"/>
        </w:rPr>
        <w:t>i,</w:t>
      </w:r>
      <w:r>
        <w:rPr>
          <w:rFonts w:ascii="Times New Roman" w:hAnsi="Times New Roman" w:cs="Times New Roman"/>
          <w:sz w:val="24"/>
          <w:szCs w:val="24"/>
        </w:rPr>
        <w:t xml:space="preserve"> jakie osiągnęły w 2011 roku spółdzielnie</w:t>
      </w:r>
      <w:r w:rsidR="00D53F97">
        <w:rPr>
          <w:rFonts w:ascii="Times New Roman" w:hAnsi="Times New Roman" w:cs="Times New Roman"/>
          <w:sz w:val="24"/>
          <w:szCs w:val="24"/>
        </w:rPr>
        <w:t>,</w:t>
      </w:r>
      <w:r>
        <w:rPr>
          <w:rFonts w:ascii="Times New Roman" w:hAnsi="Times New Roman" w:cs="Times New Roman"/>
          <w:sz w:val="24"/>
          <w:szCs w:val="24"/>
        </w:rPr>
        <w:t xml:space="preserve"> są bardzo </w:t>
      </w:r>
      <w:r w:rsidR="002301E5">
        <w:rPr>
          <w:rFonts w:ascii="Times New Roman" w:hAnsi="Times New Roman" w:cs="Times New Roman"/>
          <w:sz w:val="24"/>
          <w:szCs w:val="24"/>
        </w:rPr>
        <w:t>optymistyczne,</w:t>
      </w:r>
      <w:r>
        <w:rPr>
          <w:rFonts w:ascii="Times New Roman" w:hAnsi="Times New Roman" w:cs="Times New Roman"/>
          <w:sz w:val="24"/>
          <w:szCs w:val="24"/>
        </w:rPr>
        <w:t xml:space="preserve"> poprawie </w:t>
      </w:r>
      <w:r w:rsidR="00D53F97">
        <w:rPr>
          <w:rFonts w:ascii="Times New Roman" w:hAnsi="Times New Roman" w:cs="Times New Roman"/>
          <w:sz w:val="24"/>
          <w:szCs w:val="24"/>
        </w:rPr>
        <w:t xml:space="preserve">bowiem </w:t>
      </w:r>
      <w:r>
        <w:rPr>
          <w:rFonts w:ascii="Times New Roman" w:hAnsi="Times New Roman" w:cs="Times New Roman"/>
          <w:sz w:val="24"/>
          <w:szCs w:val="24"/>
        </w:rPr>
        <w:t>uległy niemal wszystkie z analizow</w:t>
      </w:r>
      <w:r w:rsidR="0074064B">
        <w:rPr>
          <w:rFonts w:ascii="Times New Roman" w:hAnsi="Times New Roman" w:cs="Times New Roman"/>
          <w:sz w:val="24"/>
          <w:szCs w:val="24"/>
        </w:rPr>
        <w:t>an</w:t>
      </w:r>
      <w:r>
        <w:rPr>
          <w:rFonts w:ascii="Times New Roman" w:hAnsi="Times New Roman" w:cs="Times New Roman"/>
          <w:sz w:val="24"/>
          <w:szCs w:val="24"/>
        </w:rPr>
        <w:t xml:space="preserve">ych </w:t>
      </w:r>
      <w:r w:rsidR="0074064B">
        <w:rPr>
          <w:rFonts w:ascii="Times New Roman" w:hAnsi="Times New Roman" w:cs="Times New Roman"/>
          <w:sz w:val="24"/>
          <w:szCs w:val="24"/>
        </w:rPr>
        <w:t>wskaźników</w:t>
      </w:r>
      <w:r>
        <w:rPr>
          <w:rFonts w:ascii="Times New Roman" w:hAnsi="Times New Roman" w:cs="Times New Roman"/>
          <w:sz w:val="24"/>
          <w:szCs w:val="24"/>
        </w:rPr>
        <w:t xml:space="preserve"> </w:t>
      </w:r>
      <w:r w:rsidR="00DC292C">
        <w:rPr>
          <w:rFonts w:ascii="Times New Roman" w:hAnsi="Times New Roman" w:cs="Times New Roman"/>
          <w:sz w:val="24"/>
          <w:szCs w:val="24"/>
        </w:rPr>
        <w:t>(t</w:t>
      </w:r>
      <w:r w:rsidR="0074064B">
        <w:rPr>
          <w:rFonts w:ascii="Times New Roman" w:hAnsi="Times New Roman" w:cs="Times New Roman"/>
          <w:sz w:val="24"/>
          <w:szCs w:val="24"/>
        </w:rPr>
        <w:t>abela 4). Wskaźnik dochodowości działalności gospodarczej wzrósł w 2011 roku o 2,3 p.p. w stosunku do roku ubiegłego i o 4,</w:t>
      </w:r>
      <w:r w:rsidR="00C13334">
        <w:rPr>
          <w:rFonts w:ascii="Times New Roman" w:hAnsi="Times New Roman" w:cs="Times New Roman"/>
          <w:sz w:val="24"/>
          <w:szCs w:val="24"/>
        </w:rPr>
        <w:t xml:space="preserve">2 </w:t>
      </w:r>
      <w:r w:rsidR="009C76F4">
        <w:rPr>
          <w:rFonts w:ascii="Times New Roman" w:hAnsi="Times New Roman" w:cs="Times New Roman"/>
          <w:sz w:val="24"/>
          <w:szCs w:val="24"/>
        </w:rPr>
        <w:t xml:space="preserve">p.p. w stosunku do roku 2009. Nieco wolniej rósł jednak wskaźnik wartości dodanej w zbiorowości </w:t>
      </w:r>
      <w:r w:rsidR="002301E5">
        <w:rPr>
          <w:rFonts w:ascii="Times New Roman" w:hAnsi="Times New Roman" w:cs="Times New Roman"/>
          <w:sz w:val="24"/>
          <w:szCs w:val="24"/>
        </w:rPr>
        <w:t>spółdzielni</w:t>
      </w:r>
      <w:r w:rsidR="00C13334">
        <w:rPr>
          <w:rFonts w:ascii="Times New Roman" w:hAnsi="Times New Roman" w:cs="Times New Roman"/>
          <w:sz w:val="24"/>
          <w:szCs w:val="24"/>
        </w:rPr>
        <w:t>.</w:t>
      </w:r>
      <w:r w:rsidR="009C76F4">
        <w:rPr>
          <w:rFonts w:ascii="Times New Roman" w:hAnsi="Times New Roman" w:cs="Times New Roman"/>
          <w:sz w:val="24"/>
          <w:szCs w:val="24"/>
        </w:rPr>
        <w:t xml:space="preserve"> </w:t>
      </w:r>
      <w:r w:rsidR="00C13334">
        <w:rPr>
          <w:rFonts w:ascii="Times New Roman" w:hAnsi="Times New Roman" w:cs="Times New Roman"/>
          <w:sz w:val="24"/>
          <w:szCs w:val="24"/>
        </w:rPr>
        <w:t>W</w:t>
      </w:r>
      <w:r w:rsidR="002301E5">
        <w:rPr>
          <w:rFonts w:ascii="Times New Roman" w:hAnsi="Times New Roman" w:cs="Times New Roman"/>
          <w:sz w:val="24"/>
          <w:szCs w:val="24"/>
        </w:rPr>
        <w:t xml:space="preserve"> przeciągu 2 lat wzrósł on o 2,15</w:t>
      </w:r>
      <w:r w:rsidR="00C13334">
        <w:rPr>
          <w:rFonts w:ascii="Times New Roman" w:hAnsi="Times New Roman" w:cs="Times New Roman"/>
          <w:sz w:val="24"/>
          <w:szCs w:val="24"/>
        </w:rPr>
        <w:t xml:space="preserve"> </w:t>
      </w:r>
      <w:r w:rsidR="002301E5">
        <w:rPr>
          <w:rFonts w:ascii="Times New Roman" w:hAnsi="Times New Roman" w:cs="Times New Roman"/>
          <w:sz w:val="24"/>
          <w:szCs w:val="24"/>
        </w:rPr>
        <w:t>p.p., w ostatnim roku</w:t>
      </w:r>
      <w:r w:rsidR="00485BDE">
        <w:rPr>
          <w:rFonts w:ascii="Times New Roman" w:hAnsi="Times New Roman" w:cs="Times New Roman"/>
          <w:sz w:val="24"/>
          <w:szCs w:val="24"/>
        </w:rPr>
        <w:t xml:space="preserve"> jednak </w:t>
      </w:r>
      <w:r w:rsidR="002301E5">
        <w:rPr>
          <w:rFonts w:ascii="Times New Roman" w:hAnsi="Times New Roman" w:cs="Times New Roman"/>
          <w:sz w:val="24"/>
          <w:szCs w:val="24"/>
        </w:rPr>
        <w:t>wzrost ten był nieznaczny (0,38</w:t>
      </w:r>
      <w:r w:rsidR="00C13334">
        <w:rPr>
          <w:rFonts w:ascii="Times New Roman" w:hAnsi="Times New Roman" w:cs="Times New Roman"/>
          <w:sz w:val="24"/>
          <w:szCs w:val="24"/>
        </w:rPr>
        <w:t xml:space="preserve"> </w:t>
      </w:r>
      <w:r w:rsidR="002301E5">
        <w:rPr>
          <w:rFonts w:ascii="Times New Roman" w:hAnsi="Times New Roman" w:cs="Times New Roman"/>
          <w:sz w:val="24"/>
          <w:szCs w:val="24"/>
        </w:rPr>
        <w:t xml:space="preserve">p.p.). </w:t>
      </w:r>
      <w:r w:rsidR="00C13334">
        <w:rPr>
          <w:rFonts w:ascii="Times New Roman" w:hAnsi="Times New Roman" w:cs="Times New Roman"/>
          <w:sz w:val="24"/>
          <w:szCs w:val="24"/>
        </w:rPr>
        <w:t>Zatem k</w:t>
      </w:r>
      <w:r w:rsidR="002301E5">
        <w:rPr>
          <w:rFonts w:ascii="Times New Roman" w:hAnsi="Times New Roman" w:cs="Times New Roman"/>
          <w:sz w:val="24"/>
          <w:szCs w:val="24"/>
        </w:rPr>
        <w:t>olejny rok utrzymywania się wysokich cen na produk</w:t>
      </w:r>
      <w:r w:rsidR="00C13334">
        <w:rPr>
          <w:rFonts w:ascii="Times New Roman" w:hAnsi="Times New Roman" w:cs="Times New Roman"/>
          <w:sz w:val="24"/>
          <w:szCs w:val="24"/>
        </w:rPr>
        <w:t>ty rolne, znalazł odbicie</w:t>
      </w:r>
      <w:r w:rsidR="002301E5">
        <w:rPr>
          <w:rFonts w:ascii="Times New Roman" w:hAnsi="Times New Roman" w:cs="Times New Roman"/>
          <w:sz w:val="24"/>
          <w:szCs w:val="24"/>
        </w:rPr>
        <w:t xml:space="preserve"> w uzyskiwanych wynikach RSP. Obok czynników rynkowych silnym bodźcem kształtującym </w:t>
      </w:r>
      <w:r w:rsidR="00485BDE">
        <w:rPr>
          <w:rFonts w:ascii="Times New Roman" w:hAnsi="Times New Roman" w:cs="Times New Roman"/>
          <w:sz w:val="24"/>
          <w:szCs w:val="24"/>
        </w:rPr>
        <w:t>wskaźniki ekonomiczno-finansowe</w:t>
      </w:r>
      <w:r w:rsidR="002301E5">
        <w:rPr>
          <w:rFonts w:ascii="Times New Roman" w:hAnsi="Times New Roman" w:cs="Times New Roman"/>
          <w:sz w:val="24"/>
          <w:szCs w:val="24"/>
        </w:rPr>
        <w:t xml:space="preserve"> były</w:t>
      </w:r>
      <w:r w:rsidR="00CE24D0">
        <w:rPr>
          <w:rFonts w:ascii="Times New Roman" w:hAnsi="Times New Roman" w:cs="Times New Roman"/>
          <w:sz w:val="24"/>
          <w:szCs w:val="24"/>
        </w:rPr>
        <w:t xml:space="preserve"> zawsze</w:t>
      </w:r>
      <w:r w:rsidR="002301E5">
        <w:rPr>
          <w:rFonts w:ascii="Times New Roman" w:hAnsi="Times New Roman" w:cs="Times New Roman"/>
          <w:sz w:val="24"/>
          <w:szCs w:val="24"/>
        </w:rPr>
        <w:t xml:space="preserve"> płatności </w:t>
      </w:r>
      <w:r w:rsidR="00CE24D0">
        <w:rPr>
          <w:rFonts w:ascii="Times New Roman" w:hAnsi="Times New Roman" w:cs="Times New Roman"/>
          <w:sz w:val="24"/>
          <w:szCs w:val="24"/>
        </w:rPr>
        <w:t>bezpośrednie</w:t>
      </w:r>
      <w:r w:rsidR="00103E7F">
        <w:rPr>
          <w:rFonts w:ascii="Times New Roman" w:hAnsi="Times New Roman" w:cs="Times New Roman"/>
          <w:sz w:val="24"/>
          <w:szCs w:val="24"/>
        </w:rPr>
        <w:t>. Z pewnością płatności otrzymywane przez spółdzielnie miały s</w:t>
      </w:r>
      <w:r w:rsidR="00485BDE">
        <w:rPr>
          <w:rFonts w:ascii="Times New Roman" w:hAnsi="Times New Roman" w:cs="Times New Roman"/>
          <w:sz w:val="24"/>
          <w:szCs w:val="24"/>
        </w:rPr>
        <w:t>woje odzwierciedlenie i w tego</w:t>
      </w:r>
      <w:r w:rsidR="00103E7F">
        <w:rPr>
          <w:rFonts w:ascii="Times New Roman" w:hAnsi="Times New Roman" w:cs="Times New Roman"/>
          <w:sz w:val="24"/>
          <w:szCs w:val="24"/>
        </w:rPr>
        <w:t>rocznych</w:t>
      </w:r>
      <w:r w:rsidR="00C901D2">
        <w:rPr>
          <w:rFonts w:ascii="Times New Roman" w:hAnsi="Times New Roman" w:cs="Times New Roman"/>
          <w:sz w:val="24"/>
          <w:szCs w:val="24"/>
        </w:rPr>
        <w:t xml:space="preserve"> </w:t>
      </w:r>
      <w:r w:rsidR="00103E7F">
        <w:rPr>
          <w:rFonts w:ascii="Times New Roman" w:hAnsi="Times New Roman" w:cs="Times New Roman"/>
          <w:sz w:val="24"/>
          <w:szCs w:val="24"/>
        </w:rPr>
        <w:t>wynikach</w:t>
      </w:r>
      <w:r w:rsidR="00485BDE">
        <w:rPr>
          <w:rFonts w:ascii="Times New Roman" w:hAnsi="Times New Roman" w:cs="Times New Roman"/>
          <w:sz w:val="24"/>
          <w:szCs w:val="24"/>
        </w:rPr>
        <w:t>,</w:t>
      </w:r>
      <w:r w:rsidR="00103E7F">
        <w:rPr>
          <w:rFonts w:ascii="Times New Roman" w:hAnsi="Times New Roman" w:cs="Times New Roman"/>
          <w:sz w:val="24"/>
          <w:szCs w:val="24"/>
        </w:rPr>
        <w:t xml:space="preserve"> bowiem w związku z silnym kursem </w:t>
      </w:r>
      <w:r w:rsidR="00D53F97">
        <w:rPr>
          <w:rFonts w:ascii="Times New Roman" w:hAnsi="Times New Roman" w:cs="Times New Roman"/>
          <w:sz w:val="24"/>
          <w:szCs w:val="24"/>
        </w:rPr>
        <w:t>e</w:t>
      </w:r>
      <w:r w:rsidR="00103E7F">
        <w:rPr>
          <w:rFonts w:ascii="Times New Roman" w:hAnsi="Times New Roman" w:cs="Times New Roman"/>
          <w:sz w:val="24"/>
          <w:szCs w:val="24"/>
        </w:rPr>
        <w:t>uro</w:t>
      </w:r>
      <w:r w:rsidR="00D53F97">
        <w:rPr>
          <w:rFonts w:ascii="Times New Roman" w:hAnsi="Times New Roman" w:cs="Times New Roman"/>
          <w:sz w:val="24"/>
          <w:szCs w:val="24"/>
        </w:rPr>
        <w:t xml:space="preserve"> (we wrześniu 2011 </w:t>
      </w:r>
      <w:r w:rsidR="00485BDE">
        <w:rPr>
          <w:rFonts w:ascii="Times New Roman" w:hAnsi="Times New Roman" w:cs="Times New Roman"/>
          <w:sz w:val="24"/>
          <w:szCs w:val="24"/>
        </w:rPr>
        <w:t>r.)</w:t>
      </w:r>
      <w:r w:rsidR="00103E7F">
        <w:rPr>
          <w:rFonts w:ascii="Times New Roman" w:hAnsi="Times New Roman" w:cs="Times New Roman"/>
          <w:sz w:val="24"/>
          <w:szCs w:val="24"/>
        </w:rPr>
        <w:t xml:space="preserve"> ich stawki w stosunku do roku 2010 (</w:t>
      </w:r>
      <w:r w:rsidR="00485BDE">
        <w:rPr>
          <w:rFonts w:ascii="Times New Roman" w:hAnsi="Times New Roman" w:cs="Times New Roman"/>
          <w:sz w:val="24"/>
          <w:szCs w:val="24"/>
        </w:rPr>
        <w:t xml:space="preserve">porównując sumy jednolitej płatności i </w:t>
      </w:r>
      <w:r w:rsidR="00B75A7F">
        <w:rPr>
          <w:rFonts w:ascii="Times New Roman" w:hAnsi="Times New Roman" w:cs="Times New Roman"/>
          <w:sz w:val="24"/>
          <w:szCs w:val="24"/>
        </w:rPr>
        <w:t>uzupełniającej</w:t>
      </w:r>
      <w:r w:rsidR="00103E7F">
        <w:rPr>
          <w:rFonts w:ascii="Times New Roman" w:hAnsi="Times New Roman" w:cs="Times New Roman"/>
          <w:sz w:val="24"/>
          <w:szCs w:val="24"/>
        </w:rPr>
        <w:t>) zwiększyły się o przeszło 10%.</w:t>
      </w:r>
    </w:p>
    <w:p w:rsidR="006300DF" w:rsidRDefault="006300DF" w:rsidP="00B85355">
      <w:pPr>
        <w:spacing w:after="120"/>
        <w:ind w:firstLine="709"/>
        <w:jc w:val="both"/>
        <w:rPr>
          <w:rFonts w:ascii="Times New Roman" w:hAnsi="Times New Roman" w:cs="Times New Roman"/>
          <w:sz w:val="24"/>
          <w:szCs w:val="24"/>
        </w:rPr>
      </w:pPr>
      <w:r>
        <w:rPr>
          <w:rFonts w:ascii="Times New Roman" w:hAnsi="Times New Roman" w:cs="Times New Roman"/>
          <w:sz w:val="24"/>
          <w:szCs w:val="24"/>
        </w:rPr>
        <w:t>Analogiczne zmiany</w:t>
      </w:r>
      <w:r w:rsidR="00D53F97">
        <w:rPr>
          <w:rFonts w:ascii="Times New Roman" w:hAnsi="Times New Roman" w:cs="Times New Roman"/>
          <w:sz w:val="24"/>
          <w:szCs w:val="24"/>
        </w:rPr>
        <w:t>,</w:t>
      </w:r>
      <w:r>
        <w:rPr>
          <w:rFonts w:ascii="Times New Roman" w:hAnsi="Times New Roman" w:cs="Times New Roman"/>
          <w:sz w:val="24"/>
          <w:szCs w:val="24"/>
        </w:rPr>
        <w:t xml:space="preserve"> jak w przypadku wskaźników finansowych</w:t>
      </w:r>
      <w:r w:rsidR="001D70ED">
        <w:rPr>
          <w:rFonts w:ascii="Times New Roman" w:hAnsi="Times New Roman" w:cs="Times New Roman"/>
          <w:sz w:val="24"/>
          <w:szCs w:val="24"/>
        </w:rPr>
        <w:t xml:space="preserve"> w spółdzielniach</w:t>
      </w:r>
      <w:r w:rsidR="00C13334">
        <w:rPr>
          <w:rFonts w:ascii="Times New Roman" w:hAnsi="Times New Roman" w:cs="Times New Roman"/>
          <w:sz w:val="24"/>
          <w:szCs w:val="24"/>
        </w:rPr>
        <w:t>,</w:t>
      </w:r>
      <w:r>
        <w:rPr>
          <w:rFonts w:ascii="Times New Roman" w:hAnsi="Times New Roman" w:cs="Times New Roman"/>
          <w:sz w:val="24"/>
          <w:szCs w:val="24"/>
        </w:rPr>
        <w:t xml:space="preserve"> zaszły</w:t>
      </w:r>
      <w:r w:rsidR="001D70ED">
        <w:rPr>
          <w:rFonts w:ascii="Times New Roman" w:hAnsi="Times New Roman" w:cs="Times New Roman"/>
          <w:sz w:val="24"/>
          <w:szCs w:val="24"/>
        </w:rPr>
        <w:t xml:space="preserve"> również w dziedzinie wydajności pracy. Wydajność </w:t>
      </w:r>
      <w:r w:rsidR="00D53F97">
        <w:rPr>
          <w:rFonts w:ascii="Times New Roman" w:hAnsi="Times New Roman" w:cs="Times New Roman"/>
          <w:sz w:val="24"/>
          <w:szCs w:val="24"/>
        </w:rPr>
        <w:t>ta,</w:t>
      </w:r>
      <w:r w:rsidR="001D70ED">
        <w:rPr>
          <w:rFonts w:ascii="Times New Roman" w:hAnsi="Times New Roman" w:cs="Times New Roman"/>
          <w:sz w:val="24"/>
          <w:szCs w:val="24"/>
        </w:rPr>
        <w:t xml:space="preserve"> mierzona</w:t>
      </w:r>
      <w:r w:rsidR="00485BDE">
        <w:rPr>
          <w:rFonts w:ascii="Times New Roman" w:hAnsi="Times New Roman" w:cs="Times New Roman"/>
          <w:sz w:val="24"/>
          <w:szCs w:val="24"/>
        </w:rPr>
        <w:t xml:space="preserve"> jej</w:t>
      </w:r>
      <w:r w:rsidR="001D70ED">
        <w:rPr>
          <w:rFonts w:ascii="Times New Roman" w:hAnsi="Times New Roman" w:cs="Times New Roman"/>
          <w:sz w:val="24"/>
          <w:szCs w:val="24"/>
        </w:rPr>
        <w:t xml:space="preserve"> dochodowością na jednego członka w 2011</w:t>
      </w:r>
      <w:r w:rsidR="00D53F97">
        <w:rPr>
          <w:rFonts w:ascii="Times New Roman" w:hAnsi="Times New Roman" w:cs="Times New Roman"/>
          <w:sz w:val="24"/>
          <w:szCs w:val="24"/>
        </w:rPr>
        <w:t xml:space="preserve"> roku,</w:t>
      </w:r>
      <w:r w:rsidR="001D70ED">
        <w:rPr>
          <w:rFonts w:ascii="Times New Roman" w:hAnsi="Times New Roman" w:cs="Times New Roman"/>
          <w:sz w:val="24"/>
          <w:szCs w:val="24"/>
        </w:rPr>
        <w:t xml:space="preserve"> wyniosła przeszło 62 tys. </w:t>
      </w:r>
      <w:r w:rsidR="00D53F97">
        <w:rPr>
          <w:rFonts w:ascii="Times New Roman" w:hAnsi="Times New Roman" w:cs="Times New Roman"/>
          <w:sz w:val="24"/>
          <w:szCs w:val="24"/>
        </w:rPr>
        <w:t>z</w:t>
      </w:r>
      <w:r w:rsidR="001D70ED">
        <w:rPr>
          <w:rFonts w:ascii="Times New Roman" w:hAnsi="Times New Roman" w:cs="Times New Roman"/>
          <w:sz w:val="24"/>
          <w:szCs w:val="24"/>
        </w:rPr>
        <w:t>ł</w:t>
      </w:r>
      <w:r w:rsidR="00D53F97">
        <w:rPr>
          <w:rFonts w:ascii="Times New Roman" w:hAnsi="Times New Roman" w:cs="Times New Roman"/>
          <w:sz w:val="24"/>
          <w:szCs w:val="24"/>
        </w:rPr>
        <w:t>.</w:t>
      </w:r>
      <w:r w:rsidR="001D70ED">
        <w:rPr>
          <w:rFonts w:ascii="Times New Roman" w:hAnsi="Times New Roman" w:cs="Times New Roman"/>
          <w:sz w:val="24"/>
          <w:szCs w:val="24"/>
        </w:rPr>
        <w:t xml:space="preserve"> była</w:t>
      </w:r>
      <w:r w:rsidR="00C535A2">
        <w:rPr>
          <w:rFonts w:ascii="Times New Roman" w:hAnsi="Times New Roman" w:cs="Times New Roman"/>
          <w:sz w:val="24"/>
          <w:szCs w:val="24"/>
        </w:rPr>
        <w:t xml:space="preserve"> </w:t>
      </w:r>
      <w:r w:rsidR="00B75A7F">
        <w:rPr>
          <w:rFonts w:ascii="Times New Roman" w:hAnsi="Times New Roman" w:cs="Times New Roman"/>
          <w:sz w:val="24"/>
          <w:szCs w:val="24"/>
        </w:rPr>
        <w:t>zatem</w:t>
      </w:r>
      <w:r w:rsidR="00C535A2">
        <w:rPr>
          <w:rFonts w:ascii="Times New Roman" w:hAnsi="Times New Roman" w:cs="Times New Roman"/>
          <w:sz w:val="24"/>
          <w:szCs w:val="24"/>
        </w:rPr>
        <w:t xml:space="preserve"> wyższa o 67 % niż </w:t>
      </w:r>
      <w:r w:rsidR="00B75A7F">
        <w:rPr>
          <w:rFonts w:ascii="Times New Roman" w:hAnsi="Times New Roman" w:cs="Times New Roman"/>
          <w:sz w:val="24"/>
          <w:szCs w:val="24"/>
        </w:rPr>
        <w:br/>
      </w:r>
      <w:r w:rsidR="00C535A2">
        <w:rPr>
          <w:rFonts w:ascii="Times New Roman" w:hAnsi="Times New Roman" w:cs="Times New Roman"/>
          <w:sz w:val="24"/>
          <w:szCs w:val="24"/>
        </w:rPr>
        <w:t xml:space="preserve">w roku 2009 i o 34% niż w roku 2010. Był to wzrost </w:t>
      </w:r>
      <w:r w:rsidR="00B75A7F">
        <w:rPr>
          <w:rFonts w:ascii="Times New Roman" w:hAnsi="Times New Roman" w:cs="Times New Roman"/>
          <w:sz w:val="24"/>
          <w:szCs w:val="24"/>
        </w:rPr>
        <w:t>znaczący</w:t>
      </w:r>
      <w:r w:rsidR="00750607">
        <w:rPr>
          <w:rFonts w:ascii="Times New Roman" w:hAnsi="Times New Roman" w:cs="Times New Roman"/>
          <w:sz w:val="24"/>
          <w:szCs w:val="24"/>
        </w:rPr>
        <w:t>, zwłaszcza ż</w:t>
      </w:r>
      <w:r w:rsidR="00C535A2">
        <w:rPr>
          <w:rFonts w:ascii="Times New Roman" w:hAnsi="Times New Roman" w:cs="Times New Roman"/>
          <w:sz w:val="24"/>
          <w:szCs w:val="24"/>
        </w:rPr>
        <w:t>e obserwowany rok po roku, a ze względu na powolny proces red</w:t>
      </w:r>
      <w:r w:rsidR="0061071A">
        <w:rPr>
          <w:rFonts w:ascii="Times New Roman" w:hAnsi="Times New Roman" w:cs="Times New Roman"/>
          <w:sz w:val="24"/>
          <w:szCs w:val="24"/>
        </w:rPr>
        <w:t xml:space="preserve">ukcji zatrudnienia </w:t>
      </w:r>
      <w:r w:rsidR="00B75A7F">
        <w:rPr>
          <w:rFonts w:ascii="Times New Roman" w:hAnsi="Times New Roman" w:cs="Times New Roman"/>
          <w:sz w:val="24"/>
          <w:szCs w:val="24"/>
        </w:rPr>
        <w:t>jaki miał miejsce</w:t>
      </w:r>
      <w:r w:rsidR="0061071A">
        <w:rPr>
          <w:rFonts w:ascii="Times New Roman" w:hAnsi="Times New Roman" w:cs="Times New Roman"/>
          <w:sz w:val="24"/>
          <w:szCs w:val="24"/>
        </w:rPr>
        <w:t xml:space="preserve"> </w:t>
      </w:r>
      <w:r w:rsidR="00C535A2">
        <w:rPr>
          <w:rFonts w:ascii="Times New Roman" w:hAnsi="Times New Roman" w:cs="Times New Roman"/>
          <w:sz w:val="24"/>
          <w:szCs w:val="24"/>
        </w:rPr>
        <w:t>w spółdzielniach</w:t>
      </w:r>
      <w:r w:rsidR="00B75A7F">
        <w:rPr>
          <w:rFonts w:ascii="Times New Roman" w:hAnsi="Times New Roman" w:cs="Times New Roman"/>
          <w:sz w:val="24"/>
          <w:szCs w:val="24"/>
        </w:rPr>
        <w:t xml:space="preserve"> (</w:t>
      </w:r>
      <w:r w:rsidR="001F1FF3">
        <w:rPr>
          <w:rFonts w:ascii="Times New Roman" w:hAnsi="Times New Roman" w:cs="Times New Roman"/>
          <w:sz w:val="24"/>
          <w:szCs w:val="24"/>
        </w:rPr>
        <w:t>w ciągu ostatniego roku spadek o 3%)</w:t>
      </w:r>
      <w:r w:rsidR="00750607">
        <w:rPr>
          <w:rFonts w:ascii="Times New Roman" w:hAnsi="Times New Roman" w:cs="Times New Roman"/>
          <w:sz w:val="24"/>
          <w:szCs w:val="24"/>
        </w:rPr>
        <w:t>,</w:t>
      </w:r>
      <w:r w:rsidR="00C535A2">
        <w:rPr>
          <w:rFonts w:ascii="Times New Roman" w:hAnsi="Times New Roman" w:cs="Times New Roman"/>
          <w:sz w:val="24"/>
          <w:szCs w:val="24"/>
        </w:rPr>
        <w:t xml:space="preserve"> w głównej mierze spowodowany poprawą sytuacji finansowej. </w:t>
      </w:r>
      <w:r w:rsidR="001A0E76">
        <w:rPr>
          <w:rFonts w:ascii="Times New Roman" w:hAnsi="Times New Roman" w:cs="Times New Roman"/>
          <w:sz w:val="24"/>
          <w:szCs w:val="24"/>
        </w:rPr>
        <w:t>Analizowane</w:t>
      </w:r>
      <w:r w:rsidR="00C535A2">
        <w:rPr>
          <w:rFonts w:ascii="Times New Roman" w:hAnsi="Times New Roman" w:cs="Times New Roman"/>
          <w:sz w:val="24"/>
          <w:szCs w:val="24"/>
        </w:rPr>
        <w:t xml:space="preserve"> RSP </w:t>
      </w:r>
      <w:r w:rsidR="001A0E76">
        <w:rPr>
          <w:rFonts w:ascii="Times New Roman" w:hAnsi="Times New Roman" w:cs="Times New Roman"/>
          <w:sz w:val="24"/>
          <w:szCs w:val="24"/>
        </w:rPr>
        <w:t>dość</w:t>
      </w:r>
      <w:r w:rsidR="00C535A2">
        <w:rPr>
          <w:rFonts w:ascii="Times New Roman" w:hAnsi="Times New Roman" w:cs="Times New Roman"/>
          <w:sz w:val="24"/>
          <w:szCs w:val="24"/>
        </w:rPr>
        <w:t xml:space="preserve"> dobrze wypadają równi</w:t>
      </w:r>
      <w:r w:rsidR="001A0E76">
        <w:rPr>
          <w:rFonts w:ascii="Times New Roman" w:hAnsi="Times New Roman" w:cs="Times New Roman"/>
          <w:sz w:val="24"/>
          <w:szCs w:val="24"/>
        </w:rPr>
        <w:t>e</w:t>
      </w:r>
      <w:r w:rsidR="00C535A2">
        <w:rPr>
          <w:rFonts w:ascii="Times New Roman" w:hAnsi="Times New Roman" w:cs="Times New Roman"/>
          <w:sz w:val="24"/>
          <w:szCs w:val="24"/>
        </w:rPr>
        <w:t xml:space="preserve">ż pod względem wskaźnika </w:t>
      </w:r>
      <w:r w:rsidR="001A0E76">
        <w:rPr>
          <w:rFonts w:ascii="Times New Roman" w:hAnsi="Times New Roman" w:cs="Times New Roman"/>
          <w:sz w:val="24"/>
          <w:szCs w:val="24"/>
        </w:rPr>
        <w:t xml:space="preserve">wydajności pracy (wartość dodana na osobę). Jedna osoba zatrudniona </w:t>
      </w:r>
      <w:r w:rsidR="001A0E76">
        <w:rPr>
          <w:rFonts w:ascii="Times New Roman" w:hAnsi="Times New Roman" w:cs="Times New Roman"/>
          <w:sz w:val="24"/>
          <w:szCs w:val="24"/>
        </w:rPr>
        <w:lastRenderedPageBreak/>
        <w:t>w spółdzielniach w 2011 roku generowała wartość dodana</w:t>
      </w:r>
      <w:r w:rsidR="00750607">
        <w:rPr>
          <w:rFonts w:ascii="Times New Roman" w:hAnsi="Times New Roman" w:cs="Times New Roman"/>
          <w:sz w:val="24"/>
          <w:szCs w:val="24"/>
        </w:rPr>
        <w:t>,</w:t>
      </w:r>
      <w:r w:rsidR="001A0E76">
        <w:rPr>
          <w:rFonts w:ascii="Times New Roman" w:hAnsi="Times New Roman" w:cs="Times New Roman"/>
          <w:sz w:val="24"/>
          <w:szCs w:val="24"/>
        </w:rPr>
        <w:t xml:space="preserve"> na poziomie 88 tys. zł, podczas gdy w </w:t>
      </w:r>
      <w:r w:rsidR="0061071A">
        <w:rPr>
          <w:rFonts w:ascii="Times New Roman" w:hAnsi="Times New Roman" w:cs="Times New Roman"/>
          <w:sz w:val="24"/>
          <w:szCs w:val="24"/>
        </w:rPr>
        <w:t>latach</w:t>
      </w:r>
      <w:r w:rsidR="001A0E76">
        <w:rPr>
          <w:rFonts w:ascii="Times New Roman" w:hAnsi="Times New Roman" w:cs="Times New Roman"/>
          <w:sz w:val="24"/>
          <w:szCs w:val="24"/>
        </w:rPr>
        <w:t xml:space="preserve"> 2009 i 2010 roku było to odpowiednio o 28 i 18 tys. zł mniej.</w:t>
      </w:r>
      <w:r w:rsidR="001F1FF3">
        <w:rPr>
          <w:rFonts w:ascii="Times New Roman" w:hAnsi="Times New Roman" w:cs="Times New Roman"/>
          <w:sz w:val="24"/>
          <w:szCs w:val="24"/>
        </w:rPr>
        <w:t xml:space="preserve"> </w:t>
      </w:r>
      <w:r w:rsidR="0019071D">
        <w:rPr>
          <w:rFonts w:ascii="Times New Roman" w:hAnsi="Times New Roman" w:cs="Times New Roman"/>
          <w:sz w:val="24"/>
          <w:szCs w:val="24"/>
        </w:rPr>
        <w:t>Warto jednak podkreślić</w:t>
      </w:r>
      <w:r w:rsidR="00B75A7F">
        <w:rPr>
          <w:rFonts w:ascii="Times New Roman" w:hAnsi="Times New Roman" w:cs="Times New Roman"/>
          <w:sz w:val="24"/>
          <w:szCs w:val="24"/>
        </w:rPr>
        <w:t>,</w:t>
      </w:r>
      <w:r w:rsidR="0019071D">
        <w:rPr>
          <w:rFonts w:ascii="Times New Roman" w:hAnsi="Times New Roman" w:cs="Times New Roman"/>
          <w:sz w:val="24"/>
          <w:szCs w:val="24"/>
        </w:rPr>
        <w:t xml:space="preserve"> że t</w:t>
      </w:r>
      <w:r w:rsidR="001F1FF3">
        <w:rPr>
          <w:rFonts w:ascii="Times New Roman" w:hAnsi="Times New Roman" w:cs="Times New Roman"/>
          <w:sz w:val="24"/>
          <w:szCs w:val="24"/>
        </w:rPr>
        <w:t xml:space="preserve">ak </w:t>
      </w:r>
      <w:r w:rsidR="0019071D">
        <w:rPr>
          <w:rFonts w:ascii="Times New Roman" w:hAnsi="Times New Roman" w:cs="Times New Roman"/>
          <w:sz w:val="24"/>
          <w:szCs w:val="24"/>
        </w:rPr>
        <w:t>korzystny</w:t>
      </w:r>
      <w:r w:rsidR="001F1FF3">
        <w:rPr>
          <w:rFonts w:ascii="Times New Roman" w:hAnsi="Times New Roman" w:cs="Times New Roman"/>
          <w:sz w:val="24"/>
          <w:szCs w:val="24"/>
        </w:rPr>
        <w:t xml:space="preserve"> poziom wydajności pracy </w:t>
      </w:r>
      <w:r w:rsidR="0019071D">
        <w:rPr>
          <w:rFonts w:ascii="Times New Roman" w:hAnsi="Times New Roman" w:cs="Times New Roman"/>
          <w:sz w:val="24"/>
          <w:szCs w:val="24"/>
        </w:rPr>
        <w:t>trudno będzie spółdzielniom utrzymać w latach o go</w:t>
      </w:r>
      <w:r w:rsidR="00750607">
        <w:rPr>
          <w:rFonts w:ascii="Times New Roman" w:hAnsi="Times New Roman" w:cs="Times New Roman"/>
          <w:sz w:val="24"/>
          <w:szCs w:val="24"/>
        </w:rPr>
        <w:t>rszej koniunkturze w rolnictwie</w:t>
      </w:r>
      <w:r w:rsidR="0019071D">
        <w:rPr>
          <w:rFonts w:ascii="Times New Roman" w:hAnsi="Times New Roman" w:cs="Times New Roman"/>
          <w:sz w:val="24"/>
          <w:szCs w:val="24"/>
        </w:rPr>
        <w:t xml:space="preserve"> bez </w:t>
      </w:r>
      <w:r w:rsidR="00B75A7F">
        <w:rPr>
          <w:rFonts w:ascii="Times New Roman" w:hAnsi="Times New Roman" w:cs="Times New Roman"/>
          <w:sz w:val="24"/>
          <w:szCs w:val="24"/>
        </w:rPr>
        <w:t>dalszego</w:t>
      </w:r>
      <w:r w:rsidR="0019071D">
        <w:rPr>
          <w:rFonts w:ascii="Times New Roman" w:hAnsi="Times New Roman" w:cs="Times New Roman"/>
          <w:sz w:val="24"/>
          <w:szCs w:val="24"/>
        </w:rPr>
        <w:t xml:space="preserve"> ograniczenia zatrudnienia. Zaangażowanie pracy w tych jednostkach</w:t>
      </w:r>
      <w:r w:rsidR="00B75A7F">
        <w:rPr>
          <w:rFonts w:ascii="Times New Roman" w:hAnsi="Times New Roman" w:cs="Times New Roman"/>
          <w:sz w:val="24"/>
          <w:szCs w:val="24"/>
        </w:rPr>
        <w:t>, w przeliczeniu na 100 hektarów użytków rolnych</w:t>
      </w:r>
      <w:r w:rsidR="00750607">
        <w:rPr>
          <w:rFonts w:ascii="Times New Roman" w:hAnsi="Times New Roman" w:cs="Times New Roman"/>
          <w:sz w:val="24"/>
          <w:szCs w:val="24"/>
        </w:rPr>
        <w:t>,</w:t>
      </w:r>
      <w:r w:rsidR="0019071D">
        <w:rPr>
          <w:rFonts w:ascii="Times New Roman" w:hAnsi="Times New Roman" w:cs="Times New Roman"/>
          <w:sz w:val="24"/>
          <w:szCs w:val="24"/>
        </w:rPr>
        <w:t xml:space="preserve"> jest dalej jedn</w:t>
      </w:r>
      <w:r w:rsidR="00B75A7F">
        <w:rPr>
          <w:rFonts w:ascii="Times New Roman" w:hAnsi="Times New Roman" w:cs="Times New Roman"/>
          <w:sz w:val="24"/>
          <w:szCs w:val="24"/>
        </w:rPr>
        <w:t>ym</w:t>
      </w:r>
      <w:r w:rsidR="0019071D">
        <w:rPr>
          <w:rFonts w:ascii="Times New Roman" w:hAnsi="Times New Roman" w:cs="Times New Roman"/>
          <w:sz w:val="24"/>
          <w:szCs w:val="24"/>
        </w:rPr>
        <w:t xml:space="preserve"> z najwyższych spośród wszystkich grup gospodarstw wielkotowarowych.</w:t>
      </w:r>
      <w:r w:rsidR="00B75A7F">
        <w:rPr>
          <w:rFonts w:ascii="Times New Roman" w:hAnsi="Times New Roman" w:cs="Times New Roman"/>
          <w:sz w:val="24"/>
          <w:szCs w:val="24"/>
        </w:rPr>
        <w:t xml:space="preserve"> Wskaźnik ten co prawda w latach 2009-2011 uległ znacznemu ograniczeniu (11%)</w:t>
      </w:r>
      <w:r w:rsidR="00B85355">
        <w:rPr>
          <w:rFonts w:ascii="Times New Roman" w:hAnsi="Times New Roman" w:cs="Times New Roman"/>
          <w:sz w:val="24"/>
          <w:szCs w:val="24"/>
        </w:rPr>
        <w:t>, dalej</w:t>
      </w:r>
      <w:r w:rsidR="00B75A7F">
        <w:rPr>
          <w:rFonts w:ascii="Times New Roman" w:hAnsi="Times New Roman" w:cs="Times New Roman"/>
          <w:sz w:val="24"/>
          <w:szCs w:val="24"/>
        </w:rPr>
        <w:t xml:space="preserve"> jednak </w:t>
      </w:r>
      <w:r w:rsidR="00B85355">
        <w:rPr>
          <w:rFonts w:ascii="Times New Roman" w:hAnsi="Times New Roman" w:cs="Times New Roman"/>
          <w:sz w:val="24"/>
          <w:szCs w:val="24"/>
        </w:rPr>
        <w:t>w spółdzielniach</w:t>
      </w:r>
      <w:r w:rsidR="00B75A7F">
        <w:rPr>
          <w:rFonts w:ascii="Times New Roman" w:hAnsi="Times New Roman" w:cs="Times New Roman"/>
          <w:sz w:val="24"/>
          <w:szCs w:val="24"/>
        </w:rPr>
        <w:t xml:space="preserve"> w tej dziedzinie</w:t>
      </w:r>
      <w:r w:rsidR="00B85355">
        <w:rPr>
          <w:rFonts w:ascii="Times New Roman" w:hAnsi="Times New Roman" w:cs="Times New Roman"/>
          <w:sz w:val="24"/>
          <w:szCs w:val="24"/>
        </w:rPr>
        <w:t xml:space="preserve"> pozostaje wiele do zrobienia. Z przeprowadzonych analiz wynika również, iż rok 2011 był kolejnym</w:t>
      </w:r>
      <w:r w:rsidR="00750607">
        <w:rPr>
          <w:rFonts w:ascii="Times New Roman" w:hAnsi="Times New Roman" w:cs="Times New Roman"/>
          <w:sz w:val="24"/>
          <w:szCs w:val="24"/>
        </w:rPr>
        <w:t>,</w:t>
      </w:r>
      <w:r w:rsidR="00B85355">
        <w:rPr>
          <w:rFonts w:ascii="Times New Roman" w:hAnsi="Times New Roman" w:cs="Times New Roman"/>
          <w:sz w:val="24"/>
          <w:szCs w:val="24"/>
        </w:rPr>
        <w:t xml:space="preserve"> kiedy</w:t>
      </w:r>
      <w:r w:rsidR="00750607">
        <w:rPr>
          <w:rFonts w:ascii="Times New Roman" w:hAnsi="Times New Roman" w:cs="Times New Roman"/>
          <w:sz w:val="24"/>
          <w:szCs w:val="24"/>
        </w:rPr>
        <w:t xml:space="preserve"> to</w:t>
      </w:r>
      <w:r w:rsidR="0019071D">
        <w:rPr>
          <w:rFonts w:ascii="Times New Roman" w:hAnsi="Times New Roman" w:cs="Times New Roman"/>
          <w:sz w:val="24"/>
          <w:szCs w:val="24"/>
        </w:rPr>
        <w:t xml:space="preserve"> w zbiorowości RSP utrzym</w:t>
      </w:r>
      <w:r w:rsidR="00B85355">
        <w:rPr>
          <w:rFonts w:ascii="Times New Roman" w:hAnsi="Times New Roman" w:cs="Times New Roman"/>
          <w:sz w:val="24"/>
          <w:szCs w:val="24"/>
        </w:rPr>
        <w:t>ywały się</w:t>
      </w:r>
      <w:r w:rsidR="0019071D">
        <w:rPr>
          <w:rFonts w:ascii="Times New Roman" w:hAnsi="Times New Roman" w:cs="Times New Roman"/>
          <w:sz w:val="24"/>
          <w:szCs w:val="24"/>
        </w:rPr>
        <w:t xml:space="preserve"> na stosunkowo wysokim poziomie wskaźniki płyn</w:t>
      </w:r>
      <w:r w:rsidR="00B85355">
        <w:rPr>
          <w:rFonts w:ascii="Times New Roman" w:hAnsi="Times New Roman" w:cs="Times New Roman"/>
          <w:sz w:val="24"/>
          <w:szCs w:val="24"/>
        </w:rPr>
        <w:t xml:space="preserve">ności finansowej, a zatem dalej spółdzielnie kontynuowały </w:t>
      </w:r>
      <w:r w:rsidR="0019071D">
        <w:rPr>
          <w:rFonts w:ascii="Times New Roman" w:hAnsi="Times New Roman" w:cs="Times New Roman"/>
          <w:sz w:val="24"/>
          <w:szCs w:val="24"/>
        </w:rPr>
        <w:t>bardzo ostrożną i bezpieczną strategią finansowania swojej działalności.</w:t>
      </w:r>
    </w:p>
    <w:p w:rsidR="0019071D" w:rsidRDefault="0019071D" w:rsidP="007C4E34">
      <w:pPr>
        <w:spacing w:after="120"/>
        <w:ind w:firstLine="709"/>
        <w:jc w:val="both"/>
        <w:rPr>
          <w:rFonts w:ascii="Times New Roman" w:hAnsi="Times New Roman" w:cs="Times New Roman"/>
          <w:sz w:val="24"/>
          <w:szCs w:val="24"/>
        </w:rPr>
      </w:pPr>
      <w:r>
        <w:rPr>
          <w:rFonts w:ascii="Times New Roman" w:hAnsi="Times New Roman" w:cs="Times New Roman"/>
          <w:sz w:val="24"/>
          <w:szCs w:val="24"/>
        </w:rPr>
        <w:t>Rok 2011 był</w:t>
      </w:r>
      <w:r w:rsidR="00B85355">
        <w:rPr>
          <w:rFonts w:ascii="Times New Roman" w:hAnsi="Times New Roman" w:cs="Times New Roman"/>
          <w:sz w:val="24"/>
          <w:szCs w:val="24"/>
        </w:rPr>
        <w:t xml:space="preserve"> również</w:t>
      </w:r>
      <w:r w:rsidR="00C23A0C">
        <w:rPr>
          <w:rFonts w:ascii="Times New Roman" w:hAnsi="Times New Roman" w:cs="Times New Roman"/>
          <w:sz w:val="24"/>
          <w:szCs w:val="24"/>
        </w:rPr>
        <w:t xml:space="preserve"> </w:t>
      </w:r>
      <w:r w:rsidR="00B85355">
        <w:rPr>
          <w:rFonts w:ascii="Times New Roman" w:hAnsi="Times New Roman" w:cs="Times New Roman"/>
          <w:sz w:val="24"/>
          <w:szCs w:val="24"/>
        </w:rPr>
        <w:t>kolejnym</w:t>
      </w:r>
      <w:r w:rsidR="00750607">
        <w:rPr>
          <w:rFonts w:ascii="Times New Roman" w:hAnsi="Times New Roman" w:cs="Times New Roman"/>
          <w:sz w:val="24"/>
          <w:szCs w:val="24"/>
        </w:rPr>
        <w:t>,</w:t>
      </w:r>
      <w:r w:rsidR="00C23A0C">
        <w:rPr>
          <w:rFonts w:ascii="Times New Roman" w:hAnsi="Times New Roman" w:cs="Times New Roman"/>
          <w:sz w:val="24"/>
          <w:szCs w:val="24"/>
        </w:rPr>
        <w:t xml:space="preserve"> </w:t>
      </w:r>
      <w:r w:rsidR="00750607">
        <w:rPr>
          <w:rFonts w:ascii="Times New Roman" w:hAnsi="Times New Roman" w:cs="Times New Roman"/>
          <w:sz w:val="24"/>
          <w:szCs w:val="24"/>
        </w:rPr>
        <w:t xml:space="preserve">w którym </w:t>
      </w:r>
      <w:r w:rsidR="00C23A0C">
        <w:rPr>
          <w:rFonts w:ascii="Times New Roman" w:hAnsi="Times New Roman" w:cs="Times New Roman"/>
          <w:sz w:val="24"/>
          <w:szCs w:val="24"/>
        </w:rPr>
        <w:t>obserw</w:t>
      </w:r>
      <w:r w:rsidR="00215A3F">
        <w:rPr>
          <w:rFonts w:ascii="Times New Roman" w:hAnsi="Times New Roman" w:cs="Times New Roman"/>
          <w:sz w:val="24"/>
          <w:szCs w:val="24"/>
        </w:rPr>
        <w:t>owaliśmy</w:t>
      </w:r>
      <w:r w:rsidR="00C23A0C">
        <w:rPr>
          <w:rFonts w:ascii="Times New Roman" w:hAnsi="Times New Roman" w:cs="Times New Roman"/>
          <w:sz w:val="24"/>
          <w:szCs w:val="24"/>
        </w:rPr>
        <w:t xml:space="preserve"> coraz bardziej znaczący wpływ jednego z podstawowych instrumentów WPR</w:t>
      </w:r>
      <w:r w:rsidR="00750607">
        <w:rPr>
          <w:rFonts w:ascii="Times New Roman" w:hAnsi="Times New Roman" w:cs="Times New Roman"/>
          <w:sz w:val="24"/>
          <w:szCs w:val="24"/>
        </w:rPr>
        <w:t>,</w:t>
      </w:r>
      <w:r w:rsidR="00C23A0C">
        <w:rPr>
          <w:rFonts w:ascii="Times New Roman" w:hAnsi="Times New Roman" w:cs="Times New Roman"/>
          <w:sz w:val="24"/>
          <w:szCs w:val="24"/>
        </w:rPr>
        <w:t xml:space="preserve"> </w:t>
      </w:r>
      <w:r w:rsidR="00750607">
        <w:rPr>
          <w:rFonts w:ascii="Times New Roman" w:hAnsi="Times New Roman" w:cs="Times New Roman"/>
          <w:sz w:val="24"/>
          <w:szCs w:val="24"/>
        </w:rPr>
        <w:t>jakim są płatności bezpośrednie na sytuację</w:t>
      </w:r>
      <w:r w:rsidR="00C23A0C">
        <w:rPr>
          <w:rFonts w:ascii="Times New Roman" w:hAnsi="Times New Roman" w:cs="Times New Roman"/>
          <w:sz w:val="24"/>
          <w:szCs w:val="24"/>
        </w:rPr>
        <w:t xml:space="preserve"> finansową spółdzielni. Od samego początku funkcjonowania mechanizmu dopłat</w:t>
      </w:r>
      <w:r w:rsidR="00215A3F">
        <w:rPr>
          <w:rFonts w:ascii="Times New Roman" w:hAnsi="Times New Roman" w:cs="Times New Roman"/>
          <w:sz w:val="24"/>
          <w:szCs w:val="24"/>
        </w:rPr>
        <w:t xml:space="preserve"> do gruntów rolnych</w:t>
      </w:r>
      <w:r w:rsidR="00C23A0C">
        <w:rPr>
          <w:rFonts w:ascii="Times New Roman" w:hAnsi="Times New Roman" w:cs="Times New Roman"/>
          <w:sz w:val="24"/>
          <w:szCs w:val="24"/>
        </w:rPr>
        <w:t xml:space="preserve"> w Polsce rok rocznie </w:t>
      </w:r>
      <w:r w:rsidR="00750607">
        <w:rPr>
          <w:rFonts w:ascii="Times New Roman" w:hAnsi="Times New Roman" w:cs="Times New Roman"/>
          <w:sz w:val="24"/>
          <w:szCs w:val="24"/>
        </w:rPr>
        <w:t xml:space="preserve">prowadził do </w:t>
      </w:r>
      <w:r w:rsidR="00C23A0C">
        <w:rPr>
          <w:rFonts w:ascii="Times New Roman" w:hAnsi="Times New Roman" w:cs="Times New Roman"/>
          <w:sz w:val="24"/>
          <w:szCs w:val="24"/>
        </w:rPr>
        <w:t>rosnąc</w:t>
      </w:r>
      <w:r w:rsidR="00750607">
        <w:rPr>
          <w:rFonts w:ascii="Times New Roman" w:hAnsi="Times New Roman" w:cs="Times New Roman"/>
          <w:sz w:val="24"/>
          <w:szCs w:val="24"/>
        </w:rPr>
        <w:t>ego</w:t>
      </w:r>
      <w:r w:rsidR="00C23A0C">
        <w:rPr>
          <w:rFonts w:ascii="Times New Roman" w:hAnsi="Times New Roman" w:cs="Times New Roman"/>
          <w:sz w:val="24"/>
          <w:szCs w:val="24"/>
        </w:rPr>
        <w:t xml:space="preserve"> ich udział</w:t>
      </w:r>
      <w:r w:rsidR="00750607">
        <w:rPr>
          <w:rFonts w:ascii="Times New Roman" w:hAnsi="Times New Roman" w:cs="Times New Roman"/>
          <w:sz w:val="24"/>
          <w:szCs w:val="24"/>
        </w:rPr>
        <w:t>u</w:t>
      </w:r>
      <w:r w:rsidR="00C23A0C">
        <w:rPr>
          <w:rFonts w:ascii="Times New Roman" w:hAnsi="Times New Roman" w:cs="Times New Roman"/>
          <w:sz w:val="24"/>
          <w:szCs w:val="24"/>
        </w:rPr>
        <w:t xml:space="preserve"> w dochodach gospodarstw, w tym również w RSP. W przypadku analizowanej zbiorowości spółdzielni warto przypomnieć</w:t>
      </w:r>
      <w:r w:rsidR="00C13334">
        <w:rPr>
          <w:rFonts w:ascii="Times New Roman" w:hAnsi="Times New Roman" w:cs="Times New Roman"/>
          <w:sz w:val="24"/>
          <w:szCs w:val="24"/>
        </w:rPr>
        <w:t>,</w:t>
      </w:r>
      <w:r w:rsidR="00C23A0C">
        <w:rPr>
          <w:rFonts w:ascii="Times New Roman" w:hAnsi="Times New Roman" w:cs="Times New Roman"/>
          <w:sz w:val="24"/>
          <w:szCs w:val="24"/>
        </w:rPr>
        <w:t xml:space="preserve"> że na początku</w:t>
      </w:r>
      <w:r w:rsidR="00215A3F">
        <w:rPr>
          <w:rFonts w:ascii="Times New Roman" w:hAnsi="Times New Roman" w:cs="Times New Roman"/>
          <w:sz w:val="24"/>
          <w:szCs w:val="24"/>
        </w:rPr>
        <w:t xml:space="preserve"> udział ten nie przekraczał </w:t>
      </w:r>
      <w:r w:rsidR="00C23A0C">
        <w:rPr>
          <w:rFonts w:ascii="Times New Roman" w:hAnsi="Times New Roman" w:cs="Times New Roman"/>
          <w:sz w:val="24"/>
          <w:szCs w:val="24"/>
        </w:rPr>
        <w:t>30% dochodu</w:t>
      </w:r>
      <w:r w:rsidR="00750607">
        <w:rPr>
          <w:rFonts w:ascii="Times New Roman" w:hAnsi="Times New Roman" w:cs="Times New Roman"/>
          <w:sz w:val="24"/>
          <w:szCs w:val="24"/>
        </w:rPr>
        <w:t>,</w:t>
      </w:r>
      <w:r w:rsidR="00C23A0C">
        <w:rPr>
          <w:rFonts w:ascii="Times New Roman" w:hAnsi="Times New Roman" w:cs="Times New Roman"/>
          <w:sz w:val="24"/>
          <w:szCs w:val="24"/>
        </w:rPr>
        <w:t xml:space="preserve"> jaki wypracow</w:t>
      </w:r>
      <w:r w:rsidR="00215A3F">
        <w:rPr>
          <w:rFonts w:ascii="Times New Roman" w:hAnsi="Times New Roman" w:cs="Times New Roman"/>
          <w:sz w:val="24"/>
          <w:szCs w:val="24"/>
        </w:rPr>
        <w:t xml:space="preserve">ali członkowie, po 2009 roku udział ten przekroczył już 50% i </w:t>
      </w:r>
      <w:r w:rsidR="00AE5FCA">
        <w:rPr>
          <w:rFonts w:ascii="Times New Roman" w:hAnsi="Times New Roman" w:cs="Times New Roman"/>
          <w:sz w:val="24"/>
          <w:szCs w:val="24"/>
        </w:rPr>
        <w:t>można powiedzieć</w:t>
      </w:r>
      <w:r w:rsidR="00C13334">
        <w:rPr>
          <w:rFonts w:ascii="Times New Roman" w:hAnsi="Times New Roman" w:cs="Times New Roman"/>
          <w:sz w:val="24"/>
          <w:szCs w:val="24"/>
        </w:rPr>
        <w:t>, iż</w:t>
      </w:r>
      <w:r w:rsidR="00AE5FCA">
        <w:rPr>
          <w:rFonts w:ascii="Times New Roman" w:hAnsi="Times New Roman" w:cs="Times New Roman"/>
          <w:sz w:val="24"/>
          <w:szCs w:val="24"/>
        </w:rPr>
        <w:t xml:space="preserve"> utrzymuje się na zbliżonym poziomie, gdyż w 2011 </w:t>
      </w:r>
      <w:r w:rsidR="00AE5FCA" w:rsidRPr="0017186B">
        <w:rPr>
          <w:rFonts w:ascii="Times New Roman" w:hAnsi="Times New Roman" w:cs="Times New Roman"/>
          <w:sz w:val="24"/>
          <w:szCs w:val="24"/>
        </w:rPr>
        <w:t>roku wyniósł on 46%</w:t>
      </w:r>
      <w:r w:rsidR="00215A3F" w:rsidRPr="0017186B">
        <w:rPr>
          <w:rFonts w:ascii="Times New Roman" w:hAnsi="Times New Roman" w:cs="Times New Roman"/>
          <w:sz w:val="24"/>
          <w:szCs w:val="24"/>
        </w:rPr>
        <w:t>. Choć</w:t>
      </w:r>
      <w:r w:rsidR="00215A3F" w:rsidRPr="008976C4">
        <w:rPr>
          <w:rFonts w:ascii="Times New Roman" w:hAnsi="Times New Roman" w:cs="Times New Roman"/>
          <w:sz w:val="24"/>
          <w:szCs w:val="24"/>
        </w:rPr>
        <w:t xml:space="preserve"> już wielokrotnie przy okazji rankingu było to zjawisko przedmiotem rozważań, wydaje się</w:t>
      </w:r>
      <w:r w:rsidR="00750607">
        <w:rPr>
          <w:rFonts w:ascii="Times New Roman" w:hAnsi="Times New Roman" w:cs="Times New Roman"/>
          <w:sz w:val="24"/>
          <w:szCs w:val="24"/>
        </w:rPr>
        <w:t>,</w:t>
      </w:r>
      <w:r w:rsidR="00215A3F" w:rsidRPr="008976C4">
        <w:rPr>
          <w:rFonts w:ascii="Times New Roman" w:hAnsi="Times New Roman" w:cs="Times New Roman"/>
          <w:sz w:val="24"/>
          <w:szCs w:val="24"/>
        </w:rPr>
        <w:t xml:space="preserve"> że </w:t>
      </w:r>
      <w:r w:rsidR="00B85355">
        <w:rPr>
          <w:rFonts w:ascii="Times New Roman" w:hAnsi="Times New Roman" w:cs="Times New Roman"/>
          <w:sz w:val="24"/>
          <w:szCs w:val="24"/>
        </w:rPr>
        <w:t xml:space="preserve">nie można </w:t>
      </w:r>
      <w:r w:rsidR="0017186B">
        <w:rPr>
          <w:rFonts w:ascii="Times New Roman" w:hAnsi="Times New Roman" w:cs="Times New Roman"/>
          <w:sz w:val="24"/>
          <w:szCs w:val="24"/>
        </w:rPr>
        <w:t>tej prawidłowości</w:t>
      </w:r>
      <w:r w:rsidR="00B85355">
        <w:rPr>
          <w:rFonts w:ascii="Times New Roman" w:hAnsi="Times New Roman" w:cs="Times New Roman"/>
          <w:sz w:val="24"/>
          <w:szCs w:val="24"/>
        </w:rPr>
        <w:t xml:space="preserve"> zbagatelizować</w:t>
      </w:r>
      <w:r w:rsidR="00215A3F" w:rsidRPr="008976C4">
        <w:rPr>
          <w:rFonts w:ascii="Times New Roman" w:hAnsi="Times New Roman" w:cs="Times New Roman"/>
          <w:sz w:val="24"/>
          <w:szCs w:val="24"/>
        </w:rPr>
        <w:t xml:space="preserve">, </w:t>
      </w:r>
      <w:r w:rsidR="008976C4" w:rsidRPr="008976C4">
        <w:rPr>
          <w:rFonts w:ascii="Times New Roman" w:hAnsi="Times New Roman" w:cs="Times New Roman"/>
          <w:sz w:val="24"/>
          <w:szCs w:val="24"/>
        </w:rPr>
        <w:t xml:space="preserve">zwłaszcza że możemy tu już mówić o </w:t>
      </w:r>
      <w:r w:rsidR="00B85355">
        <w:rPr>
          <w:rFonts w:ascii="Times New Roman" w:hAnsi="Times New Roman" w:cs="Times New Roman"/>
          <w:sz w:val="24"/>
          <w:szCs w:val="24"/>
        </w:rPr>
        <w:t>znaczącym</w:t>
      </w:r>
      <w:r w:rsidR="008976C4" w:rsidRPr="008976C4">
        <w:rPr>
          <w:rFonts w:ascii="Times New Roman" w:hAnsi="Times New Roman" w:cs="Times New Roman"/>
          <w:sz w:val="24"/>
          <w:szCs w:val="24"/>
        </w:rPr>
        <w:t xml:space="preserve"> uzależnieniu</w:t>
      </w:r>
      <w:r w:rsidR="00B85355">
        <w:rPr>
          <w:rFonts w:ascii="Times New Roman" w:hAnsi="Times New Roman" w:cs="Times New Roman"/>
          <w:sz w:val="24"/>
          <w:szCs w:val="24"/>
        </w:rPr>
        <w:t xml:space="preserve"> działalności</w:t>
      </w:r>
      <w:r w:rsidR="008976C4" w:rsidRPr="008976C4">
        <w:rPr>
          <w:rFonts w:ascii="Times New Roman" w:hAnsi="Times New Roman" w:cs="Times New Roman"/>
          <w:sz w:val="24"/>
          <w:szCs w:val="24"/>
        </w:rPr>
        <w:t xml:space="preserve"> spółdzielni od uzyskiwanych subwencji</w:t>
      </w:r>
      <w:r w:rsidR="00215A3F" w:rsidRPr="008976C4">
        <w:rPr>
          <w:rFonts w:ascii="Times New Roman" w:hAnsi="Times New Roman" w:cs="Times New Roman"/>
          <w:sz w:val="24"/>
          <w:szCs w:val="24"/>
        </w:rPr>
        <w:t xml:space="preserve">. </w:t>
      </w:r>
      <w:r w:rsidR="008976C4" w:rsidRPr="008976C4">
        <w:rPr>
          <w:rFonts w:ascii="Times New Roman" w:hAnsi="Times New Roman" w:cs="Times New Roman"/>
          <w:sz w:val="24"/>
          <w:szCs w:val="24"/>
        </w:rPr>
        <w:t xml:space="preserve">Co prawda, mimo fiaska rozmów państw </w:t>
      </w:r>
      <w:r w:rsidR="00750607">
        <w:rPr>
          <w:rFonts w:ascii="Times New Roman" w:hAnsi="Times New Roman" w:cs="Times New Roman"/>
          <w:sz w:val="24"/>
          <w:szCs w:val="24"/>
        </w:rPr>
        <w:t>– członków UE</w:t>
      </w:r>
      <w:r w:rsidR="008976C4" w:rsidRPr="008976C4">
        <w:rPr>
          <w:rFonts w:ascii="Times New Roman" w:hAnsi="Times New Roman" w:cs="Times New Roman"/>
          <w:sz w:val="24"/>
          <w:szCs w:val="24"/>
        </w:rPr>
        <w:t xml:space="preserve"> co dokształtu budżetu na lata</w:t>
      </w:r>
      <w:r w:rsidR="00C13334">
        <w:rPr>
          <w:rFonts w:ascii="Times New Roman" w:hAnsi="Times New Roman" w:cs="Times New Roman"/>
          <w:sz w:val="24"/>
          <w:szCs w:val="24"/>
        </w:rPr>
        <w:t xml:space="preserve"> 2014-2020</w:t>
      </w:r>
      <w:r w:rsidR="00B85355">
        <w:rPr>
          <w:rFonts w:ascii="Times New Roman" w:hAnsi="Times New Roman" w:cs="Times New Roman"/>
          <w:sz w:val="24"/>
          <w:szCs w:val="24"/>
        </w:rPr>
        <w:t>,</w:t>
      </w:r>
      <w:r w:rsidR="008976C4" w:rsidRPr="008976C4">
        <w:rPr>
          <w:rFonts w:ascii="Times New Roman" w:hAnsi="Times New Roman" w:cs="Times New Roman"/>
          <w:sz w:val="24"/>
          <w:szCs w:val="24"/>
        </w:rPr>
        <w:t xml:space="preserve"> jego kształt w główniej mierze zdaje się być przesądzony, a więc nie należy się obawiać szoku</w:t>
      </w:r>
      <w:r w:rsidR="00750607">
        <w:rPr>
          <w:rFonts w:ascii="Times New Roman" w:hAnsi="Times New Roman" w:cs="Times New Roman"/>
          <w:sz w:val="24"/>
          <w:szCs w:val="24"/>
        </w:rPr>
        <w:t>,</w:t>
      </w:r>
      <w:r w:rsidR="008976C4" w:rsidRPr="008976C4">
        <w:rPr>
          <w:rFonts w:ascii="Times New Roman" w:hAnsi="Times New Roman" w:cs="Times New Roman"/>
          <w:sz w:val="24"/>
          <w:szCs w:val="24"/>
        </w:rPr>
        <w:t xml:space="preserve"> jakiego mogły by doznać RSP</w:t>
      </w:r>
      <w:r w:rsidR="00C13334">
        <w:rPr>
          <w:rFonts w:ascii="Times New Roman" w:hAnsi="Times New Roman" w:cs="Times New Roman"/>
          <w:sz w:val="24"/>
          <w:szCs w:val="24"/>
        </w:rPr>
        <w:t xml:space="preserve"> w</w:t>
      </w:r>
      <w:r w:rsidR="008976C4" w:rsidRPr="008976C4">
        <w:rPr>
          <w:rFonts w:ascii="Times New Roman" w:hAnsi="Times New Roman" w:cs="Times New Roman"/>
          <w:sz w:val="24"/>
          <w:szCs w:val="24"/>
        </w:rPr>
        <w:t xml:space="preserve"> związku z </w:t>
      </w:r>
      <w:r w:rsidR="00750607">
        <w:rPr>
          <w:rFonts w:ascii="Times New Roman" w:hAnsi="Times New Roman" w:cs="Times New Roman"/>
          <w:sz w:val="24"/>
          <w:szCs w:val="24"/>
        </w:rPr>
        <w:t xml:space="preserve">gwałtownym </w:t>
      </w:r>
      <w:r w:rsidR="008976C4" w:rsidRPr="008976C4">
        <w:rPr>
          <w:rFonts w:ascii="Times New Roman" w:hAnsi="Times New Roman" w:cs="Times New Roman"/>
          <w:sz w:val="24"/>
          <w:szCs w:val="24"/>
        </w:rPr>
        <w:t>zaprzestaniem subwencjonowania rolnictwa w UE. Warto jednak nieustanie przypominać</w:t>
      </w:r>
      <w:r w:rsidR="00C13334">
        <w:rPr>
          <w:rFonts w:ascii="Times New Roman" w:hAnsi="Times New Roman" w:cs="Times New Roman"/>
          <w:sz w:val="24"/>
          <w:szCs w:val="24"/>
        </w:rPr>
        <w:t>,</w:t>
      </w:r>
      <w:r w:rsidR="008976C4" w:rsidRPr="008976C4">
        <w:rPr>
          <w:rFonts w:ascii="Times New Roman" w:hAnsi="Times New Roman" w:cs="Times New Roman"/>
          <w:sz w:val="24"/>
          <w:szCs w:val="24"/>
        </w:rPr>
        <w:t xml:space="preserve"> że taki system pomocy dla gospodarstw niesie z</w:t>
      </w:r>
      <w:r w:rsidR="00750607">
        <w:rPr>
          <w:rFonts w:ascii="Times New Roman" w:hAnsi="Times New Roman" w:cs="Times New Roman"/>
          <w:sz w:val="24"/>
          <w:szCs w:val="24"/>
        </w:rPr>
        <w:t>e</w:t>
      </w:r>
      <w:r w:rsidR="008976C4" w:rsidRPr="008976C4">
        <w:rPr>
          <w:rFonts w:ascii="Times New Roman" w:hAnsi="Times New Roman" w:cs="Times New Roman"/>
          <w:sz w:val="24"/>
          <w:szCs w:val="24"/>
        </w:rPr>
        <w:t xml:space="preserve"> sobą również </w:t>
      </w:r>
      <w:r w:rsidR="008976C4">
        <w:rPr>
          <w:rFonts w:ascii="Times New Roman" w:hAnsi="Times New Roman" w:cs="Times New Roman"/>
          <w:sz w:val="24"/>
          <w:szCs w:val="24"/>
        </w:rPr>
        <w:t>i niedoskonałośc</w:t>
      </w:r>
      <w:r w:rsidR="004B7D92">
        <w:rPr>
          <w:rFonts w:ascii="Times New Roman" w:hAnsi="Times New Roman" w:cs="Times New Roman"/>
          <w:sz w:val="24"/>
          <w:szCs w:val="24"/>
        </w:rPr>
        <w:t>i</w:t>
      </w:r>
      <w:r w:rsidR="00750607">
        <w:rPr>
          <w:rFonts w:ascii="Times New Roman" w:hAnsi="Times New Roman" w:cs="Times New Roman"/>
          <w:sz w:val="24"/>
          <w:szCs w:val="24"/>
        </w:rPr>
        <w:t>,</w:t>
      </w:r>
      <w:r w:rsidR="004B7D92">
        <w:rPr>
          <w:rFonts w:ascii="Times New Roman" w:hAnsi="Times New Roman" w:cs="Times New Roman"/>
          <w:sz w:val="24"/>
          <w:szCs w:val="24"/>
        </w:rPr>
        <w:t xml:space="preserve"> chociażby w postaci </w:t>
      </w:r>
      <w:r w:rsidR="000B0A47">
        <w:rPr>
          <w:rFonts w:ascii="Times New Roman" w:hAnsi="Times New Roman" w:cs="Times New Roman"/>
          <w:sz w:val="24"/>
          <w:szCs w:val="24"/>
        </w:rPr>
        <w:t xml:space="preserve">zachwiania konkurencyjności </w:t>
      </w:r>
      <w:r w:rsidR="00A65AFD">
        <w:rPr>
          <w:rFonts w:ascii="Times New Roman" w:hAnsi="Times New Roman" w:cs="Times New Roman"/>
          <w:sz w:val="24"/>
          <w:szCs w:val="24"/>
        </w:rPr>
        <w:t xml:space="preserve">nawet </w:t>
      </w:r>
      <w:r w:rsidR="00C13334">
        <w:rPr>
          <w:rFonts w:ascii="Times New Roman" w:hAnsi="Times New Roman" w:cs="Times New Roman"/>
          <w:sz w:val="24"/>
          <w:szCs w:val="24"/>
        </w:rPr>
        <w:t>i</w:t>
      </w:r>
      <w:r w:rsidR="00A65AFD">
        <w:rPr>
          <w:rFonts w:ascii="Times New Roman" w:hAnsi="Times New Roman" w:cs="Times New Roman"/>
          <w:sz w:val="24"/>
          <w:szCs w:val="24"/>
        </w:rPr>
        <w:t xml:space="preserve"> wewnątrz </w:t>
      </w:r>
      <w:r w:rsidR="00C13334">
        <w:rPr>
          <w:rFonts w:ascii="Times New Roman" w:hAnsi="Times New Roman" w:cs="Times New Roman"/>
          <w:sz w:val="24"/>
          <w:szCs w:val="24"/>
        </w:rPr>
        <w:t xml:space="preserve">samej </w:t>
      </w:r>
      <w:r w:rsidR="00750607">
        <w:rPr>
          <w:rFonts w:ascii="Times New Roman" w:hAnsi="Times New Roman" w:cs="Times New Roman"/>
          <w:sz w:val="24"/>
          <w:szCs w:val="24"/>
        </w:rPr>
        <w:t>W</w:t>
      </w:r>
      <w:r w:rsidR="00A65AFD">
        <w:rPr>
          <w:rFonts w:ascii="Times New Roman" w:hAnsi="Times New Roman" w:cs="Times New Roman"/>
          <w:sz w:val="24"/>
          <w:szCs w:val="24"/>
        </w:rPr>
        <w:t xml:space="preserve">spólnoty oraz </w:t>
      </w:r>
      <w:r w:rsidR="00B85355">
        <w:rPr>
          <w:rFonts w:ascii="Times New Roman" w:hAnsi="Times New Roman" w:cs="Times New Roman"/>
          <w:sz w:val="24"/>
          <w:szCs w:val="24"/>
        </w:rPr>
        <w:t xml:space="preserve">ciągle </w:t>
      </w:r>
      <w:r w:rsidR="00451511">
        <w:rPr>
          <w:rFonts w:ascii="Times New Roman" w:hAnsi="Times New Roman" w:cs="Times New Roman"/>
          <w:sz w:val="24"/>
          <w:szCs w:val="24"/>
        </w:rPr>
        <w:t>rosnących</w:t>
      </w:r>
      <w:r w:rsidR="00A65AFD">
        <w:rPr>
          <w:rFonts w:ascii="Times New Roman" w:hAnsi="Times New Roman" w:cs="Times New Roman"/>
          <w:sz w:val="24"/>
          <w:szCs w:val="24"/>
        </w:rPr>
        <w:t xml:space="preserve"> kosztów </w:t>
      </w:r>
      <w:r w:rsidR="00750607">
        <w:rPr>
          <w:rFonts w:ascii="Times New Roman" w:hAnsi="Times New Roman" w:cs="Times New Roman"/>
          <w:sz w:val="24"/>
          <w:szCs w:val="24"/>
        </w:rPr>
        <w:t xml:space="preserve">administracyjnych i transakcyjnych </w:t>
      </w:r>
      <w:r w:rsidR="00451511">
        <w:rPr>
          <w:rFonts w:ascii="Times New Roman" w:hAnsi="Times New Roman" w:cs="Times New Roman"/>
          <w:sz w:val="24"/>
          <w:szCs w:val="24"/>
        </w:rPr>
        <w:t>nieodłącznie związanych</w:t>
      </w:r>
      <w:r w:rsidR="00AF4623">
        <w:rPr>
          <w:rFonts w:ascii="Times New Roman" w:hAnsi="Times New Roman" w:cs="Times New Roman"/>
          <w:sz w:val="24"/>
          <w:szCs w:val="24"/>
        </w:rPr>
        <w:t xml:space="preserve"> z subsydiowaniem</w:t>
      </w:r>
      <w:r w:rsidR="00A65AFD">
        <w:rPr>
          <w:rFonts w:ascii="Times New Roman" w:hAnsi="Times New Roman" w:cs="Times New Roman"/>
          <w:sz w:val="24"/>
          <w:szCs w:val="24"/>
        </w:rPr>
        <w:t>.</w:t>
      </w:r>
    </w:p>
    <w:p w:rsidR="00A65AFD" w:rsidRDefault="00A65AFD" w:rsidP="007C4E34">
      <w:pPr>
        <w:spacing w:after="120"/>
        <w:ind w:firstLine="709"/>
        <w:jc w:val="both"/>
        <w:rPr>
          <w:rFonts w:ascii="Times New Roman" w:hAnsi="Times New Roman" w:cs="Times New Roman"/>
          <w:sz w:val="24"/>
          <w:szCs w:val="24"/>
        </w:rPr>
      </w:pPr>
      <w:r>
        <w:rPr>
          <w:rFonts w:ascii="Times New Roman" w:hAnsi="Times New Roman" w:cs="Times New Roman"/>
          <w:sz w:val="24"/>
          <w:szCs w:val="24"/>
        </w:rPr>
        <w:t>Znacząca poprawa wyników w rolniczych spółdzielniach w latach 2009-2011 nie spowodowała zatrzymania procesu ubytku ziemi z tej grupy gospodarst</w:t>
      </w:r>
      <w:r w:rsidR="001B13AC">
        <w:rPr>
          <w:rFonts w:ascii="Times New Roman" w:hAnsi="Times New Roman" w:cs="Times New Roman"/>
          <w:sz w:val="24"/>
          <w:szCs w:val="24"/>
        </w:rPr>
        <w:t>w. To zjawisko</w:t>
      </w:r>
      <w:r w:rsidR="00AF4623">
        <w:rPr>
          <w:rFonts w:ascii="Times New Roman" w:hAnsi="Times New Roman" w:cs="Times New Roman"/>
          <w:sz w:val="24"/>
          <w:szCs w:val="24"/>
        </w:rPr>
        <w:t>,</w:t>
      </w:r>
      <w:r w:rsidR="001B13AC">
        <w:rPr>
          <w:rFonts w:ascii="Times New Roman" w:hAnsi="Times New Roman" w:cs="Times New Roman"/>
          <w:sz w:val="24"/>
          <w:szCs w:val="24"/>
        </w:rPr>
        <w:t xml:space="preserve"> choć bardzo ograniczone od momentu przystąpienia do UE, jest widoczne w analizie rok rocznie</w:t>
      </w:r>
      <w:r w:rsidR="00AF4623">
        <w:rPr>
          <w:rFonts w:ascii="Times New Roman" w:hAnsi="Times New Roman" w:cs="Times New Roman"/>
          <w:sz w:val="24"/>
          <w:szCs w:val="24"/>
        </w:rPr>
        <w:t>,</w:t>
      </w:r>
      <w:r w:rsidR="001B13AC">
        <w:rPr>
          <w:rFonts w:ascii="Times New Roman" w:hAnsi="Times New Roman" w:cs="Times New Roman"/>
          <w:sz w:val="24"/>
          <w:szCs w:val="24"/>
        </w:rPr>
        <w:t xml:space="preserve"> a w 2011 roku wyraźnie przybrało na sile. W 2011 roku przeciętnie ze spółdzielni</w:t>
      </w:r>
      <w:r w:rsidR="006F5D81">
        <w:rPr>
          <w:rFonts w:ascii="Times New Roman" w:hAnsi="Times New Roman" w:cs="Times New Roman"/>
          <w:sz w:val="24"/>
          <w:szCs w:val="24"/>
        </w:rPr>
        <w:t>,</w:t>
      </w:r>
      <w:r w:rsidR="001B13AC">
        <w:rPr>
          <w:rFonts w:ascii="Times New Roman" w:hAnsi="Times New Roman" w:cs="Times New Roman"/>
          <w:sz w:val="24"/>
          <w:szCs w:val="24"/>
        </w:rPr>
        <w:t xml:space="preserve"> w stosunku do roku 2009</w:t>
      </w:r>
      <w:r w:rsidR="00AF4623">
        <w:rPr>
          <w:rFonts w:ascii="Times New Roman" w:hAnsi="Times New Roman" w:cs="Times New Roman"/>
          <w:sz w:val="24"/>
          <w:szCs w:val="24"/>
        </w:rPr>
        <w:t>,</w:t>
      </w:r>
      <w:r w:rsidR="001B13AC">
        <w:rPr>
          <w:rFonts w:ascii="Times New Roman" w:hAnsi="Times New Roman" w:cs="Times New Roman"/>
          <w:sz w:val="24"/>
          <w:szCs w:val="24"/>
        </w:rPr>
        <w:t xml:space="preserve"> ubyło 7 ha użytków rolnych (około 1,2%), przy czym aż 5</w:t>
      </w:r>
      <w:r w:rsidR="00451511">
        <w:rPr>
          <w:rFonts w:ascii="Times New Roman" w:hAnsi="Times New Roman" w:cs="Times New Roman"/>
          <w:sz w:val="24"/>
          <w:szCs w:val="24"/>
        </w:rPr>
        <w:t xml:space="preserve"> </w:t>
      </w:r>
      <w:r w:rsidR="001B13AC">
        <w:rPr>
          <w:rFonts w:ascii="Times New Roman" w:hAnsi="Times New Roman" w:cs="Times New Roman"/>
          <w:sz w:val="24"/>
          <w:szCs w:val="24"/>
        </w:rPr>
        <w:t>ha z tych 7</w:t>
      </w:r>
      <w:r w:rsidR="006F5D81">
        <w:rPr>
          <w:rFonts w:ascii="Times New Roman" w:hAnsi="Times New Roman" w:cs="Times New Roman"/>
          <w:sz w:val="24"/>
          <w:szCs w:val="24"/>
        </w:rPr>
        <w:t xml:space="preserve"> ha ubyło właśnie w 2011 r.</w:t>
      </w:r>
      <w:r w:rsidR="004604F5">
        <w:rPr>
          <w:rFonts w:ascii="Times New Roman" w:hAnsi="Times New Roman" w:cs="Times New Roman"/>
          <w:sz w:val="24"/>
          <w:szCs w:val="24"/>
        </w:rPr>
        <w:t xml:space="preserve"> Należy przy tym zaznaczyć, że nie wszystkie spółdzielnie ograniczały </w:t>
      </w:r>
      <w:r w:rsidR="004604F5" w:rsidRPr="0017186B">
        <w:rPr>
          <w:rFonts w:ascii="Times New Roman" w:hAnsi="Times New Roman" w:cs="Times New Roman"/>
          <w:sz w:val="24"/>
          <w:szCs w:val="24"/>
        </w:rPr>
        <w:t>zasoby ziemi. W 2011 roku RSP</w:t>
      </w:r>
      <w:r w:rsidR="006F5D81">
        <w:rPr>
          <w:rFonts w:ascii="Times New Roman" w:hAnsi="Times New Roman" w:cs="Times New Roman"/>
          <w:sz w:val="24"/>
          <w:szCs w:val="24"/>
        </w:rPr>
        <w:t>,</w:t>
      </w:r>
      <w:r w:rsidR="004604F5" w:rsidRPr="0017186B">
        <w:rPr>
          <w:rFonts w:ascii="Times New Roman" w:hAnsi="Times New Roman" w:cs="Times New Roman"/>
          <w:sz w:val="24"/>
          <w:szCs w:val="24"/>
        </w:rPr>
        <w:t xml:space="preserve"> które powiększyły obszar</w:t>
      </w:r>
      <w:r w:rsidR="00AF4623">
        <w:rPr>
          <w:rFonts w:ascii="Times New Roman" w:hAnsi="Times New Roman" w:cs="Times New Roman"/>
          <w:sz w:val="24"/>
          <w:szCs w:val="24"/>
        </w:rPr>
        <w:t>,</w:t>
      </w:r>
      <w:r w:rsidR="004604F5" w:rsidRPr="0017186B">
        <w:rPr>
          <w:rFonts w:ascii="Times New Roman" w:hAnsi="Times New Roman" w:cs="Times New Roman"/>
          <w:sz w:val="24"/>
          <w:szCs w:val="24"/>
        </w:rPr>
        <w:t xml:space="preserve"> stanowiły </w:t>
      </w:r>
      <w:r w:rsidR="0017186B" w:rsidRPr="0017186B">
        <w:rPr>
          <w:rFonts w:ascii="Times New Roman" w:hAnsi="Times New Roman" w:cs="Times New Roman"/>
          <w:sz w:val="24"/>
          <w:szCs w:val="24"/>
        </w:rPr>
        <w:t>21%</w:t>
      </w:r>
      <w:r w:rsidR="004604F5" w:rsidRPr="0017186B">
        <w:rPr>
          <w:rFonts w:ascii="Times New Roman" w:hAnsi="Times New Roman" w:cs="Times New Roman"/>
          <w:sz w:val="24"/>
          <w:szCs w:val="24"/>
        </w:rPr>
        <w:t xml:space="preserve"> zbior</w:t>
      </w:r>
      <w:r w:rsidR="00AF4623">
        <w:rPr>
          <w:rFonts w:ascii="Times New Roman" w:hAnsi="Times New Roman" w:cs="Times New Roman"/>
          <w:sz w:val="24"/>
          <w:szCs w:val="24"/>
        </w:rPr>
        <w:t>owości. K</w:t>
      </w:r>
      <w:r w:rsidR="004604F5" w:rsidRPr="0017186B">
        <w:rPr>
          <w:rFonts w:ascii="Times New Roman" w:hAnsi="Times New Roman" w:cs="Times New Roman"/>
          <w:sz w:val="24"/>
          <w:szCs w:val="24"/>
        </w:rPr>
        <w:t>olejn</w:t>
      </w:r>
      <w:r w:rsidR="0017186B" w:rsidRPr="0017186B">
        <w:rPr>
          <w:rFonts w:ascii="Times New Roman" w:hAnsi="Times New Roman" w:cs="Times New Roman"/>
          <w:sz w:val="24"/>
          <w:szCs w:val="24"/>
        </w:rPr>
        <w:t>a znacząca grupa to</w:t>
      </w:r>
      <w:r w:rsidR="004604F5" w:rsidRPr="0017186B">
        <w:rPr>
          <w:rFonts w:ascii="Times New Roman" w:hAnsi="Times New Roman" w:cs="Times New Roman"/>
          <w:sz w:val="24"/>
          <w:szCs w:val="24"/>
        </w:rPr>
        <w:t xml:space="preserve"> spółdzielnie</w:t>
      </w:r>
      <w:r w:rsidR="006F5D81">
        <w:rPr>
          <w:rFonts w:ascii="Times New Roman" w:hAnsi="Times New Roman" w:cs="Times New Roman"/>
          <w:sz w:val="24"/>
          <w:szCs w:val="24"/>
        </w:rPr>
        <w:t>,</w:t>
      </w:r>
      <w:r w:rsidR="004604F5" w:rsidRPr="0017186B">
        <w:rPr>
          <w:rFonts w:ascii="Times New Roman" w:hAnsi="Times New Roman" w:cs="Times New Roman"/>
          <w:sz w:val="24"/>
          <w:szCs w:val="24"/>
        </w:rPr>
        <w:t xml:space="preserve"> które utrzymały areał posiadanych użytków bez zmian</w:t>
      </w:r>
      <w:r w:rsidR="00AF4623">
        <w:rPr>
          <w:rFonts w:ascii="Times New Roman" w:hAnsi="Times New Roman" w:cs="Times New Roman"/>
          <w:sz w:val="24"/>
          <w:szCs w:val="24"/>
        </w:rPr>
        <w:t>;</w:t>
      </w:r>
      <w:r w:rsidR="0017186B" w:rsidRPr="0017186B">
        <w:rPr>
          <w:rFonts w:ascii="Times New Roman" w:hAnsi="Times New Roman" w:cs="Times New Roman"/>
          <w:sz w:val="24"/>
          <w:szCs w:val="24"/>
        </w:rPr>
        <w:t xml:space="preserve"> było ich w 2011 roku 38%.</w:t>
      </w:r>
      <w:r w:rsidR="00BB6836" w:rsidRPr="0017186B">
        <w:rPr>
          <w:rFonts w:ascii="Times New Roman" w:hAnsi="Times New Roman" w:cs="Times New Roman"/>
          <w:sz w:val="24"/>
          <w:szCs w:val="24"/>
        </w:rPr>
        <w:t xml:space="preserve"> </w:t>
      </w:r>
      <w:r w:rsidR="0017186B" w:rsidRPr="0017186B">
        <w:rPr>
          <w:rFonts w:ascii="Times New Roman" w:hAnsi="Times New Roman" w:cs="Times New Roman"/>
          <w:sz w:val="24"/>
          <w:szCs w:val="24"/>
        </w:rPr>
        <w:t>Pozostała największa zbiorowość spółdzielni (41</w:t>
      </w:r>
      <w:r w:rsidR="00BB6836" w:rsidRPr="0017186B">
        <w:rPr>
          <w:rFonts w:ascii="Times New Roman" w:hAnsi="Times New Roman" w:cs="Times New Roman"/>
          <w:sz w:val="24"/>
          <w:szCs w:val="24"/>
        </w:rPr>
        <w:t>%</w:t>
      </w:r>
      <w:r w:rsidR="0017186B" w:rsidRPr="0017186B">
        <w:rPr>
          <w:rFonts w:ascii="Times New Roman" w:hAnsi="Times New Roman" w:cs="Times New Roman"/>
          <w:sz w:val="24"/>
          <w:szCs w:val="24"/>
        </w:rPr>
        <w:t>) to te</w:t>
      </w:r>
      <w:r w:rsidR="006F5D81">
        <w:rPr>
          <w:rFonts w:ascii="Times New Roman" w:hAnsi="Times New Roman" w:cs="Times New Roman"/>
          <w:sz w:val="24"/>
          <w:szCs w:val="24"/>
        </w:rPr>
        <w:t>,</w:t>
      </w:r>
      <w:r w:rsidR="0017186B" w:rsidRPr="0017186B">
        <w:rPr>
          <w:rFonts w:ascii="Times New Roman" w:hAnsi="Times New Roman" w:cs="Times New Roman"/>
          <w:sz w:val="24"/>
          <w:szCs w:val="24"/>
        </w:rPr>
        <w:t xml:space="preserve"> które swój</w:t>
      </w:r>
      <w:r w:rsidR="00BB6836" w:rsidRPr="0017186B">
        <w:rPr>
          <w:rFonts w:ascii="Times New Roman" w:hAnsi="Times New Roman" w:cs="Times New Roman"/>
          <w:sz w:val="24"/>
          <w:szCs w:val="24"/>
        </w:rPr>
        <w:t xml:space="preserve"> obszar ograniczyły. </w:t>
      </w:r>
      <w:r w:rsidR="006E139D">
        <w:rPr>
          <w:rFonts w:ascii="Times New Roman" w:hAnsi="Times New Roman" w:cs="Times New Roman"/>
          <w:sz w:val="24"/>
          <w:szCs w:val="24"/>
        </w:rPr>
        <w:t>Przy czym d</w:t>
      </w:r>
      <w:r w:rsidR="00BB6836" w:rsidRPr="0017186B">
        <w:rPr>
          <w:rFonts w:ascii="Times New Roman" w:hAnsi="Times New Roman" w:cs="Times New Roman"/>
          <w:sz w:val="24"/>
          <w:szCs w:val="24"/>
        </w:rPr>
        <w:t>okładniejsza</w:t>
      </w:r>
      <w:r w:rsidR="00BB6836">
        <w:rPr>
          <w:rFonts w:ascii="Times New Roman" w:hAnsi="Times New Roman" w:cs="Times New Roman"/>
          <w:sz w:val="24"/>
          <w:szCs w:val="24"/>
        </w:rPr>
        <w:t xml:space="preserve"> analiza RSP ograniczających obszar wykazała, iż spółdzielni przeprowadzający</w:t>
      </w:r>
      <w:r w:rsidR="00AF4623">
        <w:rPr>
          <w:rFonts w:ascii="Times New Roman" w:hAnsi="Times New Roman" w:cs="Times New Roman"/>
          <w:sz w:val="24"/>
          <w:szCs w:val="24"/>
        </w:rPr>
        <w:t>ch</w:t>
      </w:r>
      <w:r w:rsidR="00BB6836">
        <w:rPr>
          <w:rFonts w:ascii="Times New Roman" w:hAnsi="Times New Roman" w:cs="Times New Roman"/>
          <w:sz w:val="24"/>
          <w:szCs w:val="24"/>
        </w:rPr>
        <w:t xml:space="preserve"> znaczące redukcje (powyżej 10% obszaru) </w:t>
      </w:r>
      <w:r w:rsidR="00BB6836" w:rsidRPr="006E139D">
        <w:rPr>
          <w:rFonts w:ascii="Times New Roman" w:hAnsi="Times New Roman" w:cs="Times New Roman"/>
          <w:sz w:val="24"/>
          <w:szCs w:val="24"/>
        </w:rPr>
        <w:t xml:space="preserve">było </w:t>
      </w:r>
      <w:r w:rsidR="006E139D" w:rsidRPr="006E139D">
        <w:rPr>
          <w:rFonts w:ascii="Times New Roman" w:hAnsi="Times New Roman" w:cs="Times New Roman"/>
          <w:sz w:val="24"/>
          <w:szCs w:val="24"/>
        </w:rPr>
        <w:t>zaledwie 3,</w:t>
      </w:r>
      <w:r w:rsidR="00BB6836" w:rsidRPr="006E139D">
        <w:rPr>
          <w:rFonts w:ascii="Times New Roman" w:hAnsi="Times New Roman" w:cs="Times New Roman"/>
          <w:sz w:val="24"/>
          <w:szCs w:val="24"/>
        </w:rPr>
        <w:t xml:space="preserve"> </w:t>
      </w:r>
      <w:r w:rsidR="00AF4623">
        <w:rPr>
          <w:rFonts w:ascii="Times New Roman" w:hAnsi="Times New Roman" w:cs="Times New Roman"/>
          <w:sz w:val="24"/>
          <w:szCs w:val="24"/>
        </w:rPr>
        <w:t xml:space="preserve">a </w:t>
      </w:r>
      <w:r w:rsidR="00BB6836" w:rsidRPr="006E139D">
        <w:rPr>
          <w:rFonts w:ascii="Times New Roman" w:hAnsi="Times New Roman" w:cs="Times New Roman"/>
          <w:sz w:val="24"/>
          <w:szCs w:val="24"/>
        </w:rPr>
        <w:t>zatem</w:t>
      </w:r>
      <w:r w:rsidR="00BB6836">
        <w:rPr>
          <w:rFonts w:ascii="Times New Roman" w:hAnsi="Times New Roman" w:cs="Times New Roman"/>
          <w:sz w:val="24"/>
          <w:szCs w:val="24"/>
        </w:rPr>
        <w:t xml:space="preserve"> większość zmniejszeń</w:t>
      </w:r>
      <w:r w:rsidR="006E139D">
        <w:rPr>
          <w:rFonts w:ascii="Times New Roman" w:hAnsi="Times New Roman" w:cs="Times New Roman"/>
          <w:sz w:val="24"/>
          <w:szCs w:val="24"/>
        </w:rPr>
        <w:t xml:space="preserve"> ( 91% grupy)</w:t>
      </w:r>
      <w:r w:rsidR="00BB6836">
        <w:rPr>
          <w:rFonts w:ascii="Times New Roman" w:hAnsi="Times New Roman" w:cs="Times New Roman"/>
          <w:sz w:val="24"/>
          <w:szCs w:val="24"/>
        </w:rPr>
        <w:t xml:space="preserve"> miało </w:t>
      </w:r>
      <w:r w:rsidR="00AF4623">
        <w:rPr>
          <w:rFonts w:ascii="Times New Roman" w:hAnsi="Times New Roman" w:cs="Times New Roman"/>
          <w:sz w:val="24"/>
          <w:szCs w:val="24"/>
        </w:rPr>
        <w:t>dość ograniczoną skalę</w:t>
      </w:r>
      <w:r w:rsidR="006E139D">
        <w:rPr>
          <w:rFonts w:ascii="Times New Roman" w:hAnsi="Times New Roman" w:cs="Times New Roman"/>
          <w:sz w:val="24"/>
          <w:szCs w:val="24"/>
        </w:rPr>
        <w:t>.</w:t>
      </w:r>
    </w:p>
    <w:p w:rsidR="00445629" w:rsidRDefault="00BB6836" w:rsidP="006E139D">
      <w:pPr>
        <w:spacing w:after="120"/>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Bardzo dobre wyniki w zbiorowości spółdzielni </w:t>
      </w:r>
      <w:r w:rsidR="00AB04CA">
        <w:rPr>
          <w:rFonts w:ascii="Times New Roman" w:hAnsi="Times New Roman" w:cs="Times New Roman"/>
          <w:sz w:val="24"/>
          <w:szCs w:val="24"/>
        </w:rPr>
        <w:t xml:space="preserve">wpłynęły również pozytywnie na poziom intensywności gospodarowania. </w:t>
      </w:r>
      <w:r w:rsidR="006F5D81">
        <w:rPr>
          <w:rFonts w:ascii="Times New Roman" w:hAnsi="Times New Roman" w:cs="Times New Roman"/>
          <w:sz w:val="24"/>
          <w:szCs w:val="24"/>
        </w:rPr>
        <w:t>Przychody w 2011 roku</w:t>
      </w:r>
      <w:r w:rsidR="00AB04CA">
        <w:rPr>
          <w:rFonts w:ascii="Times New Roman" w:hAnsi="Times New Roman" w:cs="Times New Roman"/>
          <w:sz w:val="24"/>
          <w:szCs w:val="24"/>
        </w:rPr>
        <w:t xml:space="preserve"> na 1 ha użytków rolnych </w:t>
      </w:r>
      <w:r w:rsidR="006F5D81">
        <w:rPr>
          <w:rFonts w:ascii="Times New Roman" w:hAnsi="Times New Roman" w:cs="Times New Roman"/>
          <w:sz w:val="24"/>
          <w:szCs w:val="24"/>
        </w:rPr>
        <w:t xml:space="preserve">wyniosły około 11 tys. zł, a w analizowanym </w:t>
      </w:r>
      <w:r w:rsidR="00AB04CA">
        <w:rPr>
          <w:rFonts w:ascii="Times New Roman" w:hAnsi="Times New Roman" w:cs="Times New Roman"/>
          <w:sz w:val="24"/>
          <w:szCs w:val="24"/>
        </w:rPr>
        <w:t>trzyleciu</w:t>
      </w:r>
      <w:r w:rsidR="006F5D81">
        <w:rPr>
          <w:rFonts w:ascii="Times New Roman" w:hAnsi="Times New Roman" w:cs="Times New Roman"/>
          <w:sz w:val="24"/>
          <w:szCs w:val="24"/>
        </w:rPr>
        <w:t xml:space="preserve"> obserwowaliśmy ich</w:t>
      </w:r>
      <w:r w:rsidR="00AB04CA">
        <w:rPr>
          <w:rFonts w:ascii="Times New Roman" w:hAnsi="Times New Roman" w:cs="Times New Roman"/>
          <w:sz w:val="24"/>
          <w:szCs w:val="24"/>
        </w:rPr>
        <w:t xml:space="preserve"> 30 %</w:t>
      </w:r>
      <w:r w:rsidR="006F5D81">
        <w:rPr>
          <w:rFonts w:ascii="Times New Roman" w:hAnsi="Times New Roman" w:cs="Times New Roman"/>
          <w:sz w:val="24"/>
          <w:szCs w:val="24"/>
        </w:rPr>
        <w:t xml:space="preserve"> wzrost</w:t>
      </w:r>
      <w:r w:rsidR="00AB04CA">
        <w:rPr>
          <w:rFonts w:ascii="Times New Roman" w:hAnsi="Times New Roman" w:cs="Times New Roman"/>
          <w:sz w:val="24"/>
          <w:szCs w:val="24"/>
        </w:rPr>
        <w:t xml:space="preserve">. </w:t>
      </w:r>
      <w:r w:rsidR="006F5D81">
        <w:rPr>
          <w:rFonts w:ascii="Times New Roman" w:hAnsi="Times New Roman" w:cs="Times New Roman"/>
          <w:sz w:val="24"/>
          <w:szCs w:val="24"/>
        </w:rPr>
        <w:t>Należy podkreślić, że n</w:t>
      </w:r>
      <w:r w:rsidR="00AB04CA">
        <w:rPr>
          <w:rFonts w:ascii="Times New Roman" w:hAnsi="Times New Roman" w:cs="Times New Roman"/>
          <w:sz w:val="24"/>
          <w:szCs w:val="24"/>
        </w:rPr>
        <w:t xml:space="preserve">ajwiększy wzrost wskaźnika intensywności gospodarowania </w:t>
      </w:r>
      <w:r w:rsidR="006F5D81">
        <w:rPr>
          <w:rFonts w:ascii="Times New Roman" w:hAnsi="Times New Roman" w:cs="Times New Roman"/>
          <w:sz w:val="24"/>
          <w:szCs w:val="24"/>
        </w:rPr>
        <w:t>miał jednak miejsce w</w:t>
      </w:r>
      <w:r w:rsidR="00AB04CA">
        <w:rPr>
          <w:rFonts w:ascii="Times New Roman" w:hAnsi="Times New Roman" w:cs="Times New Roman"/>
          <w:sz w:val="24"/>
          <w:szCs w:val="24"/>
        </w:rPr>
        <w:t xml:space="preserve"> 2011 rok</w:t>
      </w:r>
      <w:r w:rsidR="006F5D81">
        <w:rPr>
          <w:rFonts w:ascii="Times New Roman" w:hAnsi="Times New Roman" w:cs="Times New Roman"/>
          <w:sz w:val="24"/>
          <w:szCs w:val="24"/>
        </w:rPr>
        <w:t>u</w:t>
      </w:r>
      <w:r w:rsidR="00AB04CA">
        <w:rPr>
          <w:rFonts w:ascii="Times New Roman" w:hAnsi="Times New Roman" w:cs="Times New Roman"/>
          <w:sz w:val="24"/>
          <w:szCs w:val="24"/>
        </w:rPr>
        <w:t>. Mimo znaczącej poprawy</w:t>
      </w:r>
      <w:r w:rsidR="00547F66">
        <w:rPr>
          <w:rFonts w:ascii="Times New Roman" w:hAnsi="Times New Roman" w:cs="Times New Roman"/>
          <w:sz w:val="24"/>
          <w:szCs w:val="24"/>
        </w:rPr>
        <w:t xml:space="preserve"> i </w:t>
      </w:r>
      <w:r w:rsidR="006E139D">
        <w:rPr>
          <w:rFonts w:ascii="Times New Roman" w:hAnsi="Times New Roman" w:cs="Times New Roman"/>
          <w:sz w:val="24"/>
          <w:szCs w:val="24"/>
        </w:rPr>
        <w:t>zmniejszania</w:t>
      </w:r>
      <w:r w:rsidR="00AF4623">
        <w:rPr>
          <w:rFonts w:ascii="Times New Roman" w:hAnsi="Times New Roman" w:cs="Times New Roman"/>
          <w:sz w:val="24"/>
          <w:szCs w:val="24"/>
        </w:rPr>
        <w:t xml:space="preserve"> różnic mię</w:t>
      </w:r>
      <w:r w:rsidR="00547F66">
        <w:rPr>
          <w:rFonts w:ascii="Times New Roman" w:hAnsi="Times New Roman" w:cs="Times New Roman"/>
          <w:sz w:val="24"/>
          <w:szCs w:val="24"/>
        </w:rPr>
        <w:t>dzy innymi formami gospodarstw, wydaje się</w:t>
      </w:r>
      <w:r w:rsidR="00AF4623">
        <w:rPr>
          <w:rFonts w:ascii="Times New Roman" w:hAnsi="Times New Roman" w:cs="Times New Roman"/>
          <w:sz w:val="24"/>
          <w:szCs w:val="24"/>
        </w:rPr>
        <w:t>,</w:t>
      </w:r>
      <w:r w:rsidR="00547F66">
        <w:rPr>
          <w:rFonts w:ascii="Times New Roman" w:hAnsi="Times New Roman" w:cs="Times New Roman"/>
          <w:sz w:val="24"/>
          <w:szCs w:val="24"/>
        </w:rPr>
        <w:t xml:space="preserve"> że</w:t>
      </w:r>
      <w:r w:rsidR="00AB04CA">
        <w:rPr>
          <w:rFonts w:ascii="Times New Roman" w:hAnsi="Times New Roman" w:cs="Times New Roman"/>
          <w:sz w:val="24"/>
          <w:szCs w:val="24"/>
        </w:rPr>
        <w:t xml:space="preserve"> spółdzielnie dalej </w:t>
      </w:r>
      <w:r w:rsidR="00547F66">
        <w:rPr>
          <w:rFonts w:ascii="Times New Roman" w:hAnsi="Times New Roman" w:cs="Times New Roman"/>
          <w:sz w:val="24"/>
          <w:szCs w:val="24"/>
        </w:rPr>
        <w:t xml:space="preserve">wykazują </w:t>
      </w:r>
      <w:r w:rsidR="00AB04CA">
        <w:rPr>
          <w:rFonts w:ascii="Times New Roman" w:hAnsi="Times New Roman" w:cs="Times New Roman"/>
          <w:sz w:val="24"/>
          <w:szCs w:val="24"/>
        </w:rPr>
        <w:t xml:space="preserve">w tej </w:t>
      </w:r>
      <w:r w:rsidR="00AF4623">
        <w:rPr>
          <w:rFonts w:ascii="Times New Roman" w:hAnsi="Times New Roman" w:cs="Times New Roman"/>
          <w:sz w:val="24"/>
          <w:szCs w:val="24"/>
        </w:rPr>
        <w:t>dziedzinie</w:t>
      </w:r>
      <w:r w:rsidR="00AB04CA">
        <w:rPr>
          <w:rFonts w:ascii="Times New Roman" w:hAnsi="Times New Roman" w:cs="Times New Roman"/>
          <w:sz w:val="24"/>
          <w:szCs w:val="24"/>
        </w:rPr>
        <w:t xml:space="preserve"> </w:t>
      </w:r>
      <w:r w:rsidR="00547F66">
        <w:rPr>
          <w:rFonts w:ascii="Times New Roman" w:hAnsi="Times New Roman" w:cs="Times New Roman"/>
          <w:sz w:val="24"/>
          <w:szCs w:val="24"/>
        </w:rPr>
        <w:t>znaczący potencjał. Identyfikacja tych obszarów w każdej RSP może w gruncie rzeczy rozstrzygnąć o przyszłości tej grupy gospodarstw.</w:t>
      </w:r>
      <w:r w:rsidR="00AB04CA">
        <w:rPr>
          <w:rFonts w:ascii="Times New Roman" w:hAnsi="Times New Roman" w:cs="Times New Roman"/>
          <w:sz w:val="24"/>
          <w:szCs w:val="24"/>
        </w:rPr>
        <w:t xml:space="preserve"> </w:t>
      </w:r>
    </w:p>
    <w:p w:rsidR="005107E3" w:rsidRPr="00430FF7" w:rsidRDefault="005107E3" w:rsidP="005107E3">
      <w:pPr>
        <w:pStyle w:val="Tekstpodstawowy2"/>
        <w:spacing w:after="0" w:line="240" w:lineRule="auto"/>
        <w:jc w:val="right"/>
        <w:rPr>
          <w:rFonts w:ascii="Times New Roman" w:hAnsi="Times New Roman" w:cs="Times New Roman"/>
        </w:rPr>
      </w:pPr>
      <w:r w:rsidRPr="00430FF7">
        <w:rPr>
          <w:rFonts w:ascii="Times New Roman" w:hAnsi="Times New Roman" w:cs="Times New Roman"/>
        </w:rPr>
        <w:t>Tabela 4</w:t>
      </w:r>
    </w:p>
    <w:p w:rsidR="005107E3" w:rsidRPr="00430FF7" w:rsidRDefault="005107E3" w:rsidP="005107E3">
      <w:pPr>
        <w:pStyle w:val="Tekstpodstawowy2"/>
        <w:spacing w:after="0" w:line="240" w:lineRule="auto"/>
        <w:jc w:val="center"/>
        <w:rPr>
          <w:rFonts w:ascii="Times New Roman" w:hAnsi="Times New Roman" w:cs="Times New Roman"/>
        </w:rPr>
      </w:pPr>
      <w:r w:rsidRPr="00430FF7">
        <w:rPr>
          <w:rFonts w:ascii="Times New Roman" w:hAnsi="Times New Roman" w:cs="Times New Roman"/>
        </w:rPr>
        <w:t>Sytuacja ekonomiczno-finansowa RSP w latach 2009-2011</w:t>
      </w:r>
    </w:p>
    <w:p w:rsidR="005107E3" w:rsidRPr="00430FF7" w:rsidRDefault="005107E3" w:rsidP="005107E3">
      <w:pPr>
        <w:pStyle w:val="Tekstpodstawowy2"/>
        <w:spacing w:after="0" w:line="240" w:lineRule="auto"/>
        <w:jc w:val="center"/>
        <w:rPr>
          <w:rFonts w:ascii="Times New Roman" w:hAnsi="Times New Roman" w:cs="Times New Roman"/>
        </w:rPr>
      </w:pPr>
      <w:r w:rsidRPr="00430FF7">
        <w:rPr>
          <w:rFonts w:ascii="Times New Roman" w:hAnsi="Times New Roman" w:cs="Times New Roman"/>
        </w:rPr>
        <w:t xml:space="preserve"> (dotyczy 84 badanych RSP)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851"/>
        <w:gridCol w:w="850"/>
        <w:gridCol w:w="851"/>
        <w:gridCol w:w="1275"/>
      </w:tblGrid>
      <w:tr w:rsidR="005107E3" w:rsidRPr="00F91A46" w:rsidTr="00931D2B">
        <w:trPr>
          <w:cantSplit/>
        </w:trPr>
        <w:tc>
          <w:tcPr>
            <w:tcW w:w="4748" w:type="dxa"/>
            <w:vMerge w:val="restart"/>
            <w:tcBorders>
              <w:top w:val="single" w:sz="4" w:space="0" w:color="auto"/>
              <w:left w:val="single" w:sz="4" w:space="0" w:color="auto"/>
              <w:bottom w:val="single" w:sz="4" w:space="0" w:color="auto"/>
              <w:right w:val="single" w:sz="4" w:space="0" w:color="auto"/>
            </w:tcBorders>
          </w:tcPr>
          <w:p w:rsidR="005107E3" w:rsidRPr="00F91A46" w:rsidRDefault="005107E3" w:rsidP="00931D2B">
            <w:pPr>
              <w:spacing w:after="120" w:line="240" w:lineRule="auto"/>
              <w:jc w:val="both"/>
              <w:rPr>
                <w:rFonts w:ascii="Times New Roman" w:hAnsi="Times New Roman"/>
              </w:rPr>
            </w:pPr>
            <w:r w:rsidRPr="00F91A46">
              <w:rPr>
                <w:rFonts w:ascii="Times New Roman" w:hAnsi="Times New Roman"/>
              </w:rPr>
              <w:t>Wyszczególnienie</w:t>
            </w:r>
          </w:p>
        </w:tc>
        <w:tc>
          <w:tcPr>
            <w:tcW w:w="2552" w:type="dxa"/>
            <w:gridSpan w:val="3"/>
            <w:tcBorders>
              <w:top w:val="single" w:sz="4" w:space="0" w:color="auto"/>
              <w:left w:val="single" w:sz="4" w:space="0" w:color="auto"/>
              <w:bottom w:val="single" w:sz="4" w:space="0" w:color="auto"/>
              <w:right w:val="single" w:sz="4" w:space="0" w:color="auto"/>
            </w:tcBorders>
          </w:tcPr>
          <w:p w:rsidR="005107E3" w:rsidRPr="00F91A46" w:rsidRDefault="005107E3" w:rsidP="00931D2B">
            <w:pPr>
              <w:spacing w:after="120" w:line="240" w:lineRule="auto"/>
              <w:jc w:val="center"/>
              <w:rPr>
                <w:rFonts w:ascii="Times New Roman" w:hAnsi="Times New Roman"/>
              </w:rPr>
            </w:pPr>
            <w:r w:rsidRPr="00F91A46">
              <w:rPr>
                <w:rFonts w:ascii="Times New Roman" w:hAnsi="Times New Roman"/>
              </w:rPr>
              <w:t>Lata:</w:t>
            </w:r>
          </w:p>
        </w:tc>
        <w:tc>
          <w:tcPr>
            <w:tcW w:w="1275" w:type="dxa"/>
            <w:vMerge w:val="restart"/>
            <w:tcBorders>
              <w:top w:val="single" w:sz="4" w:space="0" w:color="auto"/>
              <w:left w:val="single" w:sz="4" w:space="0" w:color="auto"/>
              <w:right w:val="single" w:sz="4" w:space="0" w:color="auto"/>
            </w:tcBorders>
            <w:vAlign w:val="center"/>
          </w:tcPr>
          <w:p w:rsidR="005107E3" w:rsidRPr="00F91A46" w:rsidRDefault="00AF4623" w:rsidP="001C684B">
            <w:pPr>
              <w:spacing w:after="120" w:line="240" w:lineRule="auto"/>
              <w:jc w:val="center"/>
              <w:rPr>
                <w:rFonts w:ascii="Times New Roman" w:hAnsi="Times New Roman"/>
              </w:rPr>
            </w:pPr>
            <m:oMath>
              <m:f>
                <m:fPr>
                  <m:ctrlPr>
                    <w:rPr>
                      <w:rFonts w:ascii="Cambria Math" w:hAnsi="Cambria Math" w:cs="Times New Roman"/>
                      <w:sz w:val="24"/>
                      <w:szCs w:val="24"/>
                    </w:rPr>
                  </m:ctrlPr>
                </m:fPr>
                <m:num>
                  <m:r>
                    <w:rPr>
                      <w:rFonts w:ascii="Cambria Math" w:hAnsi="Cambria Math" w:cs="Times New Roman"/>
                      <w:sz w:val="24"/>
                      <w:szCs w:val="24"/>
                    </w:rPr>
                    <m:t>2011</m:t>
                  </m:r>
                </m:num>
                <m:den>
                  <m:r>
                    <w:rPr>
                      <w:rFonts w:ascii="Cambria Math" w:hAnsi="Cambria Math" w:cs="Times New Roman"/>
                      <w:sz w:val="24"/>
                      <w:szCs w:val="24"/>
                    </w:rPr>
                    <m:t>2009</m:t>
                  </m:r>
                </m:den>
              </m:f>
            </m:oMath>
            <w:r w:rsidR="001C684B">
              <w:rPr>
                <w:rFonts w:ascii="Times New Roman" w:hAnsi="Times New Roman"/>
              </w:rPr>
              <w:t xml:space="preserve"> x</w:t>
            </w:r>
            <w:r w:rsidR="005107E3" w:rsidRPr="00F91A46">
              <w:rPr>
                <w:rFonts w:ascii="Times New Roman" w:hAnsi="Times New Roman"/>
              </w:rPr>
              <w:t xml:space="preserve"> 100</w:t>
            </w:r>
          </w:p>
        </w:tc>
      </w:tr>
      <w:tr w:rsidR="005107E3" w:rsidRPr="00F91A46" w:rsidTr="00931D2B">
        <w:trPr>
          <w:cantSplit/>
        </w:trPr>
        <w:tc>
          <w:tcPr>
            <w:tcW w:w="4748" w:type="dxa"/>
            <w:vMerge/>
            <w:tcBorders>
              <w:top w:val="single" w:sz="4" w:space="0" w:color="auto"/>
              <w:left w:val="single" w:sz="4" w:space="0" w:color="auto"/>
              <w:bottom w:val="single" w:sz="4" w:space="0" w:color="auto"/>
              <w:right w:val="single" w:sz="4" w:space="0" w:color="auto"/>
            </w:tcBorders>
          </w:tcPr>
          <w:p w:rsidR="005107E3" w:rsidRPr="00F91A46" w:rsidRDefault="005107E3" w:rsidP="00931D2B">
            <w:pPr>
              <w:spacing w:after="120" w:line="240" w:lineRule="auto"/>
              <w:jc w:val="both"/>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tcPr>
          <w:p w:rsidR="005107E3" w:rsidRPr="00F91A46" w:rsidRDefault="005107E3" w:rsidP="00931D2B">
            <w:pPr>
              <w:spacing w:after="120" w:line="240" w:lineRule="auto"/>
              <w:jc w:val="center"/>
              <w:rPr>
                <w:rFonts w:ascii="Times New Roman" w:hAnsi="Times New Roman"/>
              </w:rPr>
            </w:pPr>
            <w:r w:rsidRPr="00F91A46">
              <w:rPr>
                <w:rFonts w:ascii="Times New Roman" w:hAnsi="Times New Roman"/>
              </w:rPr>
              <w:t>201</w:t>
            </w:r>
            <w:r>
              <w:rPr>
                <w:rFonts w:ascii="Times New Roman" w:hAnsi="Times New Roman"/>
              </w:rPr>
              <w:t>1</w:t>
            </w:r>
          </w:p>
        </w:tc>
        <w:tc>
          <w:tcPr>
            <w:tcW w:w="850" w:type="dxa"/>
            <w:tcBorders>
              <w:top w:val="single" w:sz="4" w:space="0" w:color="auto"/>
              <w:left w:val="single" w:sz="4" w:space="0" w:color="auto"/>
              <w:bottom w:val="single" w:sz="4" w:space="0" w:color="auto"/>
              <w:right w:val="single" w:sz="4" w:space="0" w:color="auto"/>
            </w:tcBorders>
          </w:tcPr>
          <w:p w:rsidR="005107E3" w:rsidRPr="00F91A46" w:rsidRDefault="005107E3" w:rsidP="00931D2B">
            <w:pPr>
              <w:spacing w:after="120" w:line="240" w:lineRule="auto"/>
              <w:jc w:val="center"/>
              <w:rPr>
                <w:rFonts w:ascii="Times New Roman" w:hAnsi="Times New Roman"/>
              </w:rPr>
            </w:pPr>
            <w:r w:rsidRPr="00F91A46">
              <w:rPr>
                <w:rFonts w:ascii="Times New Roman" w:hAnsi="Times New Roman"/>
              </w:rPr>
              <w:t>20</w:t>
            </w:r>
            <w:r>
              <w:rPr>
                <w:rFonts w:ascii="Times New Roman" w:hAnsi="Times New Roman"/>
              </w:rPr>
              <w:t>10</w:t>
            </w:r>
          </w:p>
        </w:tc>
        <w:tc>
          <w:tcPr>
            <w:tcW w:w="851" w:type="dxa"/>
            <w:tcBorders>
              <w:top w:val="single" w:sz="4" w:space="0" w:color="auto"/>
              <w:left w:val="single" w:sz="4" w:space="0" w:color="auto"/>
              <w:bottom w:val="single" w:sz="4" w:space="0" w:color="auto"/>
              <w:right w:val="single" w:sz="4" w:space="0" w:color="auto"/>
            </w:tcBorders>
          </w:tcPr>
          <w:p w:rsidR="005107E3" w:rsidRPr="00F91A46" w:rsidRDefault="005107E3" w:rsidP="00931D2B">
            <w:pPr>
              <w:spacing w:after="120" w:line="240" w:lineRule="auto"/>
              <w:jc w:val="center"/>
              <w:rPr>
                <w:rFonts w:ascii="Times New Roman" w:hAnsi="Times New Roman"/>
              </w:rPr>
            </w:pPr>
            <w:r w:rsidRPr="00F91A46">
              <w:rPr>
                <w:rFonts w:ascii="Times New Roman" w:hAnsi="Times New Roman"/>
              </w:rPr>
              <w:t>20</w:t>
            </w:r>
            <w:r>
              <w:rPr>
                <w:rFonts w:ascii="Times New Roman" w:hAnsi="Times New Roman"/>
              </w:rPr>
              <w:t>09</w:t>
            </w:r>
          </w:p>
        </w:tc>
        <w:tc>
          <w:tcPr>
            <w:tcW w:w="1275" w:type="dxa"/>
            <w:vMerge/>
            <w:tcBorders>
              <w:left w:val="single" w:sz="4" w:space="0" w:color="auto"/>
              <w:bottom w:val="single" w:sz="4" w:space="0" w:color="auto"/>
              <w:right w:val="single" w:sz="4" w:space="0" w:color="auto"/>
            </w:tcBorders>
          </w:tcPr>
          <w:p w:rsidR="005107E3" w:rsidRPr="00F91A46" w:rsidRDefault="005107E3" w:rsidP="00931D2B">
            <w:pPr>
              <w:spacing w:after="120" w:line="240" w:lineRule="auto"/>
              <w:jc w:val="center"/>
              <w:rPr>
                <w:rFonts w:ascii="Times New Roman" w:hAnsi="Times New Roman"/>
              </w:rPr>
            </w:pPr>
          </w:p>
        </w:tc>
      </w:tr>
      <w:tr w:rsidR="005107E3" w:rsidRPr="00F91A46" w:rsidTr="00931D2B">
        <w:tc>
          <w:tcPr>
            <w:tcW w:w="4748" w:type="dxa"/>
            <w:tcBorders>
              <w:top w:val="single" w:sz="4" w:space="0" w:color="auto"/>
              <w:left w:val="single" w:sz="4" w:space="0" w:color="auto"/>
              <w:bottom w:val="single" w:sz="4" w:space="0" w:color="auto"/>
              <w:right w:val="single" w:sz="4" w:space="0" w:color="auto"/>
            </w:tcBorders>
          </w:tcPr>
          <w:p w:rsidR="005107E3" w:rsidRPr="00F91A46" w:rsidRDefault="005107E3" w:rsidP="00AF4623">
            <w:pPr>
              <w:spacing w:after="120" w:line="240" w:lineRule="auto"/>
              <w:jc w:val="both"/>
              <w:rPr>
                <w:rFonts w:ascii="Times New Roman" w:hAnsi="Times New Roman"/>
              </w:rPr>
            </w:pPr>
            <w:r w:rsidRPr="00F91A46">
              <w:rPr>
                <w:rFonts w:ascii="Times New Roman" w:hAnsi="Times New Roman"/>
              </w:rPr>
              <w:t>Przeciętny obszar (ha UR)</w:t>
            </w:r>
          </w:p>
        </w:tc>
        <w:tc>
          <w:tcPr>
            <w:tcW w:w="851" w:type="dxa"/>
            <w:tcBorders>
              <w:top w:val="single" w:sz="4" w:space="0" w:color="auto"/>
              <w:left w:val="single" w:sz="4" w:space="0" w:color="auto"/>
              <w:bottom w:val="single" w:sz="4" w:space="0" w:color="auto"/>
              <w:right w:val="single" w:sz="4" w:space="0" w:color="auto"/>
            </w:tcBorders>
            <w:vAlign w:val="bottom"/>
          </w:tcPr>
          <w:p w:rsidR="005107E3" w:rsidRPr="00716850" w:rsidRDefault="005107E3" w:rsidP="00931D2B">
            <w:pPr>
              <w:spacing w:after="120" w:line="240" w:lineRule="auto"/>
              <w:jc w:val="center"/>
              <w:rPr>
                <w:rFonts w:ascii="Times New Roman" w:hAnsi="Times New Roman"/>
              </w:rPr>
            </w:pPr>
            <w:r>
              <w:rPr>
                <w:rFonts w:ascii="Times New Roman" w:hAnsi="Times New Roman"/>
              </w:rPr>
              <w:t>586</w:t>
            </w:r>
          </w:p>
        </w:tc>
        <w:tc>
          <w:tcPr>
            <w:tcW w:w="850" w:type="dxa"/>
            <w:tcBorders>
              <w:top w:val="single" w:sz="4" w:space="0" w:color="auto"/>
              <w:left w:val="single" w:sz="4" w:space="0" w:color="auto"/>
              <w:bottom w:val="single" w:sz="4" w:space="0" w:color="auto"/>
              <w:right w:val="single" w:sz="4" w:space="0" w:color="auto"/>
            </w:tcBorders>
            <w:vAlign w:val="bottom"/>
          </w:tcPr>
          <w:p w:rsidR="005107E3" w:rsidRPr="00716850" w:rsidRDefault="005107E3" w:rsidP="00931D2B">
            <w:pPr>
              <w:spacing w:after="120" w:line="240" w:lineRule="auto"/>
              <w:jc w:val="center"/>
              <w:rPr>
                <w:rFonts w:ascii="Times New Roman" w:hAnsi="Times New Roman"/>
              </w:rPr>
            </w:pPr>
            <w:r>
              <w:rPr>
                <w:rFonts w:ascii="Times New Roman" w:hAnsi="Times New Roman"/>
              </w:rPr>
              <w:t>591</w:t>
            </w:r>
          </w:p>
        </w:tc>
        <w:tc>
          <w:tcPr>
            <w:tcW w:w="851" w:type="dxa"/>
            <w:tcBorders>
              <w:top w:val="single" w:sz="4" w:space="0" w:color="auto"/>
              <w:left w:val="single" w:sz="4" w:space="0" w:color="auto"/>
              <w:bottom w:val="single" w:sz="4" w:space="0" w:color="auto"/>
              <w:right w:val="single" w:sz="4" w:space="0" w:color="auto"/>
            </w:tcBorders>
            <w:vAlign w:val="bottom"/>
          </w:tcPr>
          <w:p w:rsidR="005107E3" w:rsidRPr="00716850" w:rsidRDefault="005107E3" w:rsidP="00931D2B">
            <w:pPr>
              <w:spacing w:after="120" w:line="240" w:lineRule="auto"/>
              <w:jc w:val="center"/>
              <w:rPr>
                <w:rFonts w:ascii="Times New Roman" w:hAnsi="Times New Roman"/>
              </w:rPr>
            </w:pPr>
            <w:r>
              <w:rPr>
                <w:rFonts w:ascii="Times New Roman" w:hAnsi="Times New Roman"/>
              </w:rPr>
              <w:t>593</w:t>
            </w:r>
          </w:p>
        </w:tc>
        <w:tc>
          <w:tcPr>
            <w:tcW w:w="1275" w:type="dxa"/>
            <w:tcBorders>
              <w:top w:val="single" w:sz="4" w:space="0" w:color="auto"/>
              <w:left w:val="single" w:sz="4" w:space="0" w:color="auto"/>
              <w:bottom w:val="single" w:sz="4" w:space="0" w:color="auto"/>
              <w:right w:val="single" w:sz="4" w:space="0" w:color="auto"/>
            </w:tcBorders>
            <w:vAlign w:val="center"/>
          </w:tcPr>
          <w:p w:rsidR="005107E3" w:rsidRPr="00284308" w:rsidRDefault="005107E3" w:rsidP="001C684B">
            <w:pPr>
              <w:spacing w:after="120" w:line="240" w:lineRule="auto"/>
              <w:jc w:val="center"/>
              <w:rPr>
                <w:rFonts w:ascii="Times New Roman" w:hAnsi="Times New Roman"/>
              </w:rPr>
            </w:pPr>
            <w:r w:rsidRPr="00284308">
              <w:rPr>
                <w:rFonts w:ascii="Times New Roman" w:hAnsi="Times New Roman"/>
              </w:rPr>
              <w:t>98,8</w:t>
            </w:r>
          </w:p>
        </w:tc>
      </w:tr>
      <w:tr w:rsidR="005107E3" w:rsidRPr="00F91A46" w:rsidTr="00931D2B">
        <w:tc>
          <w:tcPr>
            <w:tcW w:w="4748" w:type="dxa"/>
            <w:tcBorders>
              <w:top w:val="single" w:sz="4" w:space="0" w:color="auto"/>
              <w:left w:val="single" w:sz="4" w:space="0" w:color="auto"/>
              <w:bottom w:val="single" w:sz="4" w:space="0" w:color="auto"/>
              <w:right w:val="single" w:sz="4" w:space="0" w:color="auto"/>
            </w:tcBorders>
          </w:tcPr>
          <w:p w:rsidR="005107E3" w:rsidRPr="00F91A46" w:rsidRDefault="005107E3" w:rsidP="00931D2B">
            <w:pPr>
              <w:spacing w:after="120" w:line="240" w:lineRule="auto"/>
              <w:jc w:val="both"/>
              <w:rPr>
                <w:rFonts w:ascii="Times New Roman" w:hAnsi="Times New Roman"/>
              </w:rPr>
            </w:pPr>
            <w:r w:rsidRPr="00F91A46">
              <w:rPr>
                <w:rFonts w:ascii="Times New Roman" w:hAnsi="Times New Roman"/>
              </w:rPr>
              <w:t xml:space="preserve">Przychody ogółem na </w:t>
            </w:r>
            <w:smartTag w:uri="urn:schemas-microsoft-com:office:smarttags" w:element="metricconverter">
              <w:smartTagPr>
                <w:attr w:name="ProductID" w:val="1 ha"/>
              </w:smartTagPr>
              <w:r w:rsidRPr="00F91A46">
                <w:rPr>
                  <w:rFonts w:ascii="Times New Roman" w:hAnsi="Times New Roman"/>
                </w:rPr>
                <w:t>1 ha</w:t>
              </w:r>
            </w:smartTag>
            <w:r w:rsidRPr="00F91A46">
              <w:rPr>
                <w:rFonts w:ascii="Times New Roman" w:hAnsi="Times New Roman"/>
              </w:rPr>
              <w:t xml:space="preserve"> UR ( tys. zł)</w:t>
            </w:r>
          </w:p>
        </w:tc>
        <w:tc>
          <w:tcPr>
            <w:tcW w:w="851" w:type="dxa"/>
            <w:tcBorders>
              <w:top w:val="single" w:sz="4" w:space="0" w:color="auto"/>
              <w:left w:val="single" w:sz="4" w:space="0" w:color="auto"/>
              <w:bottom w:val="single" w:sz="4" w:space="0" w:color="auto"/>
              <w:right w:val="single" w:sz="4" w:space="0" w:color="auto"/>
            </w:tcBorders>
            <w:vAlign w:val="bottom"/>
          </w:tcPr>
          <w:p w:rsidR="005107E3" w:rsidRPr="00716850" w:rsidRDefault="005107E3" w:rsidP="00931D2B">
            <w:pPr>
              <w:spacing w:after="120" w:line="240" w:lineRule="auto"/>
              <w:jc w:val="center"/>
              <w:rPr>
                <w:rFonts w:ascii="Times New Roman" w:hAnsi="Times New Roman"/>
              </w:rPr>
            </w:pPr>
            <w:r w:rsidRPr="00716850">
              <w:rPr>
                <w:rFonts w:ascii="Times New Roman" w:hAnsi="Times New Roman"/>
              </w:rPr>
              <w:t>10,93</w:t>
            </w:r>
          </w:p>
        </w:tc>
        <w:tc>
          <w:tcPr>
            <w:tcW w:w="850" w:type="dxa"/>
            <w:tcBorders>
              <w:top w:val="single" w:sz="4" w:space="0" w:color="auto"/>
              <w:left w:val="single" w:sz="4" w:space="0" w:color="auto"/>
              <w:bottom w:val="single" w:sz="4" w:space="0" w:color="auto"/>
              <w:right w:val="single" w:sz="4" w:space="0" w:color="auto"/>
            </w:tcBorders>
            <w:vAlign w:val="bottom"/>
          </w:tcPr>
          <w:p w:rsidR="005107E3" w:rsidRPr="00716850" w:rsidRDefault="005107E3" w:rsidP="00931D2B">
            <w:pPr>
              <w:spacing w:after="120" w:line="240" w:lineRule="auto"/>
              <w:jc w:val="center"/>
              <w:rPr>
                <w:rFonts w:ascii="Times New Roman" w:hAnsi="Times New Roman"/>
              </w:rPr>
            </w:pPr>
            <w:r w:rsidRPr="00716850">
              <w:rPr>
                <w:rFonts w:ascii="Times New Roman" w:hAnsi="Times New Roman"/>
              </w:rPr>
              <w:t>9,14</w:t>
            </w:r>
          </w:p>
        </w:tc>
        <w:tc>
          <w:tcPr>
            <w:tcW w:w="851" w:type="dxa"/>
            <w:tcBorders>
              <w:top w:val="single" w:sz="4" w:space="0" w:color="auto"/>
              <w:left w:val="single" w:sz="4" w:space="0" w:color="auto"/>
              <w:bottom w:val="single" w:sz="4" w:space="0" w:color="auto"/>
              <w:right w:val="single" w:sz="4" w:space="0" w:color="auto"/>
            </w:tcBorders>
            <w:vAlign w:val="bottom"/>
          </w:tcPr>
          <w:p w:rsidR="005107E3" w:rsidRPr="00716850" w:rsidRDefault="005107E3" w:rsidP="00931D2B">
            <w:pPr>
              <w:spacing w:after="120" w:line="240" w:lineRule="auto"/>
              <w:jc w:val="center"/>
              <w:rPr>
                <w:rFonts w:ascii="Times New Roman" w:hAnsi="Times New Roman"/>
              </w:rPr>
            </w:pPr>
            <w:r w:rsidRPr="00716850">
              <w:rPr>
                <w:rFonts w:ascii="Times New Roman" w:hAnsi="Times New Roman"/>
              </w:rPr>
              <w:t>8,47</w:t>
            </w:r>
          </w:p>
        </w:tc>
        <w:tc>
          <w:tcPr>
            <w:tcW w:w="1275" w:type="dxa"/>
            <w:tcBorders>
              <w:top w:val="single" w:sz="4" w:space="0" w:color="auto"/>
              <w:left w:val="single" w:sz="4" w:space="0" w:color="auto"/>
              <w:bottom w:val="single" w:sz="4" w:space="0" w:color="auto"/>
              <w:right w:val="single" w:sz="4" w:space="0" w:color="auto"/>
            </w:tcBorders>
            <w:vAlign w:val="center"/>
          </w:tcPr>
          <w:p w:rsidR="005107E3" w:rsidRPr="00284308" w:rsidRDefault="005107E3" w:rsidP="001C684B">
            <w:pPr>
              <w:spacing w:after="120" w:line="240" w:lineRule="auto"/>
              <w:jc w:val="center"/>
              <w:rPr>
                <w:rFonts w:ascii="Times New Roman" w:hAnsi="Times New Roman"/>
              </w:rPr>
            </w:pPr>
            <w:r w:rsidRPr="00284308">
              <w:rPr>
                <w:rFonts w:ascii="Times New Roman" w:hAnsi="Times New Roman"/>
              </w:rPr>
              <w:t>129,0</w:t>
            </w:r>
          </w:p>
        </w:tc>
      </w:tr>
      <w:tr w:rsidR="005107E3" w:rsidRPr="00F91A46" w:rsidTr="00931D2B">
        <w:tc>
          <w:tcPr>
            <w:tcW w:w="4748" w:type="dxa"/>
            <w:tcBorders>
              <w:top w:val="single" w:sz="4" w:space="0" w:color="auto"/>
              <w:left w:val="single" w:sz="4" w:space="0" w:color="auto"/>
              <w:bottom w:val="single" w:sz="4" w:space="0" w:color="auto"/>
              <w:right w:val="single" w:sz="4" w:space="0" w:color="auto"/>
            </w:tcBorders>
          </w:tcPr>
          <w:p w:rsidR="005107E3" w:rsidRPr="00F91A46" w:rsidRDefault="005107E3" w:rsidP="00931D2B">
            <w:pPr>
              <w:spacing w:after="120" w:line="240" w:lineRule="auto"/>
              <w:jc w:val="both"/>
              <w:rPr>
                <w:rFonts w:ascii="Times New Roman" w:hAnsi="Times New Roman"/>
              </w:rPr>
            </w:pPr>
            <w:r w:rsidRPr="00F91A46">
              <w:rPr>
                <w:rFonts w:ascii="Times New Roman" w:hAnsi="Times New Roman"/>
              </w:rPr>
              <w:t xml:space="preserve">Pracujący na </w:t>
            </w:r>
            <w:smartTag w:uri="urn:schemas-microsoft-com:office:smarttags" w:element="metricconverter">
              <w:smartTagPr>
                <w:attr w:name="ProductID" w:val="100 ha"/>
              </w:smartTagPr>
              <w:r w:rsidRPr="00F91A46">
                <w:rPr>
                  <w:rFonts w:ascii="Times New Roman" w:hAnsi="Times New Roman"/>
                </w:rPr>
                <w:t>100 ha</w:t>
              </w:r>
            </w:smartTag>
            <w:r>
              <w:rPr>
                <w:rFonts w:ascii="Times New Roman" w:hAnsi="Times New Roman"/>
              </w:rPr>
              <w:t xml:space="preserve"> UR</w:t>
            </w:r>
            <w:r w:rsidRPr="00F91A46">
              <w:rPr>
                <w:rFonts w:ascii="Times New Roman" w:hAnsi="Times New Roman"/>
              </w:rPr>
              <w:t xml:space="preserve"> (osoby)</w:t>
            </w:r>
          </w:p>
        </w:tc>
        <w:tc>
          <w:tcPr>
            <w:tcW w:w="851" w:type="dxa"/>
            <w:tcBorders>
              <w:top w:val="single" w:sz="4" w:space="0" w:color="auto"/>
              <w:left w:val="single" w:sz="4" w:space="0" w:color="auto"/>
              <w:bottom w:val="single" w:sz="4" w:space="0" w:color="auto"/>
              <w:right w:val="single" w:sz="4" w:space="0" w:color="auto"/>
            </w:tcBorders>
            <w:vAlign w:val="bottom"/>
          </w:tcPr>
          <w:p w:rsidR="005107E3" w:rsidRPr="00716850" w:rsidRDefault="005107E3" w:rsidP="00931D2B">
            <w:pPr>
              <w:spacing w:after="120" w:line="240" w:lineRule="auto"/>
              <w:jc w:val="center"/>
              <w:rPr>
                <w:rFonts w:ascii="Times New Roman" w:hAnsi="Times New Roman"/>
              </w:rPr>
            </w:pPr>
            <w:r w:rsidRPr="00716850">
              <w:rPr>
                <w:rFonts w:ascii="Times New Roman" w:hAnsi="Times New Roman"/>
              </w:rPr>
              <w:t>4,58</w:t>
            </w:r>
          </w:p>
        </w:tc>
        <w:tc>
          <w:tcPr>
            <w:tcW w:w="850" w:type="dxa"/>
            <w:tcBorders>
              <w:top w:val="single" w:sz="4" w:space="0" w:color="auto"/>
              <w:left w:val="single" w:sz="4" w:space="0" w:color="auto"/>
              <w:bottom w:val="single" w:sz="4" w:space="0" w:color="auto"/>
              <w:right w:val="single" w:sz="4" w:space="0" w:color="auto"/>
            </w:tcBorders>
            <w:vAlign w:val="bottom"/>
          </w:tcPr>
          <w:p w:rsidR="005107E3" w:rsidRPr="00716850" w:rsidRDefault="005107E3" w:rsidP="00931D2B">
            <w:pPr>
              <w:spacing w:after="120" w:line="240" w:lineRule="auto"/>
              <w:jc w:val="center"/>
              <w:rPr>
                <w:rFonts w:ascii="Times New Roman" w:hAnsi="Times New Roman"/>
              </w:rPr>
            </w:pPr>
            <w:r w:rsidRPr="00716850">
              <w:rPr>
                <w:rFonts w:ascii="Times New Roman" w:hAnsi="Times New Roman"/>
              </w:rPr>
              <w:t>4,69</w:t>
            </w:r>
          </w:p>
        </w:tc>
        <w:tc>
          <w:tcPr>
            <w:tcW w:w="851" w:type="dxa"/>
            <w:tcBorders>
              <w:top w:val="single" w:sz="4" w:space="0" w:color="auto"/>
              <w:left w:val="single" w:sz="4" w:space="0" w:color="auto"/>
              <w:bottom w:val="single" w:sz="4" w:space="0" w:color="auto"/>
              <w:right w:val="single" w:sz="4" w:space="0" w:color="auto"/>
            </w:tcBorders>
            <w:vAlign w:val="bottom"/>
          </w:tcPr>
          <w:p w:rsidR="005107E3" w:rsidRPr="00716850" w:rsidRDefault="005107E3" w:rsidP="00931D2B">
            <w:pPr>
              <w:spacing w:after="120" w:line="240" w:lineRule="auto"/>
              <w:jc w:val="center"/>
              <w:rPr>
                <w:rFonts w:ascii="Times New Roman" w:hAnsi="Times New Roman"/>
              </w:rPr>
            </w:pPr>
            <w:r w:rsidRPr="00716850">
              <w:rPr>
                <w:rFonts w:ascii="Times New Roman" w:hAnsi="Times New Roman"/>
              </w:rPr>
              <w:t>5,17</w:t>
            </w:r>
          </w:p>
        </w:tc>
        <w:tc>
          <w:tcPr>
            <w:tcW w:w="1275" w:type="dxa"/>
            <w:tcBorders>
              <w:top w:val="single" w:sz="4" w:space="0" w:color="auto"/>
              <w:left w:val="single" w:sz="4" w:space="0" w:color="auto"/>
              <w:bottom w:val="single" w:sz="4" w:space="0" w:color="auto"/>
              <w:right w:val="single" w:sz="4" w:space="0" w:color="auto"/>
            </w:tcBorders>
            <w:vAlign w:val="center"/>
          </w:tcPr>
          <w:p w:rsidR="005107E3" w:rsidRPr="00284308" w:rsidRDefault="005107E3" w:rsidP="001C684B">
            <w:pPr>
              <w:spacing w:after="120" w:line="240" w:lineRule="auto"/>
              <w:jc w:val="center"/>
              <w:rPr>
                <w:rFonts w:ascii="Times New Roman" w:hAnsi="Times New Roman"/>
              </w:rPr>
            </w:pPr>
            <w:r w:rsidRPr="00284308">
              <w:rPr>
                <w:rFonts w:ascii="Times New Roman" w:hAnsi="Times New Roman"/>
              </w:rPr>
              <w:t>88,6</w:t>
            </w:r>
          </w:p>
        </w:tc>
      </w:tr>
      <w:tr w:rsidR="005107E3" w:rsidRPr="00F91A46" w:rsidTr="00931D2B">
        <w:tc>
          <w:tcPr>
            <w:tcW w:w="4748" w:type="dxa"/>
            <w:tcBorders>
              <w:top w:val="single" w:sz="4" w:space="0" w:color="auto"/>
              <w:left w:val="single" w:sz="4" w:space="0" w:color="auto"/>
              <w:bottom w:val="single" w:sz="4" w:space="0" w:color="auto"/>
              <w:right w:val="single" w:sz="4" w:space="0" w:color="auto"/>
            </w:tcBorders>
          </w:tcPr>
          <w:p w:rsidR="005107E3" w:rsidRPr="00F91A46" w:rsidRDefault="005107E3" w:rsidP="00931D2B">
            <w:pPr>
              <w:spacing w:after="120" w:line="240" w:lineRule="auto"/>
              <w:jc w:val="both"/>
              <w:rPr>
                <w:rFonts w:ascii="Times New Roman" w:hAnsi="Times New Roman"/>
              </w:rPr>
            </w:pPr>
            <w:r w:rsidRPr="00F91A46">
              <w:rPr>
                <w:rFonts w:ascii="Times New Roman" w:hAnsi="Times New Roman"/>
              </w:rPr>
              <w:t>Wydajność pracy – wartość dodana (tys. zł/osobę)</w:t>
            </w:r>
          </w:p>
        </w:tc>
        <w:tc>
          <w:tcPr>
            <w:tcW w:w="851" w:type="dxa"/>
            <w:tcBorders>
              <w:top w:val="single" w:sz="4" w:space="0" w:color="auto"/>
              <w:left w:val="single" w:sz="4" w:space="0" w:color="auto"/>
              <w:bottom w:val="single" w:sz="4" w:space="0" w:color="auto"/>
              <w:right w:val="single" w:sz="4" w:space="0" w:color="auto"/>
            </w:tcBorders>
            <w:vAlign w:val="bottom"/>
          </w:tcPr>
          <w:p w:rsidR="005107E3" w:rsidRPr="0017074E" w:rsidRDefault="005107E3" w:rsidP="00931D2B">
            <w:pPr>
              <w:spacing w:after="120" w:line="240" w:lineRule="auto"/>
              <w:jc w:val="center"/>
              <w:rPr>
                <w:rFonts w:ascii="Times New Roman" w:hAnsi="Times New Roman"/>
              </w:rPr>
            </w:pPr>
            <w:r w:rsidRPr="0017074E">
              <w:rPr>
                <w:rFonts w:ascii="Times New Roman" w:hAnsi="Times New Roman"/>
              </w:rPr>
              <w:t>88,46</w:t>
            </w:r>
          </w:p>
        </w:tc>
        <w:tc>
          <w:tcPr>
            <w:tcW w:w="850" w:type="dxa"/>
            <w:tcBorders>
              <w:top w:val="single" w:sz="4" w:space="0" w:color="auto"/>
              <w:left w:val="single" w:sz="4" w:space="0" w:color="auto"/>
              <w:bottom w:val="single" w:sz="4" w:space="0" w:color="auto"/>
              <w:right w:val="single" w:sz="4" w:space="0" w:color="auto"/>
            </w:tcBorders>
            <w:vAlign w:val="bottom"/>
          </w:tcPr>
          <w:p w:rsidR="005107E3" w:rsidRPr="0017074E" w:rsidRDefault="005107E3" w:rsidP="00931D2B">
            <w:pPr>
              <w:spacing w:after="120" w:line="240" w:lineRule="auto"/>
              <w:jc w:val="center"/>
              <w:rPr>
                <w:rFonts w:ascii="Times New Roman" w:hAnsi="Times New Roman"/>
              </w:rPr>
            </w:pPr>
            <w:r w:rsidRPr="0017074E">
              <w:rPr>
                <w:rFonts w:ascii="Times New Roman" w:hAnsi="Times New Roman"/>
              </w:rPr>
              <w:t>69,90</w:t>
            </w:r>
          </w:p>
        </w:tc>
        <w:tc>
          <w:tcPr>
            <w:tcW w:w="851" w:type="dxa"/>
            <w:tcBorders>
              <w:top w:val="single" w:sz="4" w:space="0" w:color="auto"/>
              <w:left w:val="single" w:sz="4" w:space="0" w:color="auto"/>
              <w:bottom w:val="single" w:sz="4" w:space="0" w:color="auto"/>
              <w:right w:val="single" w:sz="4" w:space="0" w:color="auto"/>
            </w:tcBorders>
            <w:vAlign w:val="bottom"/>
          </w:tcPr>
          <w:p w:rsidR="005107E3" w:rsidRPr="0017074E" w:rsidRDefault="005107E3" w:rsidP="00931D2B">
            <w:pPr>
              <w:spacing w:after="120" w:line="240" w:lineRule="auto"/>
              <w:jc w:val="center"/>
              <w:rPr>
                <w:rFonts w:ascii="Times New Roman" w:hAnsi="Times New Roman"/>
              </w:rPr>
            </w:pPr>
            <w:r w:rsidRPr="0017074E">
              <w:rPr>
                <w:rFonts w:ascii="Times New Roman" w:hAnsi="Times New Roman"/>
              </w:rPr>
              <w:t>59,00</w:t>
            </w:r>
          </w:p>
        </w:tc>
        <w:tc>
          <w:tcPr>
            <w:tcW w:w="1275" w:type="dxa"/>
            <w:tcBorders>
              <w:top w:val="single" w:sz="4" w:space="0" w:color="auto"/>
              <w:left w:val="single" w:sz="4" w:space="0" w:color="auto"/>
              <w:bottom w:val="single" w:sz="4" w:space="0" w:color="auto"/>
              <w:right w:val="single" w:sz="4" w:space="0" w:color="auto"/>
            </w:tcBorders>
            <w:vAlign w:val="center"/>
          </w:tcPr>
          <w:p w:rsidR="005107E3" w:rsidRPr="00284308" w:rsidRDefault="005107E3" w:rsidP="001C684B">
            <w:pPr>
              <w:spacing w:after="120" w:line="240" w:lineRule="auto"/>
              <w:jc w:val="center"/>
              <w:rPr>
                <w:rFonts w:ascii="Times New Roman" w:hAnsi="Times New Roman"/>
              </w:rPr>
            </w:pPr>
            <w:r w:rsidRPr="00284308">
              <w:rPr>
                <w:rFonts w:ascii="Times New Roman" w:hAnsi="Times New Roman"/>
              </w:rPr>
              <w:t>149,9</w:t>
            </w:r>
          </w:p>
        </w:tc>
      </w:tr>
      <w:tr w:rsidR="005107E3" w:rsidRPr="00F91A46" w:rsidTr="00931D2B">
        <w:tc>
          <w:tcPr>
            <w:tcW w:w="4748" w:type="dxa"/>
            <w:tcBorders>
              <w:top w:val="single" w:sz="4" w:space="0" w:color="auto"/>
              <w:left w:val="single" w:sz="4" w:space="0" w:color="auto"/>
              <w:bottom w:val="single" w:sz="4" w:space="0" w:color="auto"/>
              <w:right w:val="single" w:sz="4" w:space="0" w:color="auto"/>
            </w:tcBorders>
          </w:tcPr>
          <w:p w:rsidR="005107E3" w:rsidRPr="00F91A46" w:rsidRDefault="005107E3" w:rsidP="00931D2B">
            <w:pPr>
              <w:spacing w:after="120" w:line="240" w:lineRule="auto"/>
              <w:jc w:val="both"/>
              <w:rPr>
                <w:rFonts w:ascii="Times New Roman" w:hAnsi="Times New Roman"/>
              </w:rPr>
            </w:pPr>
            <w:r w:rsidRPr="00F91A46">
              <w:rPr>
                <w:rFonts w:ascii="Times New Roman" w:hAnsi="Times New Roman"/>
              </w:rPr>
              <w:t>Wskaźnik wartości dodanej (%)</w:t>
            </w:r>
          </w:p>
        </w:tc>
        <w:tc>
          <w:tcPr>
            <w:tcW w:w="851" w:type="dxa"/>
            <w:tcBorders>
              <w:top w:val="single" w:sz="4" w:space="0" w:color="auto"/>
              <w:left w:val="single" w:sz="4" w:space="0" w:color="auto"/>
              <w:bottom w:val="single" w:sz="4" w:space="0" w:color="auto"/>
              <w:right w:val="single" w:sz="4" w:space="0" w:color="auto"/>
            </w:tcBorders>
            <w:vAlign w:val="bottom"/>
          </w:tcPr>
          <w:p w:rsidR="005107E3" w:rsidRPr="0017074E" w:rsidRDefault="005107E3" w:rsidP="00931D2B">
            <w:pPr>
              <w:spacing w:after="120" w:line="240" w:lineRule="auto"/>
              <w:jc w:val="center"/>
              <w:rPr>
                <w:rFonts w:ascii="Times New Roman" w:hAnsi="Times New Roman"/>
              </w:rPr>
            </w:pPr>
            <w:r w:rsidRPr="0017074E">
              <w:rPr>
                <w:rFonts w:ascii="Times New Roman" w:hAnsi="Times New Roman"/>
              </w:rPr>
              <w:t>42,09</w:t>
            </w:r>
          </w:p>
        </w:tc>
        <w:tc>
          <w:tcPr>
            <w:tcW w:w="850" w:type="dxa"/>
            <w:tcBorders>
              <w:top w:val="single" w:sz="4" w:space="0" w:color="auto"/>
              <w:left w:val="single" w:sz="4" w:space="0" w:color="auto"/>
              <w:bottom w:val="single" w:sz="4" w:space="0" w:color="auto"/>
              <w:right w:val="single" w:sz="4" w:space="0" w:color="auto"/>
            </w:tcBorders>
            <w:vAlign w:val="bottom"/>
          </w:tcPr>
          <w:p w:rsidR="005107E3" w:rsidRPr="0017074E" w:rsidRDefault="005107E3" w:rsidP="00931D2B">
            <w:pPr>
              <w:spacing w:after="120" w:line="240" w:lineRule="auto"/>
              <w:jc w:val="center"/>
              <w:rPr>
                <w:rFonts w:ascii="Times New Roman" w:hAnsi="Times New Roman"/>
              </w:rPr>
            </w:pPr>
            <w:r w:rsidRPr="0017074E">
              <w:rPr>
                <w:rFonts w:ascii="Times New Roman" w:hAnsi="Times New Roman"/>
              </w:rPr>
              <w:t>41,71</w:t>
            </w:r>
          </w:p>
        </w:tc>
        <w:tc>
          <w:tcPr>
            <w:tcW w:w="851" w:type="dxa"/>
            <w:tcBorders>
              <w:top w:val="single" w:sz="4" w:space="0" w:color="auto"/>
              <w:left w:val="single" w:sz="4" w:space="0" w:color="auto"/>
              <w:bottom w:val="single" w:sz="4" w:space="0" w:color="auto"/>
              <w:right w:val="single" w:sz="4" w:space="0" w:color="auto"/>
            </w:tcBorders>
            <w:vAlign w:val="bottom"/>
          </w:tcPr>
          <w:p w:rsidR="005107E3" w:rsidRPr="0017074E" w:rsidRDefault="005107E3" w:rsidP="00931D2B">
            <w:pPr>
              <w:spacing w:after="120" w:line="240" w:lineRule="auto"/>
              <w:jc w:val="center"/>
              <w:rPr>
                <w:rFonts w:ascii="Times New Roman" w:hAnsi="Times New Roman"/>
              </w:rPr>
            </w:pPr>
            <w:r w:rsidRPr="0017074E">
              <w:rPr>
                <w:rFonts w:ascii="Times New Roman" w:hAnsi="Times New Roman"/>
              </w:rPr>
              <w:t>39,94</w:t>
            </w:r>
          </w:p>
        </w:tc>
        <w:tc>
          <w:tcPr>
            <w:tcW w:w="1275" w:type="dxa"/>
            <w:tcBorders>
              <w:top w:val="single" w:sz="4" w:space="0" w:color="auto"/>
              <w:left w:val="single" w:sz="4" w:space="0" w:color="auto"/>
              <w:bottom w:val="single" w:sz="4" w:space="0" w:color="auto"/>
              <w:right w:val="single" w:sz="4" w:space="0" w:color="auto"/>
            </w:tcBorders>
            <w:vAlign w:val="center"/>
          </w:tcPr>
          <w:p w:rsidR="005107E3" w:rsidRPr="00284308" w:rsidRDefault="005107E3" w:rsidP="001C684B">
            <w:pPr>
              <w:spacing w:after="120" w:line="240" w:lineRule="auto"/>
              <w:jc w:val="center"/>
              <w:rPr>
                <w:rFonts w:ascii="Times New Roman" w:hAnsi="Times New Roman"/>
              </w:rPr>
            </w:pPr>
            <w:r w:rsidRPr="00284308">
              <w:rPr>
                <w:rFonts w:ascii="Times New Roman" w:hAnsi="Times New Roman"/>
              </w:rPr>
              <w:t>105,4</w:t>
            </w:r>
          </w:p>
        </w:tc>
      </w:tr>
      <w:tr w:rsidR="005107E3" w:rsidRPr="00F91A46" w:rsidTr="00931D2B">
        <w:trPr>
          <w:cantSplit/>
        </w:trPr>
        <w:tc>
          <w:tcPr>
            <w:tcW w:w="8575" w:type="dxa"/>
            <w:gridSpan w:val="5"/>
            <w:tcBorders>
              <w:top w:val="single" w:sz="4" w:space="0" w:color="auto"/>
              <w:left w:val="single" w:sz="4" w:space="0" w:color="auto"/>
              <w:bottom w:val="single" w:sz="4" w:space="0" w:color="auto"/>
              <w:right w:val="single" w:sz="4" w:space="0" w:color="auto"/>
            </w:tcBorders>
          </w:tcPr>
          <w:p w:rsidR="005107E3" w:rsidRPr="00F91A46" w:rsidRDefault="005107E3" w:rsidP="00931D2B">
            <w:pPr>
              <w:spacing w:after="120" w:line="240" w:lineRule="auto"/>
              <w:rPr>
                <w:rFonts w:ascii="Times New Roman" w:hAnsi="Times New Roman"/>
              </w:rPr>
            </w:pPr>
            <w:r w:rsidRPr="00F91A46">
              <w:rPr>
                <w:rFonts w:ascii="Times New Roman" w:hAnsi="Times New Roman"/>
              </w:rPr>
              <w:t>Wskaźniki dochodowości:</w:t>
            </w:r>
          </w:p>
        </w:tc>
      </w:tr>
      <w:tr w:rsidR="005107E3" w:rsidRPr="00F91A46" w:rsidTr="00931D2B">
        <w:tc>
          <w:tcPr>
            <w:tcW w:w="4748" w:type="dxa"/>
            <w:tcBorders>
              <w:top w:val="single" w:sz="4" w:space="0" w:color="auto"/>
              <w:left w:val="single" w:sz="4" w:space="0" w:color="auto"/>
              <w:bottom w:val="single" w:sz="4" w:space="0" w:color="auto"/>
              <w:right w:val="single" w:sz="4" w:space="0" w:color="auto"/>
            </w:tcBorders>
          </w:tcPr>
          <w:p w:rsidR="005107E3" w:rsidRPr="00F91A46" w:rsidRDefault="005107E3" w:rsidP="00931D2B">
            <w:pPr>
              <w:spacing w:after="120" w:line="240" w:lineRule="auto"/>
              <w:jc w:val="both"/>
              <w:rPr>
                <w:rFonts w:ascii="Times New Roman" w:hAnsi="Times New Roman"/>
              </w:rPr>
            </w:pPr>
            <w:r w:rsidRPr="00F91A46">
              <w:rPr>
                <w:rFonts w:ascii="Times New Roman" w:hAnsi="Times New Roman"/>
              </w:rPr>
              <w:t>- pracy członka (zł/osobę)</w:t>
            </w:r>
          </w:p>
        </w:tc>
        <w:tc>
          <w:tcPr>
            <w:tcW w:w="851" w:type="dxa"/>
            <w:tcBorders>
              <w:top w:val="single" w:sz="4" w:space="0" w:color="auto"/>
              <w:left w:val="single" w:sz="4" w:space="0" w:color="auto"/>
              <w:bottom w:val="single" w:sz="4" w:space="0" w:color="auto"/>
              <w:right w:val="single" w:sz="4" w:space="0" w:color="auto"/>
            </w:tcBorders>
            <w:vAlign w:val="bottom"/>
          </w:tcPr>
          <w:p w:rsidR="005107E3" w:rsidRPr="001E5940" w:rsidRDefault="005107E3" w:rsidP="00931D2B">
            <w:pPr>
              <w:spacing w:after="120" w:line="240" w:lineRule="auto"/>
              <w:jc w:val="center"/>
              <w:rPr>
                <w:rFonts w:ascii="Times New Roman" w:hAnsi="Times New Roman"/>
              </w:rPr>
            </w:pPr>
            <w:r w:rsidRPr="001E5940">
              <w:rPr>
                <w:rFonts w:ascii="Times New Roman" w:hAnsi="Times New Roman"/>
              </w:rPr>
              <w:t>62 164</w:t>
            </w:r>
          </w:p>
        </w:tc>
        <w:tc>
          <w:tcPr>
            <w:tcW w:w="850" w:type="dxa"/>
            <w:tcBorders>
              <w:top w:val="single" w:sz="4" w:space="0" w:color="auto"/>
              <w:left w:val="single" w:sz="4" w:space="0" w:color="auto"/>
              <w:bottom w:val="single" w:sz="4" w:space="0" w:color="auto"/>
              <w:right w:val="single" w:sz="4" w:space="0" w:color="auto"/>
            </w:tcBorders>
            <w:vAlign w:val="bottom"/>
          </w:tcPr>
          <w:p w:rsidR="005107E3" w:rsidRPr="001E5940" w:rsidRDefault="005107E3" w:rsidP="00931D2B">
            <w:pPr>
              <w:spacing w:after="120" w:line="240" w:lineRule="auto"/>
              <w:jc w:val="center"/>
              <w:rPr>
                <w:rFonts w:ascii="Times New Roman" w:hAnsi="Times New Roman"/>
              </w:rPr>
            </w:pPr>
            <w:r w:rsidRPr="001E5940">
              <w:rPr>
                <w:rFonts w:ascii="Times New Roman" w:hAnsi="Times New Roman"/>
              </w:rPr>
              <w:t>46 232</w:t>
            </w:r>
          </w:p>
        </w:tc>
        <w:tc>
          <w:tcPr>
            <w:tcW w:w="851" w:type="dxa"/>
            <w:tcBorders>
              <w:top w:val="single" w:sz="4" w:space="0" w:color="auto"/>
              <w:left w:val="single" w:sz="4" w:space="0" w:color="auto"/>
              <w:bottom w:val="single" w:sz="4" w:space="0" w:color="auto"/>
              <w:right w:val="single" w:sz="4" w:space="0" w:color="auto"/>
            </w:tcBorders>
            <w:vAlign w:val="bottom"/>
          </w:tcPr>
          <w:p w:rsidR="005107E3" w:rsidRPr="001E5940" w:rsidRDefault="005107E3" w:rsidP="00931D2B">
            <w:pPr>
              <w:spacing w:after="120" w:line="240" w:lineRule="auto"/>
              <w:jc w:val="center"/>
              <w:rPr>
                <w:rFonts w:ascii="Times New Roman" w:hAnsi="Times New Roman"/>
              </w:rPr>
            </w:pPr>
            <w:r w:rsidRPr="001E5940">
              <w:rPr>
                <w:rFonts w:ascii="Times New Roman" w:hAnsi="Times New Roman"/>
              </w:rPr>
              <w:t>37 175</w:t>
            </w:r>
          </w:p>
        </w:tc>
        <w:tc>
          <w:tcPr>
            <w:tcW w:w="1275" w:type="dxa"/>
            <w:tcBorders>
              <w:top w:val="single" w:sz="4" w:space="0" w:color="auto"/>
              <w:left w:val="single" w:sz="4" w:space="0" w:color="auto"/>
              <w:bottom w:val="single" w:sz="4" w:space="0" w:color="auto"/>
              <w:right w:val="single" w:sz="4" w:space="0" w:color="auto"/>
            </w:tcBorders>
            <w:vAlign w:val="center"/>
          </w:tcPr>
          <w:p w:rsidR="005107E3" w:rsidRPr="00284308" w:rsidRDefault="005107E3" w:rsidP="001C684B">
            <w:pPr>
              <w:spacing w:after="120" w:line="240" w:lineRule="auto"/>
              <w:jc w:val="center"/>
              <w:rPr>
                <w:rFonts w:ascii="Times New Roman" w:hAnsi="Times New Roman"/>
              </w:rPr>
            </w:pPr>
            <w:r w:rsidRPr="00284308">
              <w:rPr>
                <w:rFonts w:ascii="Times New Roman" w:hAnsi="Times New Roman"/>
              </w:rPr>
              <w:t>167,2</w:t>
            </w:r>
          </w:p>
        </w:tc>
      </w:tr>
      <w:tr w:rsidR="005107E3" w:rsidRPr="00F91A46" w:rsidTr="00931D2B">
        <w:tc>
          <w:tcPr>
            <w:tcW w:w="4748" w:type="dxa"/>
            <w:tcBorders>
              <w:top w:val="single" w:sz="4" w:space="0" w:color="auto"/>
              <w:left w:val="single" w:sz="4" w:space="0" w:color="auto"/>
              <w:bottom w:val="single" w:sz="4" w:space="0" w:color="auto"/>
              <w:right w:val="single" w:sz="4" w:space="0" w:color="auto"/>
            </w:tcBorders>
          </w:tcPr>
          <w:p w:rsidR="005107E3" w:rsidRPr="00F91A46" w:rsidRDefault="005107E3" w:rsidP="00931D2B">
            <w:pPr>
              <w:spacing w:after="120" w:line="240" w:lineRule="auto"/>
              <w:jc w:val="both"/>
              <w:rPr>
                <w:rFonts w:ascii="Times New Roman" w:hAnsi="Times New Roman"/>
              </w:rPr>
            </w:pPr>
            <w:r w:rsidRPr="00F91A46">
              <w:rPr>
                <w:rFonts w:ascii="Times New Roman" w:hAnsi="Times New Roman"/>
              </w:rPr>
              <w:t>- działalności gospodarczej (%)</w:t>
            </w:r>
          </w:p>
        </w:tc>
        <w:tc>
          <w:tcPr>
            <w:tcW w:w="851" w:type="dxa"/>
            <w:tcBorders>
              <w:top w:val="single" w:sz="4" w:space="0" w:color="auto"/>
              <w:left w:val="single" w:sz="4" w:space="0" w:color="auto"/>
              <w:bottom w:val="single" w:sz="4" w:space="0" w:color="auto"/>
              <w:right w:val="single" w:sz="4" w:space="0" w:color="auto"/>
            </w:tcBorders>
            <w:vAlign w:val="bottom"/>
          </w:tcPr>
          <w:p w:rsidR="005107E3" w:rsidRPr="00BB4E63" w:rsidRDefault="005107E3" w:rsidP="00931D2B">
            <w:pPr>
              <w:spacing w:after="120" w:line="240" w:lineRule="auto"/>
              <w:jc w:val="center"/>
              <w:rPr>
                <w:rFonts w:ascii="Times New Roman" w:hAnsi="Times New Roman"/>
              </w:rPr>
            </w:pPr>
            <w:r w:rsidRPr="00BB4E63">
              <w:rPr>
                <w:rFonts w:ascii="Times New Roman" w:hAnsi="Times New Roman"/>
              </w:rPr>
              <w:t>28,21</w:t>
            </w:r>
          </w:p>
        </w:tc>
        <w:tc>
          <w:tcPr>
            <w:tcW w:w="850" w:type="dxa"/>
            <w:tcBorders>
              <w:top w:val="single" w:sz="4" w:space="0" w:color="auto"/>
              <w:left w:val="single" w:sz="4" w:space="0" w:color="auto"/>
              <w:bottom w:val="single" w:sz="4" w:space="0" w:color="auto"/>
              <w:right w:val="single" w:sz="4" w:space="0" w:color="auto"/>
            </w:tcBorders>
            <w:vAlign w:val="bottom"/>
          </w:tcPr>
          <w:p w:rsidR="005107E3" w:rsidRPr="00BB4E63" w:rsidRDefault="005107E3" w:rsidP="00931D2B">
            <w:pPr>
              <w:spacing w:after="120" w:line="240" w:lineRule="auto"/>
              <w:jc w:val="center"/>
              <w:rPr>
                <w:rFonts w:ascii="Times New Roman" w:hAnsi="Times New Roman"/>
              </w:rPr>
            </w:pPr>
            <w:r w:rsidRPr="00BB4E63">
              <w:rPr>
                <w:rFonts w:ascii="Times New Roman" w:hAnsi="Times New Roman"/>
              </w:rPr>
              <w:t>25,89</w:t>
            </w:r>
          </w:p>
        </w:tc>
        <w:tc>
          <w:tcPr>
            <w:tcW w:w="851" w:type="dxa"/>
            <w:tcBorders>
              <w:top w:val="single" w:sz="4" w:space="0" w:color="auto"/>
              <w:left w:val="single" w:sz="4" w:space="0" w:color="auto"/>
              <w:bottom w:val="single" w:sz="4" w:space="0" w:color="auto"/>
              <w:right w:val="single" w:sz="4" w:space="0" w:color="auto"/>
            </w:tcBorders>
            <w:vAlign w:val="bottom"/>
          </w:tcPr>
          <w:p w:rsidR="005107E3" w:rsidRPr="00BB4E63" w:rsidRDefault="005107E3" w:rsidP="00931D2B">
            <w:pPr>
              <w:spacing w:after="120" w:line="240" w:lineRule="auto"/>
              <w:jc w:val="center"/>
              <w:rPr>
                <w:rFonts w:ascii="Times New Roman" w:hAnsi="Times New Roman"/>
              </w:rPr>
            </w:pPr>
            <w:r w:rsidRPr="00BB4E63">
              <w:rPr>
                <w:rFonts w:ascii="Times New Roman" w:hAnsi="Times New Roman"/>
              </w:rPr>
              <w:t>24,03</w:t>
            </w:r>
          </w:p>
        </w:tc>
        <w:tc>
          <w:tcPr>
            <w:tcW w:w="1275" w:type="dxa"/>
            <w:tcBorders>
              <w:top w:val="single" w:sz="4" w:space="0" w:color="auto"/>
              <w:left w:val="single" w:sz="4" w:space="0" w:color="auto"/>
              <w:bottom w:val="single" w:sz="4" w:space="0" w:color="auto"/>
              <w:right w:val="single" w:sz="4" w:space="0" w:color="auto"/>
            </w:tcBorders>
            <w:vAlign w:val="center"/>
          </w:tcPr>
          <w:p w:rsidR="005107E3" w:rsidRPr="00284308" w:rsidRDefault="005107E3" w:rsidP="001C684B">
            <w:pPr>
              <w:spacing w:after="120" w:line="240" w:lineRule="auto"/>
              <w:jc w:val="center"/>
              <w:rPr>
                <w:rFonts w:ascii="Times New Roman" w:hAnsi="Times New Roman"/>
              </w:rPr>
            </w:pPr>
            <w:r w:rsidRPr="00284308">
              <w:rPr>
                <w:rFonts w:ascii="Times New Roman" w:hAnsi="Times New Roman"/>
              </w:rPr>
              <w:t>117,4</w:t>
            </w:r>
          </w:p>
        </w:tc>
      </w:tr>
      <w:tr w:rsidR="005107E3" w:rsidRPr="00F91A46" w:rsidTr="00931D2B">
        <w:tc>
          <w:tcPr>
            <w:tcW w:w="4748" w:type="dxa"/>
            <w:tcBorders>
              <w:top w:val="single" w:sz="4" w:space="0" w:color="auto"/>
              <w:left w:val="single" w:sz="4" w:space="0" w:color="auto"/>
              <w:bottom w:val="single" w:sz="4" w:space="0" w:color="auto"/>
              <w:right w:val="single" w:sz="4" w:space="0" w:color="auto"/>
            </w:tcBorders>
          </w:tcPr>
          <w:p w:rsidR="005107E3" w:rsidRPr="00F91A46" w:rsidRDefault="005107E3" w:rsidP="00931D2B">
            <w:pPr>
              <w:spacing w:after="120" w:line="240" w:lineRule="auto"/>
              <w:jc w:val="both"/>
              <w:rPr>
                <w:rFonts w:ascii="Times New Roman" w:hAnsi="Times New Roman"/>
              </w:rPr>
            </w:pPr>
            <w:r w:rsidRPr="00F91A46">
              <w:rPr>
                <w:rFonts w:ascii="Times New Roman" w:hAnsi="Times New Roman"/>
              </w:rPr>
              <w:t>Wskaźnik płynności bieżącej</w:t>
            </w:r>
            <w:r>
              <w:rPr>
                <w:rFonts w:ascii="Times New Roman" w:hAnsi="Times New Roman"/>
              </w:rPr>
              <w:t xml:space="preserve"> (krotność)</w:t>
            </w:r>
          </w:p>
        </w:tc>
        <w:tc>
          <w:tcPr>
            <w:tcW w:w="851" w:type="dxa"/>
            <w:tcBorders>
              <w:top w:val="single" w:sz="4" w:space="0" w:color="auto"/>
              <w:left w:val="single" w:sz="4" w:space="0" w:color="auto"/>
              <w:bottom w:val="single" w:sz="4" w:space="0" w:color="auto"/>
              <w:right w:val="single" w:sz="4" w:space="0" w:color="auto"/>
            </w:tcBorders>
          </w:tcPr>
          <w:p w:rsidR="005107E3" w:rsidRPr="00BB4E63" w:rsidRDefault="005107E3" w:rsidP="00931D2B">
            <w:pPr>
              <w:spacing w:after="120" w:line="240" w:lineRule="auto"/>
              <w:jc w:val="center"/>
              <w:rPr>
                <w:rFonts w:ascii="Times New Roman" w:hAnsi="Times New Roman"/>
              </w:rPr>
            </w:pPr>
            <w:r w:rsidRPr="00BB4E63">
              <w:rPr>
                <w:rFonts w:ascii="Times New Roman" w:hAnsi="Times New Roman"/>
              </w:rPr>
              <w:t>3,05</w:t>
            </w:r>
          </w:p>
        </w:tc>
        <w:tc>
          <w:tcPr>
            <w:tcW w:w="850" w:type="dxa"/>
            <w:tcBorders>
              <w:top w:val="single" w:sz="4" w:space="0" w:color="auto"/>
              <w:left w:val="single" w:sz="4" w:space="0" w:color="auto"/>
              <w:bottom w:val="single" w:sz="4" w:space="0" w:color="auto"/>
              <w:right w:val="single" w:sz="4" w:space="0" w:color="auto"/>
            </w:tcBorders>
          </w:tcPr>
          <w:p w:rsidR="005107E3" w:rsidRPr="00BB4E63" w:rsidRDefault="005107E3" w:rsidP="00931D2B">
            <w:pPr>
              <w:spacing w:after="120" w:line="240" w:lineRule="auto"/>
              <w:jc w:val="center"/>
              <w:rPr>
                <w:rFonts w:ascii="Times New Roman" w:hAnsi="Times New Roman"/>
              </w:rPr>
            </w:pPr>
            <w:r w:rsidRPr="00BB4E63">
              <w:rPr>
                <w:rFonts w:ascii="Times New Roman" w:hAnsi="Times New Roman"/>
              </w:rPr>
              <w:t>2,95</w:t>
            </w:r>
          </w:p>
        </w:tc>
        <w:tc>
          <w:tcPr>
            <w:tcW w:w="851" w:type="dxa"/>
            <w:tcBorders>
              <w:top w:val="single" w:sz="4" w:space="0" w:color="auto"/>
              <w:left w:val="single" w:sz="4" w:space="0" w:color="auto"/>
              <w:bottom w:val="single" w:sz="4" w:space="0" w:color="auto"/>
              <w:right w:val="single" w:sz="4" w:space="0" w:color="auto"/>
            </w:tcBorders>
          </w:tcPr>
          <w:p w:rsidR="005107E3" w:rsidRPr="00BB4E63" w:rsidRDefault="005107E3" w:rsidP="00931D2B">
            <w:pPr>
              <w:spacing w:after="120" w:line="240" w:lineRule="auto"/>
              <w:jc w:val="center"/>
              <w:rPr>
                <w:rFonts w:ascii="Times New Roman" w:hAnsi="Times New Roman"/>
              </w:rPr>
            </w:pPr>
            <w:r w:rsidRPr="00BB4E63">
              <w:rPr>
                <w:rFonts w:ascii="Times New Roman" w:hAnsi="Times New Roman"/>
              </w:rPr>
              <w:t>2,90</w:t>
            </w:r>
          </w:p>
        </w:tc>
        <w:tc>
          <w:tcPr>
            <w:tcW w:w="1275" w:type="dxa"/>
            <w:tcBorders>
              <w:top w:val="single" w:sz="4" w:space="0" w:color="auto"/>
              <w:left w:val="single" w:sz="4" w:space="0" w:color="auto"/>
              <w:bottom w:val="single" w:sz="4" w:space="0" w:color="auto"/>
              <w:right w:val="single" w:sz="4" w:space="0" w:color="auto"/>
            </w:tcBorders>
            <w:vAlign w:val="center"/>
          </w:tcPr>
          <w:p w:rsidR="005107E3" w:rsidRPr="00284308" w:rsidRDefault="005107E3" w:rsidP="001C684B">
            <w:pPr>
              <w:spacing w:after="120" w:line="240" w:lineRule="auto"/>
              <w:jc w:val="center"/>
              <w:rPr>
                <w:rFonts w:ascii="Times New Roman" w:hAnsi="Times New Roman"/>
              </w:rPr>
            </w:pPr>
            <w:r w:rsidRPr="00284308">
              <w:rPr>
                <w:rFonts w:ascii="Times New Roman" w:hAnsi="Times New Roman"/>
              </w:rPr>
              <w:t>105,2</w:t>
            </w:r>
          </w:p>
        </w:tc>
      </w:tr>
      <w:tr w:rsidR="005107E3" w:rsidRPr="00F91A46" w:rsidTr="00931D2B">
        <w:tc>
          <w:tcPr>
            <w:tcW w:w="4748" w:type="dxa"/>
            <w:tcBorders>
              <w:top w:val="single" w:sz="4" w:space="0" w:color="auto"/>
              <w:left w:val="single" w:sz="4" w:space="0" w:color="auto"/>
              <w:bottom w:val="single" w:sz="4" w:space="0" w:color="auto"/>
              <w:right w:val="single" w:sz="4" w:space="0" w:color="auto"/>
            </w:tcBorders>
          </w:tcPr>
          <w:p w:rsidR="005107E3" w:rsidRPr="00F91A46" w:rsidRDefault="005107E3" w:rsidP="00931D2B">
            <w:pPr>
              <w:spacing w:after="120" w:line="240" w:lineRule="auto"/>
              <w:jc w:val="both"/>
              <w:rPr>
                <w:rFonts w:ascii="Times New Roman" w:hAnsi="Times New Roman"/>
              </w:rPr>
            </w:pPr>
            <w:r w:rsidRPr="00F91A46">
              <w:rPr>
                <w:rFonts w:ascii="Times New Roman" w:hAnsi="Times New Roman"/>
              </w:rPr>
              <w:t>Wskaźnik płynności szybkiej</w:t>
            </w:r>
            <w:r>
              <w:rPr>
                <w:rFonts w:ascii="Times New Roman" w:hAnsi="Times New Roman"/>
              </w:rPr>
              <w:t xml:space="preserve"> (krotność)</w:t>
            </w:r>
          </w:p>
        </w:tc>
        <w:tc>
          <w:tcPr>
            <w:tcW w:w="851" w:type="dxa"/>
            <w:tcBorders>
              <w:top w:val="single" w:sz="4" w:space="0" w:color="auto"/>
              <w:left w:val="single" w:sz="4" w:space="0" w:color="auto"/>
              <w:bottom w:val="single" w:sz="4" w:space="0" w:color="auto"/>
              <w:right w:val="single" w:sz="4" w:space="0" w:color="auto"/>
            </w:tcBorders>
          </w:tcPr>
          <w:p w:rsidR="005107E3" w:rsidRPr="00BB4E63" w:rsidRDefault="005107E3" w:rsidP="00931D2B">
            <w:pPr>
              <w:spacing w:after="120" w:line="240" w:lineRule="auto"/>
              <w:jc w:val="center"/>
              <w:rPr>
                <w:rFonts w:ascii="Times New Roman" w:hAnsi="Times New Roman"/>
              </w:rPr>
            </w:pPr>
            <w:r w:rsidRPr="00BB4E63">
              <w:rPr>
                <w:rFonts w:ascii="Times New Roman" w:hAnsi="Times New Roman"/>
              </w:rPr>
              <w:t>1,81</w:t>
            </w:r>
          </w:p>
        </w:tc>
        <w:tc>
          <w:tcPr>
            <w:tcW w:w="850" w:type="dxa"/>
            <w:tcBorders>
              <w:top w:val="single" w:sz="4" w:space="0" w:color="auto"/>
              <w:left w:val="single" w:sz="4" w:space="0" w:color="auto"/>
              <w:bottom w:val="single" w:sz="4" w:space="0" w:color="auto"/>
              <w:right w:val="single" w:sz="4" w:space="0" w:color="auto"/>
            </w:tcBorders>
          </w:tcPr>
          <w:p w:rsidR="005107E3" w:rsidRPr="00BB4E63" w:rsidRDefault="005107E3" w:rsidP="00931D2B">
            <w:pPr>
              <w:spacing w:after="120" w:line="240" w:lineRule="auto"/>
              <w:jc w:val="center"/>
              <w:rPr>
                <w:rFonts w:ascii="Times New Roman" w:hAnsi="Times New Roman"/>
              </w:rPr>
            </w:pPr>
            <w:r w:rsidRPr="00BB4E63">
              <w:rPr>
                <w:rFonts w:ascii="Times New Roman" w:hAnsi="Times New Roman"/>
              </w:rPr>
              <w:t>1,78</w:t>
            </w:r>
          </w:p>
        </w:tc>
        <w:tc>
          <w:tcPr>
            <w:tcW w:w="851" w:type="dxa"/>
            <w:tcBorders>
              <w:top w:val="single" w:sz="4" w:space="0" w:color="auto"/>
              <w:left w:val="single" w:sz="4" w:space="0" w:color="auto"/>
              <w:bottom w:val="single" w:sz="4" w:space="0" w:color="auto"/>
              <w:right w:val="single" w:sz="4" w:space="0" w:color="auto"/>
            </w:tcBorders>
          </w:tcPr>
          <w:p w:rsidR="005107E3" w:rsidRPr="00BB4E63" w:rsidRDefault="005107E3" w:rsidP="00931D2B">
            <w:pPr>
              <w:spacing w:after="120" w:line="240" w:lineRule="auto"/>
              <w:jc w:val="center"/>
              <w:rPr>
                <w:rFonts w:ascii="Times New Roman" w:hAnsi="Times New Roman"/>
              </w:rPr>
            </w:pPr>
            <w:r w:rsidRPr="00BB4E63">
              <w:rPr>
                <w:rFonts w:ascii="Times New Roman" w:hAnsi="Times New Roman"/>
              </w:rPr>
              <w:t>1,64</w:t>
            </w:r>
          </w:p>
        </w:tc>
        <w:tc>
          <w:tcPr>
            <w:tcW w:w="1275" w:type="dxa"/>
            <w:tcBorders>
              <w:top w:val="single" w:sz="4" w:space="0" w:color="auto"/>
              <w:left w:val="single" w:sz="4" w:space="0" w:color="auto"/>
              <w:bottom w:val="single" w:sz="4" w:space="0" w:color="auto"/>
              <w:right w:val="single" w:sz="4" w:space="0" w:color="auto"/>
            </w:tcBorders>
            <w:vAlign w:val="center"/>
          </w:tcPr>
          <w:p w:rsidR="005107E3" w:rsidRPr="00284308" w:rsidRDefault="005107E3" w:rsidP="001C684B">
            <w:pPr>
              <w:spacing w:after="120" w:line="240" w:lineRule="auto"/>
              <w:jc w:val="center"/>
              <w:rPr>
                <w:rFonts w:ascii="Times New Roman" w:hAnsi="Times New Roman"/>
              </w:rPr>
            </w:pPr>
            <w:r w:rsidRPr="00284308">
              <w:rPr>
                <w:rFonts w:ascii="Times New Roman" w:hAnsi="Times New Roman"/>
              </w:rPr>
              <w:t>110,4</w:t>
            </w:r>
          </w:p>
        </w:tc>
      </w:tr>
      <w:tr w:rsidR="005107E3" w:rsidRPr="00F91A46" w:rsidTr="00931D2B">
        <w:tc>
          <w:tcPr>
            <w:tcW w:w="4748" w:type="dxa"/>
            <w:tcBorders>
              <w:top w:val="single" w:sz="4" w:space="0" w:color="auto"/>
              <w:left w:val="single" w:sz="4" w:space="0" w:color="auto"/>
              <w:bottom w:val="single" w:sz="4" w:space="0" w:color="auto"/>
              <w:right w:val="single" w:sz="4" w:space="0" w:color="auto"/>
            </w:tcBorders>
          </w:tcPr>
          <w:p w:rsidR="005107E3" w:rsidRPr="00F91A46" w:rsidRDefault="005107E3" w:rsidP="00931D2B">
            <w:pPr>
              <w:spacing w:after="120" w:line="240" w:lineRule="auto"/>
              <w:jc w:val="both"/>
              <w:rPr>
                <w:rFonts w:ascii="Times New Roman" w:hAnsi="Times New Roman"/>
              </w:rPr>
            </w:pPr>
            <w:r w:rsidRPr="00183E03">
              <w:rPr>
                <w:rFonts w:ascii="Times New Roman" w:hAnsi="Times New Roman"/>
              </w:rPr>
              <w:t>Indeks tworzenia wartości</w:t>
            </w:r>
            <w:r>
              <w:rPr>
                <w:rFonts w:ascii="Times New Roman" w:hAnsi="Times New Roman"/>
              </w:rPr>
              <w:t xml:space="preserve"> (krotność)</w:t>
            </w:r>
          </w:p>
        </w:tc>
        <w:tc>
          <w:tcPr>
            <w:tcW w:w="851" w:type="dxa"/>
            <w:tcBorders>
              <w:top w:val="single" w:sz="4" w:space="0" w:color="auto"/>
              <w:left w:val="single" w:sz="4" w:space="0" w:color="auto"/>
              <w:bottom w:val="single" w:sz="4" w:space="0" w:color="auto"/>
              <w:right w:val="single" w:sz="4" w:space="0" w:color="auto"/>
            </w:tcBorders>
            <w:vAlign w:val="bottom"/>
          </w:tcPr>
          <w:p w:rsidR="005107E3" w:rsidRPr="00BB4E63" w:rsidRDefault="005107E3" w:rsidP="00931D2B">
            <w:pPr>
              <w:spacing w:after="120" w:line="240" w:lineRule="auto"/>
              <w:jc w:val="center"/>
              <w:rPr>
                <w:rFonts w:ascii="Times New Roman" w:hAnsi="Times New Roman"/>
              </w:rPr>
            </w:pPr>
            <w:r w:rsidRPr="00BB4E63">
              <w:rPr>
                <w:rFonts w:ascii="Times New Roman" w:hAnsi="Times New Roman"/>
              </w:rPr>
              <w:t>0,48</w:t>
            </w:r>
          </w:p>
        </w:tc>
        <w:tc>
          <w:tcPr>
            <w:tcW w:w="850" w:type="dxa"/>
            <w:tcBorders>
              <w:top w:val="single" w:sz="4" w:space="0" w:color="auto"/>
              <w:left w:val="single" w:sz="4" w:space="0" w:color="auto"/>
              <w:bottom w:val="single" w:sz="4" w:space="0" w:color="auto"/>
              <w:right w:val="single" w:sz="4" w:space="0" w:color="auto"/>
            </w:tcBorders>
            <w:vAlign w:val="bottom"/>
          </w:tcPr>
          <w:p w:rsidR="005107E3" w:rsidRPr="00BB4E63" w:rsidRDefault="005107E3" w:rsidP="00931D2B">
            <w:pPr>
              <w:spacing w:after="120" w:line="240" w:lineRule="auto"/>
              <w:jc w:val="center"/>
              <w:rPr>
                <w:rFonts w:ascii="Times New Roman" w:hAnsi="Times New Roman"/>
              </w:rPr>
            </w:pPr>
            <w:r w:rsidRPr="00BB4E63">
              <w:rPr>
                <w:rFonts w:ascii="Times New Roman" w:hAnsi="Times New Roman"/>
              </w:rPr>
              <w:t>0,98</w:t>
            </w:r>
          </w:p>
        </w:tc>
        <w:tc>
          <w:tcPr>
            <w:tcW w:w="851" w:type="dxa"/>
            <w:tcBorders>
              <w:top w:val="single" w:sz="4" w:space="0" w:color="auto"/>
              <w:left w:val="single" w:sz="4" w:space="0" w:color="auto"/>
              <w:bottom w:val="single" w:sz="4" w:space="0" w:color="auto"/>
              <w:right w:val="single" w:sz="4" w:space="0" w:color="auto"/>
            </w:tcBorders>
            <w:vAlign w:val="bottom"/>
          </w:tcPr>
          <w:p w:rsidR="005107E3" w:rsidRPr="00BB4E63" w:rsidRDefault="005107E3" w:rsidP="00931D2B">
            <w:pPr>
              <w:spacing w:after="120" w:line="240" w:lineRule="auto"/>
              <w:jc w:val="center"/>
              <w:rPr>
                <w:rFonts w:ascii="Times New Roman" w:hAnsi="Times New Roman"/>
              </w:rPr>
            </w:pPr>
            <w:r w:rsidRPr="00BB4E63">
              <w:rPr>
                <w:rFonts w:ascii="Times New Roman" w:hAnsi="Times New Roman"/>
              </w:rPr>
              <w:t>0,39</w:t>
            </w:r>
          </w:p>
        </w:tc>
        <w:tc>
          <w:tcPr>
            <w:tcW w:w="1275" w:type="dxa"/>
            <w:tcBorders>
              <w:top w:val="single" w:sz="4" w:space="0" w:color="auto"/>
              <w:left w:val="single" w:sz="4" w:space="0" w:color="auto"/>
              <w:bottom w:val="single" w:sz="4" w:space="0" w:color="auto"/>
              <w:right w:val="single" w:sz="4" w:space="0" w:color="auto"/>
            </w:tcBorders>
            <w:vAlign w:val="center"/>
          </w:tcPr>
          <w:p w:rsidR="005107E3" w:rsidRPr="00284308" w:rsidRDefault="005107E3" w:rsidP="001C684B">
            <w:pPr>
              <w:spacing w:after="120" w:line="240" w:lineRule="auto"/>
              <w:jc w:val="center"/>
              <w:rPr>
                <w:rFonts w:ascii="Times New Roman" w:hAnsi="Times New Roman"/>
              </w:rPr>
            </w:pPr>
            <w:r w:rsidRPr="00284308">
              <w:rPr>
                <w:rFonts w:ascii="Times New Roman" w:hAnsi="Times New Roman"/>
              </w:rPr>
              <w:t>123,1</w:t>
            </w:r>
          </w:p>
        </w:tc>
      </w:tr>
    </w:tbl>
    <w:p w:rsidR="005107E3" w:rsidRPr="00E019DF" w:rsidRDefault="005107E3" w:rsidP="005107E3">
      <w:pPr>
        <w:pStyle w:val="Tekstpodstawowy"/>
        <w:rPr>
          <w:rFonts w:ascii="Times New Roman" w:hAnsi="Times New Roman" w:cs="Times New Roman"/>
          <w:sz w:val="20"/>
        </w:rPr>
      </w:pPr>
      <w:r w:rsidRPr="00E019DF">
        <w:rPr>
          <w:rFonts w:ascii="Times New Roman" w:hAnsi="Times New Roman" w:cs="Times New Roman"/>
          <w:sz w:val="20"/>
        </w:rPr>
        <w:t>Źródło: Ranking RSP 2009 r. 2010 r. i 2011 r.</w:t>
      </w:r>
    </w:p>
    <w:p w:rsidR="006E139D" w:rsidRDefault="006E139D" w:rsidP="006E139D">
      <w:pPr>
        <w:spacing w:after="120"/>
        <w:ind w:firstLine="709"/>
        <w:jc w:val="both"/>
        <w:rPr>
          <w:rFonts w:ascii="Times New Roman" w:hAnsi="Times New Roman" w:cs="Times New Roman"/>
          <w:sz w:val="24"/>
          <w:szCs w:val="24"/>
        </w:rPr>
      </w:pPr>
      <w:r>
        <w:rPr>
          <w:rFonts w:ascii="Times New Roman" w:hAnsi="Times New Roman" w:cs="Times New Roman"/>
          <w:sz w:val="24"/>
          <w:szCs w:val="24"/>
        </w:rPr>
        <w:t>Począwszy od 2009 roku</w:t>
      </w:r>
      <w:r w:rsidR="004E3FF2">
        <w:rPr>
          <w:rFonts w:ascii="Times New Roman" w:hAnsi="Times New Roman" w:cs="Times New Roman"/>
          <w:sz w:val="24"/>
          <w:szCs w:val="24"/>
        </w:rPr>
        <w:t>,</w:t>
      </w:r>
      <w:r>
        <w:rPr>
          <w:rFonts w:ascii="Times New Roman" w:hAnsi="Times New Roman" w:cs="Times New Roman"/>
          <w:sz w:val="24"/>
          <w:szCs w:val="24"/>
        </w:rPr>
        <w:t xml:space="preserve"> spółdzielnie charakteryzowała</w:t>
      </w:r>
      <w:r w:rsidR="00A43AC2">
        <w:rPr>
          <w:rFonts w:ascii="Times New Roman" w:hAnsi="Times New Roman" w:cs="Times New Roman"/>
          <w:sz w:val="24"/>
          <w:szCs w:val="24"/>
        </w:rPr>
        <w:t xml:space="preserve"> rozszerzona stopa reprodukcji</w:t>
      </w:r>
      <w:r>
        <w:rPr>
          <w:rFonts w:ascii="Times New Roman" w:hAnsi="Times New Roman" w:cs="Times New Roman"/>
          <w:sz w:val="24"/>
          <w:szCs w:val="24"/>
        </w:rPr>
        <w:t xml:space="preserve"> majątku</w:t>
      </w:r>
      <w:r w:rsidR="004E3FF2">
        <w:rPr>
          <w:rFonts w:ascii="Times New Roman" w:hAnsi="Times New Roman" w:cs="Times New Roman"/>
          <w:sz w:val="24"/>
          <w:szCs w:val="24"/>
        </w:rPr>
        <w:t>;</w:t>
      </w:r>
      <w:r>
        <w:rPr>
          <w:rFonts w:ascii="Times New Roman" w:hAnsi="Times New Roman" w:cs="Times New Roman"/>
          <w:sz w:val="24"/>
          <w:szCs w:val="24"/>
        </w:rPr>
        <w:t xml:space="preserve"> w 2011 roku stopa inwestowania wynosiła</w:t>
      </w:r>
      <w:r w:rsidR="00445629">
        <w:rPr>
          <w:rFonts w:ascii="Times New Roman" w:hAnsi="Times New Roman" w:cs="Times New Roman"/>
          <w:sz w:val="24"/>
          <w:szCs w:val="24"/>
        </w:rPr>
        <w:t xml:space="preserve"> 1,48. W dalszym jednak ciągu, pomimo dobrych uwarunkowań do inwestycji, podobnie jak w roku 2010 tak i w 2011</w:t>
      </w:r>
      <w:r w:rsidR="00A43AC2">
        <w:rPr>
          <w:rFonts w:ascii="Times New Roman" w:hAnsi="Times New Roman" w:cs="Times New Roman"/>
          <w:sz w:val="24"/>
          <w:szCs w:val="24"/>
        </w:rPr>
        <w:t xml:space="preserve"> </w:t>
      </w:r>
      <w:r w:rsidR="00445629">
        <w:rPr>
          <w:rFonts w:ascii="Times New Roman" w:hAnsi="Times New Roman" w:cs="Times New Roman"/>
          <w:sz w:val="24"/>
          <w:szCs w:val="24"/>
        </w:rPr>
        <w:t>około 10 RSP nie odtwarzało majątku w ogóle. Znaczącą grupę, bo około 44%</w:t>
      </w:r>
      <w:r w:rsidR="004E3FF2">
        <w:rPr>
          <w:rFonts w:ascii="Times New Roman" w:hAnsi="Times New Roman" w:cs="Times New Roman"/>
          <w:sz w:val="24"/>
          <w:szCs w:val="24"/>
        </w:rPr>
        <w:t>,</w:t>
      </w:r>
      <w:r w:rsidR="00445629">
        <w:rPr>
          <w:rFonts w:ascii="Times New Roman" w:hAnsi="Times New Roman" w:cs="Times New Roman"/>
          <w:sz w:val="24"/>
          <w:szCs w:val="24"/>
        </w:rPr>
        <w:t xml:space="preserve"> stanowiły spółdzielnie</w:t>
      </w:r>
      <w:r w:rsidR="00A43AC2">
        <w:rPr>
          <w:rFonts w:ascii="Times New Roman" w:hAnsi="Times New Roman" w:cs="Times New Roman"/>
          <w:sz w:val="24"/>
          <w:szCs w:val="24"/>
        </w:rPr>
        <w:t>,</w:t>
      </w:r>
      <w:r w:rsidR="00445629">
        <w:rPr>
          <w:rFonts w:ascii="Times New Roman" w:hAnsi="Times New Roman" w:cs="Times New Roman"/>
          <w:sz w:val="24"/>
          <w:szCs w:val="24"/>
        </w:rPr>
        <w:t xml:space="preserve"> które pro</w:t>
      </w:r>
      <w:r w:rsidR="004E3FF2">
        <w:rPr>
          <w:rFonts w:ascii="Times New Roman" w:hAnsi="Times New Roman" w:cs="Times New Roman"/>
          <w:sz w:val="24"/>
          <w:szCs w:val="24"/>
        </w:rPr>
        <w:t>wadziły jedynie remonty na skalę</w:t>
      </w:r>
      <w:r w:rsidR="00445629">
        <w:rPr>
          <w:rFonts w:ascii="Times New Roman" w:hAnsi="Times New Roman" w:cs="Times New Roman"/>
          <w:sz w:val="24"/>
          <w:szCs w:val="24"/>
        </w:rPr>
        <w:t xml:space="preserve"> nie przekraczając</w:t>
      </w:r>
      <w:r w:rsidR="004E3FF2">
        <w:rPr>
          <w:rFonts w:ascii="Times New Roman" w:hAnsi="Times New Roman" w:cs="Times New Roman"/>
          <w:sz w:val="24"/>
          <w:szCs w:val="24"/>
        </w:rPr>
        <w:t>ą</w:t>
      </w:r>
      <w:r w:rsidR="00445629">
        <w:rPr>
          <w:rFonts w:ascii="Times New Roman" w:hAnsi="Times New Roman" w:cs="Times New Roman"/>
          <w:sz w:val="24"/>
          <w:szCs w:val="24"/>
        </w:rPr>
        <w:t xml:space="preserve"> wysokości amortyzacji. Zatem</w:t>
      </w:r>
      <w:r w:rsidR="004E3FF2">
        <w:rPr>
          <w:rFonts w:ascii="Times New Roman" w:hAnsi="Times New Roman" w:cs="Times New Roman"/>
          <w:sz w:val="24"/>
          <w:szCs w:val="24"/>
        </w:rPr>
        <w:t>,</w:t>
      </w:r>
      <w:r w:rsidR="00445629">
        <w:rPr>
          <w:rFonts w:ascii="Times New Roman" w:hAnsi="Times New Roman" w:cs="Times New Roman"/>
          <w:sz w:val="24"/>
          <w:szCs w:val="24"/>
        </w:rPr>
        <w:t xml:space="preserve"> niespełna połowa z analizowanej grupy </w:t>
      </w:r>
      <w:r w:rsidR="0018361F">
        <w:rPr>
          <w:rFonts w:ascii="Times New Roman" w:hAnsi="Times New Roman" w:cs="Times New Roman"/>
          <w:sz w:val="24"/>
          <w:szCs w:val="24"/>
        </w:rPr>
        <w:t>spółdzielni (46%)</w:t>
      </w:r>
      <w:r w:rsidR="00445629">
        <w:rPr>
          <w:rFonts w:ascii="Times New Roman" w:hAnsi="Times New Roman" w:cs="Times New Roman"/>
          <w:sz w:val="24"/>
          <w:szCs w:val="24"/>
        </w:rPr>
        <w:t xml:space="preserve"> </w:t>
      </w:r>
      <w:r w:rsidR="0018361F">
        <w:rPr>
          <w:rFonts w:ascii="Times New Roman" w:hAnsi="Times New Roman" w:cs="Times New Roman"/>
          <w:sz w:val="24"/>
          <w:szCs w:val="24"/>
        </w:rPr>
        <w:t>to jednostki prężnie inwestujące i rozwijające się.</w:t>
      </w:r>
    </w:p>
    <w:p w:rsidR="0018361F" w:rsidRDefault="0018361F" w:rsidP="006E139D">
      <w:pPr>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Podobnie jak w latach poprzednich przedmiotem analiz był również </w:t>
      </w:r>
      <w:r w:rsidR="00A43AC2">
        <w:rPr>
          <w:rFonts w:ascii="Times New Roman" w:hAnsi="Times New Roman" w:cs="Times New Roman"/>
          <w:sz w:val="24"/>
          <w:szCs w:val="24"/>
        </w:rPr>
        <w:t>poziom</w:t>
      </w:r>
      <w:r>
        <w:rPr>
          <w:rFonts w:ascii="Times New Roman" w:hAnsi="Times New Roman" w:cs="Times New Roman"/>
          <w:sz w:val="24"/>
          <w:szCs w:val="24"/>
        </w:rPr>
        <w:t xml:space="preserve"> opłaty pracy członków w spółdzielniach. Opłata ta stanowiona przez samych spółdzielców powinna w sposób naturalny odzwierciedlać sytuacje finansową danej spółdzielni. Nie mniej jednak od początku istnienia rankingu obserwować można grupę RSP</w:t>
      </w:r>
      <w:r w:rsidR="004E3FF2">
        <w:rPr>
          <w:rFonts w:ascii="Times New Roman" w:hAnsi="Times New Roman" w:cs="Times New Roman"/>
          <w:sz w:val="24"/>
          <w:szCs w:val="24"/>
        </w:rPr>
        <w:t>,</w:t>
      </w:r>
      <w:r>
        <w:rPr>
          <w:rFonts w:ascii="Times New Roman" w:hAnsi="Times New Roman" w:cs="Times New Roman"/>
          <w:sz w:val="24"/>
          <w:szCs w:val="24"/>
        </w:rPr>
        <w:t xml:space="preserve"> w której prawidłowość ta nie jest regułą.</w:t>
      </w:r>
      <w:r w:rsidR="005107E3">
        <w:rPr>
          <w:rFonts w:ascii="Times New Roman" w:hAnsi="Times New Roman" w:cs="Times New Roman"/>
          <w:sz w:val="24"/>
          <w:szCs w:val="24"/>
        </w:rPr>
        <w:t xml:space="preserve"> W 201</w:t>
      </w:r>
      <w:r>
        <w:rPr>
          <w:rFonts w:ascii="Times New Roman" w:hAnsi="Times New Roman" w:cs="Times New Roman"/>
          <w:sz w:val="24"/>
          <w:szCs w:val="24"/>
        </w:rPr>
        <w:t>1 roku spółd</w:t>
      </w:r>
      <w:r w:rsidR="004E3FF2">
        <w:rPr>
          <w:rFonts w:ascii="Times New Roman" w:hAnsi="Times New Roman" w:cs="Times New Roman"/>
          <w:sz w:val="24"/>
          <w:szCs w:val="24"/>
        </w:rPr>
        <w:t>zielnie które opłacały pracę</w:t>
      </w:r>
      <w:r>
        <w:rPr>
          <w:rFonts w:ascii="Times New Roman" w:hAnsi="Times New Roman" w:cs="Times New Roman"/>
          <w:sz w:val="24"/>
          <w:szCs w:val="24"/>
        </w:rPr>
        <w:t xml:space="preserve"> członków na poziomie wyższym od uzyskanych dochodów</w:t>
      </w:r>
      <w:r w:rsidR="004E3FF2">
        <w:rPr>
          <w:rFonts w:ascii="Times New Roman" w:hAnsi="Times New Roman" w:cs="Times New Roman"/>
          <w:sz w:val="24"/>
          <w:szCs w:val="24"/>
        </w:rPr>
        <w:t>,</w:t>
      </w:r>
      <w:r w:rsidR="005107E3">
        <w:rPr>
          <w:rFonts w:ascii="Times New Roman" w:hAnsi="Times New Roman" w:cs="Times New Roman"/>
          <w:sz w:val="24"/>
          <w:szCs w:val="24"/>
        </w:rPr>
        <w:t xml:space="preserve"> stanowiły około 21% analizowanej zbiorowości. Choć znaczna część tej grupy sięgnęła do rezerw jedynie w niewielkim stopniu (poniżej 5</w:t>
      </w:r>
      <w:r w:rsidR="00A43AC2">
        <w:rPr>
          <w:rFonts w:ascii="Times New Roman" w:hAnsi="Times New Roman" w:cs="Times New Roman"/>
          <w:sz w:val="24"/>
          <w:szCs w:val="24"/>
        </w:rPr>
        <w:t>%</w:t>
      </w:r>
      <w:r w:rsidR="005107E3">
        <w:rPr>
          <w:rFonts w:ascii="Times New Roman" w:hAnsi="Times New Roman" w:cs="Times New Roman"/>
          <w:sz w:val="24"/>
          <w:szCs w:val="24"/>
        </w:rPr>
        <w:t xml:space="preserve"> wypracowanego wyniki finansowego), to jednak skala tego zjawiska jest niepokojąca wobec znacznie lepszej sytuacji w tym zakresie w roku 2010. Kolejnym niepokojącym aspektem</w:t>
      </w:r>
      <w:r w:rsidR="00A43AC2">
        <w:rPr>
          <w:rFonts w:ascii="Times New Roman" w:hAnsi="Times New Roman" w:cs="Times New Roman"/>
          <w:sz w:val="24"/>
          <w:szCs w:val="24"/>
        </w:rPr>
        <w:t xml:space="preserve"> z</w:t>
      </w:r>
      <w:r w:rsidR="005107E3">
        <w:rPr>
          <w:rFonts w:ascii="Times New Roman" w:hAnsi="Times New Roman" w:cs="Times New Roman"/>
          <w:sz w:val="24"/>
          <w:szCs w:val="24"/>
        </w:rPr>
        <w:t xml:space="preserve"> punktu oceny </w:t>
      </w:r>
      <w:r w:rsidR="005107E3">
        <w:rPr>
          <w:rFonts w:ascii="Times New Roman" w:hAnsi="Times New Roman" w:cs="Times New Roman"/>
          <w:sz w:val="24"/>
          <w:szCs w:val="24"/>
        </w:rPr>
        <w:lastRenderedPageBreak/>
        <w:t>właścicielskiej jest znaczne pogorszenie w 2011 roku poziomu in</w:t>
      </w:r>
      <w:r w:rsidR="004E3FF2">
        <w:rPr>
          <w:rFonts w:ascii="Times New Roman" w:hAnsi="Times New Roman" w:cs="Times New Roman"/>
          <w:sz w:val="24"/>
          <w:szCs w:val="24"/>
        </w:rPr>
        <w:t>deksu tworzenia własności w RSP.</w:t>
      </w:r>
      <w:r w:rsidR="005107E3">
        <w:rPr>
          <w:rFonts w:ascii="Times New Roman" w:hAnsi="Times New Roman" w:cs="Times New Roman"/>
          <w:sz w:val="24"/>
          <w:szCs w:val="24"/>
        </w:rPr>
        <w:t xml:space="preserve"> </w:t>
      </w:r>
      <w:r w:rsidR="004E3FF2">
        <w:rPr>
          <w:rFonts w:ascii="Times New Roman" w:hAnsi="Times New Roman" w:cs="Times New Roman"/>
          <w:sz w:val="24"/>
          <w:szCs w:val="24"/>
        </w:rPr>
        <w:t>W</w:t>
      </w:r>
      <w:r w:rsidR="003323C8">
        <w:rPr>
          <w:rFonts w:ascii="Times New Roman" w:hAnsi="Times New Roman" w:cs="Times New Roman"/>
          <w:sz w:val="24"/>
          <w:szCs w:val="24"/>
        </w:rPr>
        <w:t>artość tego wskaźnika dla samych spółdzielców powinna być dalece niesatysfakcjonująca oraz powinna być powodem poszukiwania przyczyn takiej relacji ich działalności do inwestycji w bezpieczne instrumenty finansowe</w:t>
      </w:r>
      <w:r w:rsidR="004E3FF2">
        <w:rPr>
          <w:rFonts w:ascii="Times New Roman" w:hAnsi="Times New Roman" w:cs="Times New Roman"/>
          <w:sz w:val="24"/>
          <w:szCs w:val="24"/>
        </w:rPr>
        <w:t xml:space="preserve"> (np. w lokaty bankowe)</w:t>
      </w:r>
      <w:r w:rsidR="003323C8">
        <w:rPr>
          <w:rFonts w:ascii="Times New Roman" w:hAnsi="Times New Roman" w:cs="Times New Roman"/>
          <w:sz w:val="24"/>
          <w:szCs w:val="24"/>
        </w:rPr>
        <w:t>.</w:t>
      </w:r>
    </w:p>
    <w:p w:rsidR="00BD48F0" w:rsidRDefault="00A93EDC" w:rsidP="00C90BB2">
      <w:pPr>
        <w:spacing w:after="120"/>
        <w:ind w:firstLine="709"/>
        <w:jc w:val="both"/>
        <w:rPr>
          <w:rFonts w:ascii="Times New Roman" w:hAnsi="Times New Roman" w:cs="Times New Roman"/>
          <w:b/>
          <w:sz w:val="24"/>
          <w:szCs w:val="24"/>
        </w:rPr>
      </w:pPr>
      <w:r>
        <w:rPr>
          <w:rFonts w:ascii="Times New Roman" w:hAnsi="Times New Roman" w:cs="Times New Roman"/>
          <w:b/>
          <w:sz w:val="24"/>
          <w:szCs w:val="24"/>
        </w:rPr>
        <w:t xml:space="preserve">Wyniki </w:t>
      </w:r>
      <w:r w:rsidR="003323C8" w:rsidRPr="003323C8">
        <w:rPr>
          <w:rFonts w:ascii="Times New Roman" w:hAnsi="Times New Roman" w:cs="Times New Roman"/>
          <w:b/>
          <w:sz w:val="24"/>
          <w:szCs w:val="24"/>
        </w:rPr>
        <w:t>a ukierunkowanie produkcyjne</w:t>
      </w:r>
    </w:p>
    <w:p w:rsidR="003323C8" w:rsidRPr="003323C8" w:rsidRDefault="00A93EDC" w:rsidP="002B33BA">
      <w:pPr>
        <w:spacing w:after="0"/>
        <w:ind w:firstLine="357"/>
        <w:jc w:val="both"/>
        <w:rPr>
          <w:rFonts w:ascii="Times New Roman" w:hAnsi="Times New Roman" w:cs="Times New Roman"/>
          <w:sz w:val="24"/>
          <w:szCs w:val="24"/>
        </w:rPr>
      </w:pPr>
      <w:r w:rsidRPr="00A93EDC">
        <w:rPr>
          <w:rFonts w:ascii="Times New Roman" w:hAnsi="Times New Roman" w:cs="Times New Roman"/>
          <w:sz w:val="24"/>
          <w:szCs w:val="24"/>
        </w:rPr>
        <w:t>Już od kilku lat</w:t>
      </w:r>
      <w:r w:rsidR="00294760">
        <w:rPr>
          <w:rFonts w:ascii="Times New Roman" w:hAnsi="Times New Roman" w:cs="Times New Roman"/>
          <w:sz w:val="24"/>
          <w:szCs w:val="24"/>
        </w:rPr>
        <w:t>,</w:t>
      </w:r>
      <w:r w:rsidRPr="00A93EDC">
        <w:rPr>
          <w:rFonts w:ascii="Times New Roman" w:hAnsi="Times New Roman" w:cs="Times New Roman"/>
          <w:sz w:val="24"/>
          <w:szCs w:val="24"/>
        </w:rPr>
        <w:t xml:space="preserve"> na potrzeby rankingu</w:t>
      </w:r>
      <w:r w:rsidR="00294760">
        <w:rPr>
          <w:rFonts w:ascii="Times New Roman" w:hAnsi="Times New Roman" w:cs="Times New Roman"/>
          <w:sz w:val="24"/>
          <w:szCs w:val="24"/>
        </w:rPr>
        <w:t>,</w:t>
      </w:r>
      <w:r w:rsidRPr="00A93EDC">
        <w:rPr>
          <w:rFonts w:ascii="Times New Roman" w:hAnsi="Times New Roman" w:cs="Times New Roman"/>
          <w:sz w:val="24"/>
          <w:szCs w:val="24"/>
        </w:rPr>
        <w:t xml:space="preserve"> grupowania spółdzielni dokonuje się według dominujących kierunków produkcyjnych</w:t>
      </w:r>
      <w:r w:rsidR="004E3FF2">
        <w:rPr>
          <w:rFonts w:ascii="Times New Roman" w:hAnsi="Times New Roman" w:cs="Times New Roman"/>
          <w:sz w:val="24"/>
          <w:szCs w:val="24"/>
        </w:rPr>
        <w:t>,</w:t>
      </w:r>
      <w:r w:rsidRPr="00A93EDC">
        <w:rPr>
          <w:rFonts w:ascii="Times New Roman" w:hAnsi="Times New Roman" w:cs="Times New Roman"/>
          <w:sz w:val="24"/>
          <w:szCs w:val="24"/>
        </w:rPr>
        <w:t xml:space="preserve"> tzw. uk</w:t>
      </w:r>
      <w:r w:rsidR="00A43AC2">
        <w:rPr>
          <w:rFonts w:ascii="Times New Roman" w:hAnsi="Times New Roman" w:cs="Times New Roman"/>
          <w:sz w:val="24"/>
          <w:szCs w:val="24"/>
        </w:rPr>
        <w:t>ierunkowania</w:t>
      </w:r>
      <w:r w:rsidRPr="00A93EDC">
        <w:rPr>
          <w:rFonts w:ascii="Times New Roman" w:hAnsi="Times New Roman" w:cs="Times New Roman"/>
          <w:sz w:val="24"/>
          <w:szCs w:val="24"/>
        </w:rPr>
        <w:t xml:space="preserve"> p</w:t>
      </w:r>
      <w:r w:rsidR="00A43AC2">
        <w:rPr>
          <w:rFonts w:ascii="Times New Roman" w:hAnsi="Times New Roman" w:cs="Times New Roman"/>
          <w:sz w:val="24"/>
          <w:szCs w:val="24"/>
        </w:rPr>
        <w:t>rodukcyjnego</w:t>
      </w:r>
      <w:r w:rsidRPr="00A93EDC">
        <w:rPr>
          <w:rFonts w:ascii="Times New Roman" w:hAnsi="Times New Roman" w:cs="Times New Roman"/>
          <w:sz w:val="24"/>
          <w:szCs w:val="24"/>
        </w:rPr>
        <w:t xml:space="preserve"> (UP). </w:t>
      </w:r>
      <w:r w:rsidR="00C93439">
        <w:rPr>
          <w:rFonts w:ascii="Times New Roman" w:hAnsi="Times New Roman" w:cs="Times New Roman"/>
          <w:sz w:val="24"/>
          <w:szCs w:val="24"/>
        </w:rPr>
        <w:br/>
      </w:r>
      <w:r w:rsidRPr="00A93EDC">
        <w:rPr>
          <w:rFonts w:ascii="Times New Roman" w:hAnsi="Times New Roman" w:cs="Times New Roman"/>
          <w:sz w:val="24"/>
          <w:szCs w:val="24"/>
        </w:rPr>
        <w:t>W przeprowadzonej ankiecie każda spółdzielnia określiła sama</w:t>
      </w:r>
      <w:r w:rsidR="00A43AC2">
        <w:rPr>
          <w:rFonts w:ascii="Times New Roman" w:hAnsi="Times New Roman" w:cs="Times New Roman"/>
          <w:sz w:val="24"/>
          <w:szCs w:val="24"/>
        </w:rPr>
        <w:t>,</w:t>
      </w:r>
      <w:r w:rsidRPr="00A93EDC">
        <w:rPr>
          <w:rFonts w:ascii="Times New Roman" w:hAnsi="Times New Roman" w:cs="Times New Roman"/>
          <w:sz w:val="24"/>
          <w:szCs w:val="24"/>
        </w:rPr>
        <w:t xml:space="preserve"> na podstawie dominującej </w:t>
      </w:r>
      <w:r w:rsidR="00C93439">
        <w:rPr>
          <w:rFonts w:ascii="Times New Roman" w:hAnsi="Times New Roman" w:cs="Times New Roman"/>
          <w:sz w:val="24"/>
          <w:szCs w:val="24"/>
        </w:rPr>
        <w:t xml:space="preserve">wartość </w:t>
      </w:r>
      <w:r w:rsidRPr="00A93EDC">
        <w:rPr>
          <w:rFonts w:ascii="Times New Roman" w:hAnsi="Times New Roman" w:cs="Times New Roman"/>
          <w:sz w:val="24"/>
          <w:szCs w:val="24"/>
        </w:rPr>
        <w:t>sprzedaży</w:t>
      </w:r>
      <w:r w:rsidR="00A43AC2">
        <w:rPr>
          <w:rFonts w:ascii="Times New Roman" w:hAnsi="Times New Roman" w:cs="Times New Roman"/>
          <w:sz w:val="24"/>
          <w:szCs w:val="24"/>
        </w:rPr>
        <w:t>,</w:t>
      </w:r>
      <w:r w:rsidR="00C93439">
        <w:rPr>
          <w:rFonts w:ascii="Times New Roman" w:hAnsi="Times New Roman" w:cs="Times New Roman"/>
          <w:sz w:val="24"/>
          <w:szCs w:val="24"/>
        </w:rPr>
        <w:t xml:space="preserve"> jakie ukierunkowanie w danym roku </w:t>
      </w:r>
      <w:r w:rsidR="004E3FF2">
        <w:rPr>
          <w:rFonts w:ascii="Times New Roman" w:hAnsi="Times New Roman" w:cs="Times New Roman"/>
          <w:sz w:val="24"/>
          <w:szCs w:val="24"/>
        </w:rPr>
        <w:t xml:space="preserve">w niej </w:t>
      </w:r>
      <w:r w:rsidR="00C93439">
        <w:rPr>
          <w:rFonts w:ascii="Times New Roman" w:hAnsi="Times New Roman" w:cs="Times New Roman"/>
          <w:sz w:val="24"/>
          <w:szCs w:val="24"/>
        </w:rPr>
        <w:t xml:space="preserve">dominowało. </w:t>
      </w:r>
      <w:r w:rsidRPr="00A93EDC">
        <w:rPr>
          <w:rFonts w:ascii="Times New Roman" w:hAnsi="Times New Roman" w:cs="Times New Roman"/>
          <w:sz w:val="24"/>
          <w:szCs w:val="24"/>
        </w:rPr>
        <w:t xml:space="preserve">Tak jak w latach ubiegłych, analizie poddano trzy główne </w:t>
      </w:r>
      <w:r w:rsidR="00A43AC2">
        <w:rPr>
          <w:rFonts w:ascii="Times New Roman" w:hAnsi="Times New Roman" w:cs="Times New Roman"/>
          <w:sz w:val="24"/>
          <w:szCs w:val="24"/>
        </w:rPr>
        <w:t>kierunki</w:t>
      </w:r>
      <w:r w:rsidRPr="00A93EDC">
        <w:rPr>
          <w:rFonts w:ascii="Times New Roman" w:hAnsi="Times New Roman" w:cs="Times New Roman"/>
          <w:sz w:val="24"/>
          <w:szCs w:val="24"/>
        </w:rPr>
        <w:t xml:space="preserve"> działalności</w:t>
      </w:r>
      <w:r w:rsidR="004E3FF2">
        <w:rPr>
          <w:rFonts w:ascii="Times New Roman" w:hAnsi="Times New Roman" w:cs="Times New Roman"/>
          <w:sz w:val="24"/>
          <w:szCs w:val="24"/>
        </w:rPr>
        <w:t>,</w:t>
      </w:r>
      <w:r w:rsidRPr="00A93EDC">
        <w:rPr>
          <w:rFonts w:ascii="Times New Roman" w:hAnsi="Times New Roman" w:cs="Times New Roman"/>
          <w:sz w:val="24"/>
          <w:szCs w:val="24"/>
        </w:rPr>
        <w:t xml:space="preserve"> wyróżniając </w:t>
      </w:r>
      <w:r w:rsidR="00A43AC2">
        <w:rPr>
          <w:rFonts w:ascii="Times New Roman" w:hAnsi="Times New Roman" w:cs="Times New Roman"/>
          <w:sz w:val="24"/>
          <w:szCs w:val="24"/>
        </w:rPr>
        <w:t xml:space="preserve">grupę spółdzielni </w:t>
      </w:r>
      <w:r w:rsidRPr="00A93EDC">
        <w:rPr>
          <w:rFonts w:ascii="Times New Roman" w:hAnsi="Times New Roman" w:cs="Times New Roman"/>
          <w:sz w:val="24"/>
          <w:szCs w:val="24"/>
        </w:rPr>
        <w:t>roślinny</w:t>
      </w:r>
      <w:r w:rsidR="00A43AC2">
        <w:rPr>
          <w:rFonts w:ascii="Times New Roman" w:hAnsi="Times New Roman" w:cs="Times New Roman"/>
          <w:sz w:val="24"/>
          <w:szCs w:val="24"/>
        </w:rPr>
        <w:t>ch</w:t>
      </w:r>
      <w:r w:rsidRPr="00A93EDC">
        <w:rPr>
          <w:rFonts w:ascii="Times New Roman" w:hAnsi="Times New Roman" w:cs="Times New Roman"/>
          <w:sz w:val="24"/>
          <w:szCs w:val="24"/>
        </w:rPr>
        <w:t xml:space="preserve"> (uprawy polowe, warzywnictwo, ogrodnictwo), zwierzęcy</w:t>
      </w:r>
      <w:r w:rsidR="00A43AC2">
        <w:rPr>
          <w:rFonts w:ascii="Times New Roman" w:hAnsi="Times New Roman" w:cs="Times New Roman"/>
          <w:sz w:val="24"/>
          <w:szCs w:val="24"/>
        </w:rPr>
        <w:t>ch</w:t>
      </w:r>
      <w:r w:rsidRPr="00A93EDC">
        <w:rPr>
          <w:rFonts w:ascii="Times New Roman" w:hAnsi="Times New Roman" w:cs="Times New Roman"/>
          <w:sz w:val="24"/>
          <w:szCs w:val="24"/>
        </w:rPr>
        <w:t xml:space="preserve"> (chów i hodowla zwierząt) oraz wielostronny</w:t>
      </w:r>
      <w:r w:rsidR="00A43AC2">
        <w:rPr>
          <w:rFonts w:ascii="Times New Roman" w:hAnsi="Times New Roman" w:cs="Times New Roman"/>
          <w:sz w:val="24"/>
          <w:szCs w:val="24"/>
        </w:rPr>
        <w:t>ch</w:t>
      </w:r>
      <w:r w:rsidRPr="00A93EDC">
        <w:rPr>
          <w:rFonts w:ascii="Times New Roman" w:hAnsi="Times New Roman" w:cs="Times New Roman"/>
          <w:sz w:val="24"/>
          <w:szCs w:val="24"/>
        </w:rPr>
        <w:t xml:space="preserve"> (uprawy polowe połączone z chowem zwierząt). </w:t>
      </w:r>
      <w:r w:rsidR="00A43AC2">
        <w:rPr>
          <w:rFonts w:ascii="Times New Roman" w:hAnsi="Times New Roman" w:cs="Times New Roman"/>
          <w:sz w:val="24"/>
          <w:szCs w:val="24"/>
        </w:rPr>
        <w:t>Finalnie z</w:t>
      </w:r>
      <w:r w:rsidR="00C93439">
        <w:rPr>
          <w:rFonts w:ascii="Times New Roman" w:hAnsi="Times New Roman" w:cs="Times New Roman"/>
          <w:sz w:val="24"/>
          <w:szCs w:val="24"/>
        </w:rPr>
        <w:t xml:space="preserve">biorowość do analiz stanowiły </w:t>
      </w:r>
      <w:r w:rsidR="002B33BA">
        <w:rPr>
          <w:rFonts w:ascii="Times New Roman" w:hAnsi="Times New Roman" w:cs="Times New Roman"/>
          <w:sz w:val="24"/>
          <w:szCs w:val="24"/>
        </w:rPr>
        <w:t>80</w:t>
      </w:r>
      <w:r w:rsidR="006A3EFC">
        <w:rPr>
          <w:rFonts w:ascii="Times New Roman" w:hAnsi="Times New Roman" w:cs="Times New Roman"/>
          <w:sz w:val="24"/>
          <w:szCs w:val="24"/>
        </w:rPr>
        <w:t xml:space="preserve"> RSP, które w latach 2009-2011</w:t>
      </w:r>
      <w:r w:rsidRPr="00A93EDC">
        <w:rPr>
          <w:rFonts w:ascii="Times New Roman" w:hAnsi="Times New Roman" w:cs="Times New Roman"/>
          <w:sz w:val="24"/>
          <w:szCs w:val="24"/>
        </w:rPr>
        <w:t xml:space="preserve"> niepr</w:t>
      </w:r>
      <w:r w:rsidR="002B33BA">
        <w:rPr>
          <w:rFonts w:ascii="Times New Roman" w:hAnsi="Times New Roman" w:cs="Times New Roman"/>
          <w:sz w:val="24"/>
          <w:szCs w:val="24"/>
        </w:rPr>
        <w:t>zerwanie brały udział w rankingu, w tym 42</w:t>
      </w:r>
      <w:r w:rsidRPr="00A93EDC">
        <w:rPr>
          <w:rFonts w:ascii="Times New Roman" w:hAnsi="Times New Roman" w:cs="Times New Roman"/>
          <w:sz w:val="24"/>
          <w:szCs w:val="24"/>
        </w:rPr>
        <w:t xml:space="preserve"> o ukierunkowaniu roślinnym, 1</w:t>
      </w:r>
      <w:r w:rsidR="002B33BA">
        <w:rPr>
          <w:rFonts w:ascii="Times New Roman" w:hAnsi="Times New Roman" w:cs="Times New Roman"/>
          <w:sz w:val="24"/>
          <w:szCs w:val="24"/>
        </w:rPr>
        <w:t>4</w:t>
      </w:r>
      <w:r w:rsidRPr="00A93EDC">
        <w:rPr>
          <w:rFonts w:ascii="Times New Roman" w:hAnsi="Times New Roman" w:cs="Times New Roman"/>
          <w:sz w:val="24"/>
          <w:szCs w:val="24"/>
        </w:rPr>
        <w:t xml:space="preserve"> </w:t>
      </w:r>
      <w:r w:rsidR="002B33BA">
        <w:rPr>
          <w:rFonts w:ascii="Times New Roman" w:hAnsi="Times New Roman" w:cs="Times New Roman"/>
          <w:sz w:val="24"/>
          <w:szCs w:val="24"/>
        </w:rPr>
        <w:t>o ukierunkowaniu zwierzęcym i 24</w:t>
      </w:r>
      <w:r w:rsidRPr="00A93EDC">
        <w:rPr>
          <w:rFonts w:ascii="Times New Roman" w:hAnsi="Times New Roman" w:cs="Times New Roman"/>
          <w:sz w:val="24"/>
          <w:szCs w:val="24"/>
        </w:rPr>
        <w:t xml:space="preserve"> prowadzących działalności wielostronną</w:t>
      </w:r>
      <w:r w:rsidR="00A43AC2">
        <w:rPr>
          <w:rFonts w:ascii="Times New Roman" w:hAnsi="Times New Roman" w:cs="Times New Roman"/>
          <w:sz w:val="24"/>
          <w:szCs w:val="24"/>
        </w:rPr>
        <w:t>.</w:t>
      </w:r>
    </w:p>
    <w:p w:rsidR="00BD48F0" w:rsidRDefault="00BD48F0" w:rsidP="00BD48F0">
      <w:pPr>
        <w:spacing w:line="264" w:lineRule="auto"/>
        <w:jc w:val="right"/>
        <w:rPr>
          <w:rFonts w:ascii="Times New Roman" w:hAnsi="Times New Roman"/>
          <w:sz w:val="24"/>
          <w:szCs w:val="24"/>
          <w:lang w:eastAsia="pl-PL"/>
        </w:rPr>
      </w:pPr>
      <w:r>
        <w:rPr>
          <w:rFonts w:ascii="Times New Roman" w:hAnsi="Times New Roman"/>
          <w:sz w:val="24"/>
          <w:szCs w:val="24"/>
          <w:lang w:eastAsia="pl-PL"/>
        </w:rPr>
        <w:t>Tabela 5</w:t>
      </w:r>
    </w:p>
    <w:p w:rsidR="00BD48F0" w:rsidRDefault="00BD48F0" w:rsidP="00BD48F0">
      <w:pPr>
        <w:spacing w:after="0" w:line="240" w:lineRule="auto"/>
        <w:jc w:val="center"/>
        <w:rPr>
          <w:rFonts w:ascii="Times New Roman" w:hAnsi="Times New Roman"/>
          <w:sz w:val="24"/>
          <w:szCs w:val="24"/>
          <w:lang w:eastAsia="pl-PL"/>
        </w:rPr>
      </w:pPr>
      <w:r>
        <w:rPr>
          <w:rFonts w:ascii="Times New Roman" w:hAnsi="Times New Roman"/>
          <w:sz w:val="24"/>
          <w:szCs w:val="24"/>
          <w:lang w:eastAsia="pl-PL"/>
        </w:rPr>
        <w:t xml:space="preserve">Sytuacja ekonomiczno-finansowa RSP wg ukierunkowania produkcyjnego </w:t>
      </w:r>
    </w:p>
    <w:p w:rsidR="00BD48F0" w:rsidRDefault="00BD48F0" w:rsidP="00BD48F0">
      <w:pPr>
        <w:spacing w:after="0" w:line="240" w:lineRule="auto"/>
        <w:jc w:val="center"/>
        <w:rPr>
          <w:rFonts w:ascii="Times New Roman" w:hAnsi="Times New Roman"/>
          <w:sz w:val="24"/>
          <w:szCs w:val="24"/>
          <w:lang w:eastAsia="pl-PL"/>
        </w:rPr>
      </w:pPr>
      <w:r>
        <w:rPr>
          <w:rFonts w:ascii="Times New Roman" w:hAnsi="Times New Roman"/>
          <w:sz w:val="24"/>
          <w:szCs w:val="24"/>
          <w:lang w:eastAsia="pl-PL"/>
        </w:rPr>
        <w:t>w latach 2009-2011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88"/>
        <w:gridCol w:w="666"/>
        <w:gridCol w:w="616"/>
        <w:gridCol w:w="616"/>
        <w:gridCol w:w="647"/>
        <w:gridCol w:w="647"/>
        <w:gridCol w:w="660"/>
        <w:gridCol w:w="616"/>
        <w:gridCol w:w="616"/>
        <w:gridCol w:w="616"/>
      </w:tblGrid>
      <w:tr w:rsidR="00BD48F0" w:rsidRPr="00F91A46" w:rsidTr="00BD48F0">
        <w:trPr>
          <w:trHeight w:val="205"/>
        </w:trPr>
        <w:tc>
          <w:tcPr>
            <w:tcW w:w="0" w:type="auto"/>
            <w:vMerge w:val="restart"/>
            <w:vAlign w:val="center"/>
          </w:tcPr>
          <w:p w:rsidR="00BD48F0" w:rsidRPr="00A43AC2" w:rsidRDefault="00BD48F0" w:rsidP="00BD48F0">
            <w:pPr>
              <w:spacing w:line="240" w:lineRule="auto"/>
              <w:jc w:val="center"/>
              <w:rPr>
                <w:rFonts w:ascii="Times New Roman" w:hAnsi="Times New Roman"/>
                <w:sz w:val="20"/>
                <w:szCs w:val="20"/>
              </w:rPr>
            </w:pPr>
            <w:r w:rsidRPr="00A43AC2">
              <w:rPr>
                <w:rFonts w:ascii="Times New Roman" w:hAnsi="Times New Roman"/>
                <w:sz w:val="20"/>
                <w:szCs w:val="20"/>
              </w:rPr>
              <w:t>Wyszczególnienie</w:t>
            </w:r>
          </w:p>
        </w:tc>
        <w:tc>
          <w:tcPr>
            <w:tcW w:w="0" w:type="auto"/>
            <w:gridSpan w:val="9"/>
            <w:vAlign w:val="center"/>
          </w:tcPr>
          <w:p w:rsidR="00BD48F0" w:rsidRPr="00A43AC2" w:rsidRDefault="00BD48F0" w:rsidP="00BD48F0">
            <w:pPr>
              <w:spacing w:line="240" w:lineRule="auto"/>
              <w:jc w:val="center"/>
              <w:rPr>
                <w:rFonts w:ascii="Times New Roman" w:hAnsi="Times New Roman"/>
                <w:sz w:val="20"/>
                <w:szCs w:val="20"/>
              </w:rPr>
            </w:pPr>
            <w:r w:rsidRPr="00A43AC2">
              <w:rPr>
                <w:rFonts w:ascii="Times New Roman" w:hAnsi="Times New Roman"/>
                <w:sz w:val="20"/>
                <w:szCs w:val="20"/>
              </w:rPr>
              <w:t>RSP wg kierunku produkcji:</w:t>
            </w:r>
          </w:p>
        </w:tc>
      </w:tr>
      <w:tr w:rsidR="00BD48F0" w:rsidRPr="00F91A46" w:rsidTr="00BD48F0">
        <w:trPr>
          <w:trHeight w:val="60"/>
        </w:trPr>
        <w:tc>
          <w:tcPr>
            <w:tcW w:w="0" w:type="auto"/>
            <w:vMerge/>
          </w:tcPr>
          <w:p w:rsidR="00BD48F0" w:rsidRPr="00A43AC2" w:rsidRDefault="00BD48F0" w:rsidP="00BD48F0">
            <w:pPr>
              <w:spacing w:line="240" w:lineRule="auto"/>
              <w:jc w:val="both"/>
              <w:rPr>
                <w:rFonts w:ascii="Times New Roman" w:hAnsi="Times New Roman"/>
                <w:sz w:val="20"/>
                <w:szCs w:val="20"/>
              </w:rPr>
            </w:pPr>
          </w:p>
        </w:tc>
        <w:tc>
          <w:tcPr>
            <w:tcW w:w="1851" w:type="dxa"/>
            <w:gridSpan w:val="3"/>
            <w:vAlign w:val="center"/>
          </w:tcPr>
          <w:p w:rsidR="00BD48F0" w:rsidRPr="00A43AC2" w:rsidRDefault="00E019DF" w:rsidP="00BD48F0">
            <w:pPr>
              <w:spacing w:line="240" w:lineRule="auto"/>
              <w:jc w:val="center"/>
              <w:rPr>
                <w:rFonts w:ascii="Times New Roman" w:hAnsi="Times New Roman"/>
                <w:sz w:val="20"/>
                <w:szCs w:val="20"/>
              </w:rPr>
            </w:pPr>
            <w:r w:rsidRPr="00A43AC2">
              <w:rPr>
                <w:rFonts w:ascii="Times New Roman" w:hAnsi="Times New Roman"/>
                <w:sz w:val="20"/>
                <w:szCs w:val="20"/>
              </w:rPr>
              <w:t>roślinny</w:t>
            </w:r>
          </w:p>
        </w:tc>
        <w:tc>
          <w:tcPr>
            <w:tcW w:w="1990" w:type="dxa"/>
            <w:gridSpan w:val="3"/>
            <w:vAlign w:val="center"/>
          </w:tcPr>
          <w:p w:rsidR="00BD48F0" w:rsidRPr="00A43AC2" w:rsidRDefault="00E019DF" w:rsidP="00BD48F0">
            <w:pPr>
              <w:spacing w:line="240" w:lineRule="auto"/>
              <w:jc w:val="center"/>
              <w:rPr>
                <w:rFonts w:ascii="Times New Roman" w:hAnsi="Times New Roman"/>
                <w:sz w:val="20"/>
                <w:szCs w:val="20"/>
              </w:rPr>
            </w:pPr>
            <w:r w:rsidRPr="00A43AC2">
              <w:rPr>
                <w:rFonts w:ascii="Times New Roman" w:hAnsi="Times New Roman"/>
                <w:sz w:val="20"/>
                <w:szCs w:val="20"/>
              </w:rPr>
              <w:t>zwierzęcy</w:t>
            </w:r>
          </w:p>
        </w:tc>
        <w:tc>
          <w:tcPr>
            <w:tcW w:w="1848" w:type="dxa"/>
            <w:gridSpan w:val="3"/>
            <w:vAlign w:val="center"/>
          </w:tcPr>
          <w:p w:rsidR="00BD48F0" w:rsidRPr="00A43AC2" w:rsidRDefault="00E019DF" w:rsidP="00BD48F0">
            <w:pPr>
              <w:spacing w:line="240" w:lineRule="auto"/>
              <w:jc w:val="center"/>
              <w:rPr>
                <w:rFonts w:ascii="Times New Roman" w:hAnsi="Times New Roman"/>
                <w:sz w:val="20"/>
                <w:szCs w:val="20"/>
              </w:rPr>
            </w:pPr>
            <w:r w:rsidRPr="00A43AC2">
              <w:rPr>
                <w:rFonts w:ascii="Times New Roman" w:hAnsi="Times New Roman"/>
                <w:sz w:val="20"/>
                <w:szCs w:val="20"/>
              </w:rPr>
              <w:t>wielostronny</w:t>
            </w:r>
          </w:p>
        </w:tc>
      </w:tr>
      <w:tr w:rsidR="00BD48F0" w:rsidRPr="00F91A46" w:rsidTr="00BD48F0">
        <w:trPr>
          <w:trHeight w:val="125"/>
        </w:trPr>
        <w:tc>
          <w:tcPr>
            <w:tcW w:w="0" w:type="auto"/>
            <w:vMerge/>
          </w:tcPr>
          <w:p w:rsidR="00BD48F0" w:rsidRPr="00A43AC2" w:rsidRDefault="00BD48F0" w:rsidP="00BD48F0">
            <w:pPr>
              <w:spacing w:line="240" w:lineRule="auto"/>
              <w:jc w:val="both"/>
              <w:rPr>
                <w:rFonts w:ascii="Times New Roman" w:hAnsi="Times New Roman"/>
                <w:sz w:val="20"/>
                <w:szCs w:val="20"/>
              </w:rPr>
            </w:pPr>
          </w:p>
        </w:tc>
        <w:tc>
          <w:tcPr>
            <w:tcW w:w="0" w:type="auto"/>
          </w:tcPr>
          <w:p w:rsidR="00BD48F0" w:rsidRPr="00A43AC2" w:rsidRDefault="00BD48F0" w:rsidP="00BD48F0">
            <w:pPr>
              <w:spacing w:line="240" w:lineRule="auto"/>
              <w:rPr>
                <w:rFonts w:ascii="Times New Roman" w:hAnsi="Times New Roman"/>
                <w:sz w:val="20"/>
                <w:szCs w:val="20"/>
              </w:rPr>
            </w:pPr>
            <w:r w:rsidRPr="00A43AC2">
              <w:rPr>
                <w:rFonts w:ascii="Times New Roman" w:hAnsi="Times New Roman"/>
                <w:sz w:val="20"/>
                <w:szCs w:val="20"/>
              </w:rPr>
              <w:t>2011</w:t>
            </w:r>
          </w:p>
        </w:tc>
        <w:tc>
          <w:tcPr>
            <w:tcW w:w="0" w:type="auto"/>
          </w:tcPr>
          <w:p w:rsidR="00BD48F0" w:rsidRPr="00A43AC2" w:rsidRDefault="00BD48F0" w:rsidP="00BD48F0">
            <w:pPr>
              <w:spacing w:line="240" w:lineRule="auto"/>
              <w:rPr>
                <w:rFonts w:ascii="Times New Roman" w:hAnsi="Times New Roman"/>
                <w:sz w:val="20"/>
                <w:szCs w:val="20"/>
              </w:rPr>
            </w:pPr>
            <w:r w:rsidRPr="00A43AC2">
              <w:rPr>
                <w:rFonts w:ascii="Times New Roman" w:hAnsi="Times New Roman"/>
                <w:sz w:val="20"/>
                <w:szCs w:val="20"/>
              </w:rPr>
              <w:t>2010</w:t>
            </w:r>
          </w:p>
        </w:tc>
        <w:tc>
          <w:tcPr>
            <w:tcW w:w="0" w:type="auto"/>
          </w:tcPr>
          <w:p w:rsidR="00BD48F0" w:rsidRPr="00A43AC2" w:rsidRDefault="00BD48F0" w:rsidP="00BD48F0">
            <w:pPr>
              <w:spacing w:line="240" w:lineRule="auto"/>
              <w:rPr>
                <w:rFonts w:ascii="Times New Roman" w:hAnsi="Times New Roman"/>
                <w:sz w:val="20"/>
                <w:szCs w:val="20"/>
              </w:rPr>
            </w:pPr>
            <w:r w:rsidRPr="00A43AC2">
              <w:rPr>
                <w:rFonts w:ascii="Times New Roman" w:hAnsi="Times New Roman"/>
                <w:sz w:val="20"/>
                <w:szCs w:val="20"/>
              </w:rPr>
              <w:t>2009</w:t>
            </w:r>
          </w:p>
        </w:tc>
        <w:tc>
          <w:tcPr>
            <w:tcW w:w="0" w:type="auto"/>
          </w:tcPr>
          <w:p w:rsidR="00BD48F0" w:rsidRPr="00A43AC2" w:rsidRDefault="00BD48F0" w:rsidP="00BD48F0">
            <w:pPr>
              <w:spacing w:line="240" w:lineRule="auto"/>
              <w:rPr>
                <w:rFonts w:ascii="Times New Roman" w:hAnsi="Times New Roman"/>
                <w:sz w:val="20"/>
                <w:szCs w:val="20"/>
              </w:rPr>
            </w:pPr>
            <w:r w:rsidRPr="00A43AC2">
              <w:rPr>
                <w:rFonts w:ascii="Times New Roman" w:hAnsi="Times New Roman"/>
                <w:sz w:val="20"/>
                <w:szCs w:val="20"/>
              </w:rPr>
              <w:t>2011</w:t>
            </w:r>
          </w:p>
        </w:tc>
        <w:tc>
          <w:tcPr>
            <w:tcW w:w="0" w:type="auto"/>
          </w:tcPr>
          <w:p w:rsidR="00BD48F0" w:rsidRPr="00A43AC2" w:rsidRDefault="00BD48F0" w:rsidP="00BD48F0">
            <w:pPr>
              <w:spacing w:line="240" w:lineRule="auto"/>
              <w:rPr>
                <w:rFonts w:ascii="Times New Roman" w:hAnsi="Times New Roman"/>
                <w:sz w:val="20"/>
                <w:szCs w:val="20"/>
              </w:rPr>
            </w:pPr>
            <w:r w:rsidRPr="00A43AC2">
              <w:rPr>
                <w:rFonts w:ascii="Times New Roman" w:hAnsi="Times New Roman"/>
                <w:sz w:val="20"/>
                <w:szCs w:val="20"/>
              </w:rPr>
              <w:t>2010</w:t>
            </w:r>
          </w:p>
        </w:tc>
        <w:tc>
          <w:tcPr>
            <w:tcW w:w="0" w:type="auto"/>
          </w:tcPr>
          <w:p w:rsidR="00BD48F0" w:rsidRPr="00A43AC2" w:rsidRDefault="00BD48F0" w:rsidP="00BD48F0">
            <w:pPr>
              <w:spacing w:line="240" w:lineRule="auto"/>
              <w:rPr>
                <w:rFonts w:ascii="Times New Roman" w:hAnsi="Times New Roman"/>
                <w:sz w:val="20"/>
                <w:szCs w:val="20"/>
              </w:rPr>
            </w:pPr>
            <w:r w:rsidRPr="00A43AC2">
              <w:rPr>
                <w:rFonts w:ascii="Times New Roman" w:hAnsi="Times New Roman"/>
                <w:sz w:val="20"/>
                <w:szCs w:val="20"/>
              </w:rPr>
              <w:t>2009</w:t>
            </w:r>
          </w:p>
        </w:tc>
        <w:tc>
          <w:tcPr>
            <w:tcW w:w="0" w:type="auto"/>
          </w:tcPr>
          <w:p w:rsidR="00BD48F0" w:rsidRPr="00A43AC2" w:rsidRDefault="00BD48F0" w:rsidP="00BD48F0">
            <w:pPr>
              <w:spacing w:line="240" w:lineRule="auto"/>
              <w:rPr>
                <w:rFonts w:ascii="Times New Roman" w:hAnsi="Times New Roman"/>
                <w:sz w:val="20"/>
                <w:szCs w:val="20"/>
              </w:rPr>
            </w:pPr>
            <w:r w:rsidRPr="00A43AC2">
              <w:rPr>
                <w:rFonts w:ascii="Times New Roman" w:hAnsi="Times New Roman"/>
                <w:sz w:val="20"/>
                <w:szCs w:val="20"/>
              </w:rPr>
              <w:t>2011</w:t>
            </w:r>
          </w:p>
        </w:tc>
        <w:tc>
          <w:tcPr>
            <w:tcW w:w="0" w:type="auto"/>
          </w:tcPr>
          <w:p w:rsidR="00BD48F0" w:rsidRPr="00A43AC2" w:rsidRDefault="00BD48F0" w:rsidP="00BD48F0">
            <w:pPr>
              <w:spacing w:line="240" w:lineRule="auto"/>
              <w:rPr>
                <w:rFonts w:ascii="Times New Roman" w:hAnsi="Times New Roman"/>
                <w:sz w:val="20"/>
                <w:szCs w:val="20"/>
              </w:rPr>
            </w:pPr>
            <w:r w:rsidRPr="00A43AC2">
              <w:rPr>
                <w:rFonts w:ascii="Times New Roman" w:hAnsi="Times New Roman"/>
                <w:sz w:val="20"/>
                <w:szCs w:val="20"/>
              </w:rPr>
              <w:t>2010</w:t>
            </w:r>
          </w:p>
        </w:tc>
        <w:tc>
          <w:tcPr>
            <w:tcW w:w="0" w:type="auto"/>
          </w:tcPr>
          <w:p w:rsidR="00BD48F0" w:rsidRPr="00A43AC2" w:rsidRDefault="00BD48F0" w:rsidP="00BD48F0">
            <w:pPr>
              <w:spacing w:line="240" w:lineRule="auto"/>
              <w:rPr>
                <w:rFonts w:ascii="Times New Roman" w:hAnsi="Times New Roman"/>
                <w:sz w:val="20"/>
                <w:szCs w:val="20"/>
              </w:rPr>
            </w:pPr>
            <w:r w:rsidRPr="00A43AC2">
              <w:rPr>
                <w:rFonts w:ascii="Times New Roman" w:hAnsi="Times New Roman"/>
                <w:sz w:val="20"/>
                <w:szCs w:val="20"/>
              </w:rPr>
              <w:t>2009</w:t>
            </w:r>
          </w:p>
        </w:tc>
      </w:tr>
      <w:tr w:rsidR="00BD48F0" w:rsidRPr="00F91A46" w:rsidTr="00BD48F0">
        <w:trPr>
          <w:trHeight w:val="468"/>
        </w:trPr>
        <w:tc>
          <w:tcPr>
            <w:tcW w:w="0" w:type="auto"/>
            <w:vAlign w:val="center"/>
          </w:tcPr>
          <w:p w:rsidR="00BD48F0" w:rsidRPr="00A43AC2" w:rsidRDefault="00BD48F0" w:rsidP="00BD48F0">
            <w:pPr>
              <w:spacing w:line="240" w:lineRule="auto"/>
              <w:rPr>
                <w:rFonts w:ascii="Times New Roman" w:hAnsi="Times New Roman"/>
                <w:sz w:val="20"/>
                <w:szCs w:val="20"/>
              </w:rPr>
            </w:pPr>
            <w:r w:rsidRPr="00A43AC2">
              <w:rPr>
                <w:rFonts w:ascii="Times New Roman" w:hAnsi="Times New Roman"/>
                <w:sz w:val="20"/>
                <w:szCs w:val="20"/>
              </w:rPr>
              <w:t>Przeciętny obszar (ha UR)</w:t>
            </w:r>
          </w:p>
        </w:tc>
        <w:tc>
          <w:tcPr>
            <w:tcW w:w="0" w:type="auto"/>
            <w:vAlign w:val="center"/>
          </w:tcPr>
          <w:p w:rsidR="00BD48F0" w:rsidRPr="00A43AC2" w:rsidRDefault="00BD48F0" w:rsidP="00BD48F0">
            <w:pPr>
              <w:spacing w:line="240" w:lineRule="auto"/>
              <w:jc w:val="center"/>
              <w:rPr>
                <w:rFonts w:ascii="Times New Roman" w:hAnsi="Times New Roman"/>
                <w:sz w:val="20"/>
                <w:szCs w:val="20"/>
              </w:rPr>
            </w:pPr>
            <w:r w:rsidRPr="00A43AC2">
              <w:rPr>
                <w:rFonts w:ascii="Times New Roman" w:hAnsi="Times New Roman"/>
                <w:sz w:val="20"/>
                <w:szCs w:val="20"/>
              </w:rPr>
              <w:t>654</w:t>
            </w:r>
          </w:p>
        </w:tc>
        <w:tc>
          <w:tcPr>
            <w:tcW w:w="0" w:type="auto"/>
            <w:vAlign w:val="center"/>
          </w:tcPr>
          <w:p w:rsidR="00BD48F0" w:rsidRPr="00A43AC2" w:rsidRDefault="00D637C4" w:rsidP="00BD48F0">
            <w:pPr>
              <w:spacing w:line="240" w:lineRule="auto"/>
              <w:jc w:val="center"/>
              <w:rPr>
                <w:rFonts w:ascii="Times New Roman" w:hAnsi="Times New Roman"/>
                <w:sz w:val="20"/>
                <w:szCs w:val="20"/>
              </w:rPr>
            </w:pPr>
            <w:r w:rsidRPr="00A43AC2">
              <w:rPr>
                <w:rFonts w:ascii="Times New Roman" w:hAnsi="Times New Roman"/>
                <w:sz w:val="20"/>
                <w:szCs w:val="20"/>
              </w:rPr>
              <w:t>658</w:t>
            </w:r>
          </w:p>
        </w:tc>
        <w:tc>
          <w:tcPr>
            <w:tcW w:w="0" w:type="auto"/>
            <w:vAlign w:val="center"/>
          </w:tcPr>
          <w:p w:rsidR="00BD48F0" w:rsidRPr="00A43AC2" w:rsidRDefault="00D637C4" w:rsidP="00BD48F0">
            <w:pPr>
              <w:spacing w:line="240" w:lineRule="auto"/>
              <w:jc w:val="center"/>
              <w:rPr>
                <w:rFonts w:ascii="Times New Roman" w:hAnsi="Times New Roman"/>
                <w:sz w:val="20"/>
                <w:szCs w:val="20"/>
              </w:rPr>
            </w:pPr>
            <w:r w:rsidRPr="00A43AC2">
              <w:rPr>
                <w:rFonts w:ascii="Times New Roman" w:hAnsi="Times New Roman"/>
                <w:sz w:val="20"/>
                <w:szCs w:val="20"/>
              </w:rPr>
              <w:t>652</w:t>
            </w:r>
          </w:p>
        </w:tc>
        <w:tc>
          <w:tcPr>
            <w:tcW w:w="0" w:type="auto"/>
            <w:vAlign w:val="center"/>
          </w:tcPr>
          <w:p w:rsidR="00BD48F0" w:rsidRPr="00A43AC2" w:rsidRDefault="00D637C4" w:rsidP="00BD48F0">
            <w:pPr>
              <w:spacing w:line="240" w:lineRule="auto"/>
              <w:jc w:val="center"/>
              <w:rPr>
                <w:rFonts w:ascii="Times New Roman" w:hAnsi="Times New Roman"/>
                <w:sz w:val="20"/>
                <w:szCs w:val="20"/>
              </w:rPr>
            </w:pPr>
            <w:r w:rsidRPr="00A43AC2">
              <w:rPr>
                <w:rFonts w:ascii="Times New Roman" w:hAnsi="Times New Roman"/>
                <w:sz w:val="20"/>
                <w:szCs w:val="20"/>
              </w:rPr>
              <w:t>629</w:t>
            </w:r>
          </w:p>
        </w:tc>
        <w:tc>
          <w:tcPr>
            <w:tcW w:w="0" w:type="auto"/>
            <w:vAlign w:val="center"/>
          </w:tcPr>
          <w:p w:rsidR="00BD48F0" w:rsidRPr="00A43AC2" w:rsidRDefault="00D637C4" w:rsidP="00BD48F0">
            <w:pPr>
              <w:spacing w:line="240" w:lineRule="auto"/>
              <w:jc w:val="center"/>
              <w:rPr>
                <w:rFonts w:ascii="Times New Roman" w:hAnsi="Times New Roman"/>
                <w:sz w:val="20"/>
                <w:szCs w:val="20"/>
              </w:rPr>
            </w:pPr>
            <w:r w:rsidRPr="00A43AC2">
              <w:rPr>
                <w:rFonts w:ascii="Times New Roman" w:hAnsi="Times New Roman"/>
                <w:sz w:val="20"/>
                <w:szCs w:val="20"/>
              </w:rPr>
              <w:t>642</w:t>
            </w:r>
          </w:p>
        </w:tc>
        <w:tc>
          <w:tcPr>
            <w:tcW w:w="0" w:type="auto"/>
            <w:vAlign w:val="center"/>
          </w:tcPr>
          <w:p w:rsidR="00BD48F0" w:rsidRPr="00A43AC2" w:rsidRDefault="00D637C4" w:rsidP="00BD48F0">
            <w:pPr>
              <w:spacing w:line="240" w:lineRule="auto"/>
              <w:jc w:val="center"/>
              <w:rPr>
                <w:rFonts w:ascii="Times New Roman" w:hAnsi="Times New Roman"/>
                <w:sz w:val="20"/>
                <w:szCs w:val="20"/>
              </w:rPr>
            </w:pPr>
            <w:r w:rsidRPr="00A43AC2">
              <w:rPr>
                <w:rFonts w:ascii="Times New Roman" w:hAnsi="Times New Roman"/>
                <w:sz w:val="20"/>
                <w:szCs w:val="20"/>
              </w:rPr>
              <w:t>660</w:t>
            </w:r>
          </w:p>
        </w:tc>
        <w:tc>
          <w:tcPr>
            <w:tcW w:w="0" w:type="auto"/>
            <w:vAlign w:val="center"/>
          </w:tcPr>
          <w:p w:rsidR="00BD48F0" w:rsidRPr="00A43AC2" w:rsidRDefault="00BD48F0" w:rsidP="00BD48F0">
            <w:pPr>
              <w:spacing w:line="240" w:lineRule="auto"/>
              <w:jc w:val="center"/>
              <w:rPr>
                <w:rFonts w:ascii="Times New Roman" w:hAnsi="Times New Roman"/>
                <w:sz w:val="20"/>
                <w:szCs w:val="20"/>
              </w:rPr>
            </w:pPr>
            <w:r w:rsidRPr="00A43AC2">
              <w:rPr>
                <w:rFonts w:ascii="Times New Roman" w:hAnsi="Times New Roman"/>
                <w:sz w:val="20"/>
                <w:szCs w:val="20"/>
              </w:rPr>
              <w:t>473</w:t>
            </w:r>
          </w:p>
        </w:tc>
        <w:tc>
          <w:tcPr>
            <w:tcW w:w="0" w:type="auto"/>
            <w:vAlign w:val="center"/>
          </w:tcPr>
          <w:p w:rsidR="00BD48F0" w:rsidRPr="00A43AC2" w:rsidRDefault="00BD48F0" w:rsidP="00BD48F0">
            <w:pPr>
              <w:spacing w:line="240" w:lineRule="auto"/>
              <w:jc w:val="center"/>
              <w:rPr>
                <w:rFonts w:ascii="Times New Roman" w:hAnsi="Times New Roman"/>
                <w:sz w:val="20"/>
                <w:szCs w:val="20"/>
              </w:rPr>
            </w:pPr>
            <w:r w:rsidRPr="00A43AC2">
              <w:rPr>
                <w:rFonts w:ascii="Times New Roman" w:hAnsi="Times New Roman"/>
                <w:sz w:val="20"/>
                <w:szCs w:val="20"/>
              </w:rPr>
              <w:t>476</w:t>
            </w:r>
          </w:p>
        </w:tc>
        <w:tc>
          <w:tcPr>
            <w:tcW w:w="0" w:type="auto"/>
            <w:vAlign w:val="center"/>
          </w:tcPr>
          <w:p w:rsidR="00BD48F0" w:rsidRPr="00A43AC2" w:rsidRDefault="00BD48F0" w:rsidP="00BD48F0">
            <w:pPr>
              <w:spacing w:line="240" w:lineRule="auto"/>
              <w:jc w:val="center"/>
              <w:rPr>
                <w:rFonts w:ascii="Times New Roman" w:hAnsi="Times New Roman"/>
                <w:sz w:val="20"/>
                <w:szCs w:val="20"/>
              </w:rPr>
            </w:pPr>
            <w:r w:rsidRPr="00A43AC2">
              <w:rPr>
                <w:rFonts w:ascii="Times New Roman" w:hAnsi="Times New Roman"/>
                <w:sz w:val="20"/>
                <w:szCs w:val="20"/>
              </w:rPr>
              <w:t>480</w:t>
            </w:r>
          </w:p>
        </w:tc>
      </w:tr>
      <w:tr w:rsidR="00BD48F0" w:rsidRPr="00F91A46" w:rsidTr="00BD48F0">
        <w:trPr>
          <w:trHeight w:val="441"/>
        </w:trPr>
        <w:tc>
          <w:tcPr>
            <w:tcW w:w="0" w:type="auto"/>
            <w:vAlign w:val="center"/>
          </w:tcPr>
          <w:p w:rsidR="00BD48F0" w:rsidRPr="00A43AC2" w:rsidRDefault="00BD48F0" w:rsidP="00BD48F0">
            <w:pPr>
              <w:spacing w:line="240" w:lineRule="auto"/>
              <w:rPr>
                <w:rFonts w:ascii="Times New Roman" w:hAnsi="Times New Roman"/>
                <w:sz w:val="20"/>
                <w:szCs w:val="20"/>
              </w:rPr>
            </w:pPr>
            <w:r w:rsidRPr="00A43AC2">
              <w:rPr>
                <w:rFonts w:ascii="Times New Roman" w:hAnsi="Times New Roman"/>
                <w:sz w:val="20"/>
                <w:szCs w:val="20"/>
              </w:rPr>
              <w:t xml:space="preserve">Pracujący na </w:t>
            </w:r>
            <w:smartTag w:uri="urn:schemas-microsoft-com:office:smarttags" w:element="metricconverter">
              <w:smartTagPr>
                <w:attr w:name="ProductID" w:val="100 ha"/>
              </w:smartTagPr>
              <w:r w:rsidRPr="00A43AC2">
                <w:rPr>
                  <w:rFonts w:ascii="Times New Roman" w:hAnsi="Times New Roman"/>
                  <w:sz w:val="20"/>
                  <w:szCs w:val="20"/>
                </w:rPr>
                <w:t>100 ha</w:t>
              </w:r>
            </w:smartTag>
            <w:r w:rsidR="005136BF" w:rsidRPr="00A43AC2">
              <w:rPr>
                <w:rFonts w:ascii="Times New Roman" w:hAnsi="Times New Roman"/>
                <w:sz w:val="20"/>
                <w:szCs w:val="20"/>
              </w:rPr>
              <w:t xml:space="preserve"> UR </w:t>
            </w:r>
            <w:r w:rsidRPr="00A43AC2">
              <w:rPr>
                <w:rFonts w:ascii="Times New Roman" w:hAnsi="Times New Roman"/>
                <w:sz w:val="20"/>
                <w:szCs w:val="20"/>
              </w:rPr>
              <w:t>(osoby)</w:t>
            </w:r>
          </w:p>
        </w:tc>
        <w:tc>
          <w:tcPr>
            <w:tcW w:w="0" w:type="auto"/>
            <w:vAlign w:val="center"/>
          </w:tcPr>
          <w:p w:rsidR="00BD48F0" w:rsidRPr="00A43AC2" w:rsidRDefault="00674AD4" w:rsidP="00BD48F0">
            <w:pPr>
              <w:spacing w:line="240" w:lineRule="auto"/>
              <w:jc w:val="center"/>
              <w:rPr>
                <w:rFonts w:ascii="Times New Roman" w:hAnsi="Times New Roman"/>
                <w:sz w:val="20"/>
                <w:szCs w:val="20"/>
              </w:rPr>
            </w:pPr>
            <w:r w:rsidRPr="00A43AC2">
              <w:rPr>
                <w:rFonts w:ascii="Times New Roman" w:hAnsi="Times New Roman"/>
                <w:sz w:val="20"/>
                <w:szCs w:val="20"/>
              </w:rPr>
              <w:t>3,3</w:t>
            </w:r>
          </w:p>
        </w:tc>
        <w:tc>
          <w:tcPr>
            <w:tcW w:w="0" w:type="auto"/>
            <w:vAlign w:val="center"/>
          </w:tcPr>
          <w:p w:rsidR="00BD48F0" w:rsidRPr="00A43AC2" w:rsidRDefault="00674AD4" w:rsidP="00BD48F0">
            <w:pPr>
              <w:spacing w:line="240" w:lineRule="auto"/>
              <w:jc w:val="center"/>
              <w:rPr>
                <w:rFonts w:ascii="Times New Roman" w:hAnsi="Times New Roman"/>
                <w:sz w:val="20"/>
                <w:szCs w:val="20"/>
              </w:rPr>
            </w:pPr>
            <w:r w:rsidRPr="00A43AC2">
              <w:rPr>
                <w:rFonts w:ascii="Times New Roman" w:hAnsi="Times New Roman"/>
                <w:sz w:val="20"/>
                <w:szCs w:val="20"/>
              </w:rPr>
              <w:t>3,4</w:t>
            </w:r>
          </w:p>
        </w:tc>
        <w:tc>
          <w:tcPr>
            <w:tcW w:w="0" w:type="auto"/>
            <w:vAlign w:val="center"/>
          </w:tcPr>
          <w:p w:rsidR="00BD48F0" w:rsidRPr="00A43AC2" w:rsidRDefault="00674AD4" w:rsidP="00BD48F0">
            <w:pPr>
              <w:spacing w:line="240" w:lineRule="auto"/>
              <w:jc w:val="center"/>
              <w:rPr>
                <w:rFonts w:ascii="Times New Roman" w:hAnsi="Times New Roman"/>
                <w:sz w:val="20"/>
                <w:szCs w:val="20"/>
              </w:rPr>
            </w:pPr>
            <w:r w:rsidRPr="00A43AC2">
              <w:rPr>
                <w:rFonts w:ascii="Times New Roman" w:hAnsi="Times New Roman"/>
                <w:sz w:val="20"/>
                <w:szCs w:val="20"/>
              </w:rPr>
              <w:t>3,6</w:t>
            </w:r>
          </w:p>
        </w:tc>
        <w:tc>
          <w:tcPr>
            <w:tcW w:w="0" w:type="auto"/>
            <w:vAlign w:val="center"/>
          </w:tcPr>
          <w:p w:rsidR="00BD48F0" w:rsidRPr="00A43AC2" w:rsidRDefault="00674AD4" w:rsidP="00BD48F0">
            <w:pPr>
              <w:spacing w:line="240" w:lineRule="auto"/>
              <w:jc w:val="center"/>
              <w:rPr>
                <w:rFonts w:ascii="Times New Roman" w:hAnsi="Times New Roman"/>
                <w:sz w:val="20"/>
                <w:szCs w:val="20"/>
              </w:rPr>
            </w:pPr>
            <w:r w:rsidRPr="00A43AC2">
              <w:rPr>
                <w:rFonts w:ascii="Times New Roman" w:hAnsi="Times New Roman"/>
                <w:sz w:val="20"/>
                <w:szCs w:val="20"/>
              </w:rPr>
              <w:t>6,9</w:t>
            </w:r>
          </w:p>
        </w:tc>
        <w:tc>
          <w:tcPr>
            <w:tcW w:w="0" w:type="auto"/>
            <w:vAlign w:val="center"/>
          </w:tcPr>
          <w:p w:rsidR="00BD48F0" w:rsidRPr="00A43AC2" w:rsidRDefault="00294760" w:rsidP="00BD48F0">
            <w:pPr>
              <w:spacing w:line="240" w:lineRule="auto"/>
              <w:jc w:val="center"/>
              <w:rPr>
                <w:rFonts w:ascii="Times New Roman" w:hAnsi="Times New Roman"/>
                <w:sz w:val="20"/>
                <w:szCs w:val="20"/>
              </w:rPr>
            </w:pPr>
            <w:r>
              <w:rPr>
                <w:rFonts w:ascii="Times New Roman" w:hAnsi="Times New Roman"/>
                <w:sz w:val="20"/>
                <w:szCs w:val="20"/>
              </w:rPr>
              <w:t>6,8</w:t>
            </w:r>
          </w:p>
        </w:tc>
        <w:tc>
          <w:tcPr>
            <w:tcW w:w="0" w:type="auto"/>
            <w:vAlign w:val="center"/>
          </w:tcPr>
          <w:p w:rsidR="00BD48F0" w:rsidRPr="00A43AC2" w:rsidRDefault="00294760" w:rsidP="00BD48F0">
            <w:pPr>
              <w:spacing w:line="240" w:lineRule="auto"/>
              <w:jc w:val="center"/>
              <w:rPr>
                <w:rFonts w:ascii="Times New Roman" w:hAnsi="Times New Roman"/>
                <w:sz w:val="20"/>
                <w:szCs w:val="20"/>
              </w:rPr>
            </w:pPr>
            <w:r>
              <w:rPr>
                <w:rFonts w:ascii="Times New Roman" w:hAnsi="Times New Roman"/>
                <w:sz w:val="20"/>
                <w:szCs w:val="20"/>
              </w:rPr>
              <w:t>7,0</w:t>
            </w:r>
          </w:p>
        </w:tc>
        <w:tc>
          <w:tcPr>
            <w:tcW w:w="0" w:type="auto"/>
            <w:vAlign w:val="center"/>
          </w:tcPr>
          <w:p w:rsidR="00BD48F0" w:rsidRPr="00A43AC2" w:rsidRDefault="00674AD4" w:rsidP="00BD48F0">
            <w:pPr>
              <w:spacing w:line="240" w:lineRule="auto"/>
              <w:jc w:val="center"/>
              <w:rPr>
                <w:rFonts w:ascii="Times New Roman" w:hAnsi="Times New Roman"/>
                <w:sz w:val="20"/>
                <w:szCs w:val="20"/>
              </w:rPr>
            </w:pPr>
            <w:r w:rsidRPr="00A43AC2">
              <w:rPr>
                <w:rFonts w:ascii="Times New Roman" w:hAnsi="Times New Roman"/>
                <w:sz w:val="20"/>
                <w:szCs w:val="20"/>
              </w:rPr>
              <w:t>4,8</w:t>
            </w:r>
          </w:p>
        </w:tc>
        <w:tc>
          <w:tcPr>
            <w:tcW w:w="0" w:type="auto"/>
            <w:vAlign w:val="center"/>
          </w:tcPr>
          <w:p w:rsidR="00BD48F0" w:rsidRPr="00A43AC2" w:rsidRDefault="00BD48F0" w:rsidP="00674AD4">
            <w:pPr>
              <w:spacing w:line="240" w:lineRule="auto"/>
              <w:jc w:val="center"/>
              <w:rPr>
                <w:rFonts w:ascii="Times New Roman" w:hAnsi="Times New Roman"/>
                <w:sz w:val="20"/>
                <w:szCs w:val="20"/>
              </w:rPr>
            </w:pPr>
            <w:r w:rsidRPr="00A43AC2">
              <w:rPr>
                <w:rFonts w:ascii="Times New Roman" w:hAnsi="Times New Roman"/>
                <w:sz w:val="20"/>
                <w:szCs w:val="20"/>
              </w:rPr>
              <w:t>5,</w:t>
            </w:r>
            <w:r w:rsidR="00674AD4" w:rsidRPr="00A43AC2">
              <w:rPr>
                <w:rFonts w:ascii="Times New Roman" w:hAnsi="Times New Roman"/>
                <w:sz w:val="20"/>
                <w:szCs w:val="20"/>
              </w:rPr>
              <w:t>2</w:t>
            </w:r>
          </w:p>
        </w:tc>
        <w:tc>
          <w:tcPr>
            <w:tcW w:w="0" w:type="auto"/>
            <w:vAlign w:val="center"/>
          </w:tcPr>
          <w:p w:rsidR="00BD48F0" w:rsidRPr="00A43AC2" w:rsidRDefault="00674AD4" w:rsidP="00BD48F0">
            <w:pPr>
              <w:spacing w:line="240" w:lineRule="auto"/>
              <w:jc w:val="center"/>
              <w:rPr>
                <w:rFonts w:ascii="Times New Roman" w:hAnsi="Times New Roman"/>
                <w:sz w:val="20"/>
                <w:szCs w:val="20"/>
              </w:rPr>
            </w:pPr>
            <w:r w:rsidRPr="00A43AC2">
              <w:rPr>
                <w:rFonts w:ascii="Times New Roman" w:hAnsi="Times New Roman"/>
                <w:sz w:val="20"/>
                <w:szCs w:val="20"/>
              </w:rPr>
              <w:t>5,3</w:t>
            </w:r>
          </w:p>
        </w:tc>
      </w:tr>
      <w:tr w:rsidR="00BD48F0" w:rsidRPr="00F91A46" w:rsidTr="00BD48F0">
        <w:trPr>
          <w:trHeight w:val="429"/>
        </w:trPr>
        <w:tc>
          <w:tcPr>
            <w:tcW w:w="0" w:type="auto"/>
            <w:vAlign w:val="center"/>
          </w:tcPr>
          <w:p w:rsidR="00BD48F0" w:rsidRPr="00A43AC2" w:rsidRDefault="00BD48F0" w:rsidP="00BD48F0">
            <w:pPr>
              <w:spacing w:line="240" w:lineRule="auto"/>
              <w:rPr>
                <w:rFonts w:ascii="Times New Roman" w:hAnsi="Times New Roman"/>
                <w:sz w:val="20"/>
                <w:szCs w:val="20"/>
              </w:rPr>
            </w:pPr>
            <w:r w:rsidRPr="00A43AC2">
              <w:rPr>
                <w:rFonts w:ascii="Times New Roman" w:hAnsi="Times New Roman"/>
                <w:sz w:val="20"/>
                <w:szCs w:val="20"/>
              </w:rPr>
              <w:t>Wydajność pracy – wartość dodana (tys. zł/osobę)</w:t>
            </w:r>
          </w:p>
        </w:tc>
        <w:tc>
          <w:tcPr>
            <w:tcW w:w="0" w:type="auto"/>
            <w:vAlign w:val="center"/>
          </w:tcPr>
          <w:p w:rsidR="00BD48F0" w:rsidRPr="00A43AC2" w:rsidRDefault="00AE0C6A" w:rsidP="00BD48F0">
            <w:pPr>
              <w:spacing w:line="240" w:lineRule="auto"/>
              <w:jc w:val="center"/>
              <w:rPr>
                <w:rFonts w:ascii="Times New Roman" w:hAnsi="Times New Roman"/>
                <w:sz w:val="20"/>
                <w:szCs w:val="20"/>
              </w:rPr>
            </w:pPr>
            <w:r w:rsidRPr="00A43AC2">
              <w:rPr>
                <w:rFonts w:ascii="Times New Roman" w:hAnsi="Times New Roman"/>
                <w:sz w:val="20"/>
                <w:szCs w:val="20"/>
              </w:rPr>
              <w:t>105,1</w:t>
            </w:r>
          </w:p>
        </w:tc>
        <w:tc>
          <w:tcPr>
            <w:tcW w:w="0" w:type="auto"/>
            <w:vAlign w:val="center"/>
          </w:tcPr>
          <w:p w:rsidR="00BD48F0" w:rsidRPr="00A43AC2" w:rsidRDefault="00AE0C6A" w:rsidP="00BD48F0">
            <w:pPr>
              <w:spacing w:line="240" w:lineRule="auto"/>
              <w:jc w:val="center"/>
              <w:rPr>
                <w:rFonts w:ascii="Times New Roman" w:hAnsi="Times New Roman"/>
                <w:sz w:val="20"/>
                <w:szCs w:val="20"/>
              </w:rPr>
            </w:pPr>
            <w:r w:rsidRPr="00A43AC2">
              <w:rPr>
                <w:rFonts w:ascii="Times New Roman" w:hAnsi="Times New Roman"/>
                <w:sz w:val="20"/>
                <w:szCs w:val="20"/>
              </w:rPr>
              <w:t>81,0</w:t>
            </w:r>
          </w:p>
        </w:tc>
        <w:tc>
          <w:tcPr>
            <w:tcW w:w="0" w:type="auto"/>
            <w:vAlign w:val="center"/>
          </w:tcPr>
          <w:p w:rsidR="00BD48F0" w:rsidRPr="00A43AC2" w:rsidRDefault="00AE0C6A" w:rsidP="00BD48F0">
            <w:pPr>
              <w:spacing w:line="240" w:lineRule="auto"/>
              <w:jc w:val="center"/>
              <w:rPr>
                <w:rFonts w:ascii="Times New Roman" w:hAnsi="Times New Roman"/>
                <w:sz w:val="20"/>
                <w:szCs w:val="20"/>
              </w:rPr>
            </w:pPr>
            <w:r w:rsidRPr="00A43AC2">
              <w:rPr>
                <w:rFonts w:ascii="Times New Roman" w:hAnsi="Times New Roman"/>
                <w:sz w:val="20"/>
                <w:szCs w:val="20"/>
              </w:rPr>
              <w:t>64,4</w:t>
            </w:r>
          </w:p>
        </w:tc>
        <w:tc>
          <w:tcPr>
            <w:tcW w:w="0" w:type="auto"/>
            <w:vAlign w:val="center"/>
          </w:tcPr>
          <w:p w:rsidR="00BD48F0" w:rsidRPr="00A43AC2" w:rsidRDefault="00AE0C6A" w:rsidP="00BD48F0">
            <w:pPr>
              <w:spacing w:line="240" w:lineRule="auto"/>
              <w:jc w:val="center"/>
              <w:rPr>
                <w:rFonts w:ascii="Times New Roman" w:hAnsi="Times New Roman"/>
                <w:sz w:val="20"/>
                <w:szCs w:val="20"/>
              </w:rPr>
            </w:pPr>
            <w:r w:rsidRPr="00A43AC2">
              <w:rPr>
                <w:rFonts w:ascii="Times New Roman" w:hAnsi="Times New Roman"/>
                <w:sz w:val="20"/>
                <w:szCs w:val="20"/>
              </w:rPr>
              <w:t>64,3</w:t>
            </w:r>
          </w:p>
        </w:tc>
        <w:tc>
          <w:tcPr>
            <w:tcW w:w="0" w:type="auto"/>
            <w:vAlign w:val="center"/>
          </w:tcPr>
          <w:p w:rsidR="00BD48F0" w:rsidRPr="00A43AC2" w:rsidRDefault="00AE0C6A" w:rsidP="00BD48F0">
            <w:pPr>
              <w:spacing w:line="240" w:lineRule="auto"/>
              <w:jc w:val="center"/>
              <w:rPr>
                <w:rFonts w:ascii="Times New Roman" w:hAnsi="Times New Roman"/>
                <w:sz w:val="20"/>
                <w:szCs w:val="20"/>
              </w:rPr>
            </w:pPr>
            <w:r w:rsidRPr="00A43AC2">
              <w:rPr>
                <w:rFonts w:ascii="Times New Roman" w:hAnsi="Times New Roman"/>
                <w:sz w:val="20"/>
                <w:szCs w:val="20"/>
              </w:rPr>
              <w:t>56,9</w:t>
            </w:r>
          </w:p>
        </w:tc>
        <w:tc>
          <w:tcPr>
            <w:tcW w:w="0" w:type="auto"/>
            <w:vAlign w:val="center"/>
          </w:tcPr>
          <w:p w:rsidR="00BD48F0" w:rsidRPr="00A43AC2" w:rsidRDefault="00BD48F0" w:rsidP="00BD48F0">
            <w:pPr>
              <w:spacing w:line="240" w:lineRule="auto"/>
              <w:jc w:val="center"/>
              <w:rPr>
                <w:rFonts w:ascii="Times New Roman" w:hAnsi="Times New Roman"/>
                <w:sz w:val="20"/>
                <w:szCs w:val="20"/>
              </w:rPr>
            </w:pPr>
            <w:r w:rsidRPr="00A43AC2">
              <w:rPr>
                <w:rFonts w:ascii="Times New Roman" w:hAnsi="Times New Roman"/>
                <w:sz w:val="20"/>
                <w:szCs w:val="20"/>
              </w:rPr>
              <w:t>49,7</w:t>
            </w:r>
          </w:p>
        </w:tc>
        <w:tc>
          <w:tcPr>
            <w:tcW w:w="0" w:type="auto"/>
            <w:vAlign w:val="center"/>
          </w:tcPr>
          <w:p w:rsidR="00BD48F0" w:rsidRPr="00A43AC2" w:rsidRDefault="00AE0C6A" w:rsidP="00BD48F0">
            <w:pPr>
              <w:spacing w:line="240" w:lineRule="auto"/>
              <w:jc w:val="center"/>
              <w:rPr>
                <w:rFonts w:ascii="Times New Roman" w:hAnsi="Times New Roman"/>
                <w:sz w:val="20"/>
                <w:szCs w:val="20"/>
              </w:rPr>
            </w:pPr>
            <w:r w:rsidRPr="00A43AC2">
              <w:rPr>
                <w:rFonts w:ascii="Times New Roman" w:hAnsi="Times New Roman"/>
                <w:sz w:val="20"/>
                <w:szCs w:val="20"/>
              </w:rPr>
              <w:t>78,7</w:t>
            </w:r>
          </w:p>
        </w:tc>
        <w:tc>
          <w:tcPr>
            <w:tcW w:w="0" w:type="auto"/>
            <w:vAlign w:val="center"/>
          </w:tcPr>
          <w:p w:rsidR="00BD48F0" w:rsidRPr="00A43AC2" w:rsidRDefault="00AE0C6A" w:rsidP="00BD48F0">
            <w:pPr>
              <w:spacing w:line="240" w:lineRule="auto"/>
              <w:jc w:val="center"/>
              <w:rPr>
                <w:rFonts w:ascii="Times New Roman" w:hAnsi="Times New Roman"/>
                <w:sz w:val="20"/>
                <w:szCs w:val="20"/>
              </w:rPr>
            </w:pPr>
            <w:r w:rsidRPr="00A43AC2">
              <w:rPr>
                <w:rFonts w:ascii="Times New Roman" w:hAnsi="Times New Roman"/>
                <w:sz w:val="20"/>
                <w:szCs w:val="20"/>
              </w:rPr>
              <w:t>61,3</w:t>
            </w:r>
          </w:p>
        </w:tc>
        <w:tc>
          <w:tcPr>
            <w:tcW w:w="0" w:type="auto"/>
            <w:vAlign w:val="center"/>
          </w:tcPr>
          <w:p w:rsidR="00BD48F0" w:rsidRPr="00A43AC2" w:rsidRDefault="00AE0C6A" w:rsidP="00BD48F0">
            <w:pPr>
              <w:spacing w:line="240" w:lineRule="auto"/>
              <w:jc w:val="center"/>
              <w:rPr>
                <w:rFonts w:ascii="Times New Roman" w:hAnsi="Times New Roman"/>
                <w:sz w:val="20"/>
                <w:szCs w:val="20"/>
              </w:rPr>
            </w:pPr>
            <w:r w:rsidRPr="00A43AC2">
              <w:rPr>
                <w:rFonts w:ascii="Times New Roman" w:hAnsi="Times New Roman"/>
                <w:sz w:val="20"/>
                <w:szCs w:val="20"/>
              </w:rPr>
              <w:t>57,2</w:t>
            </w:r>
          </w:p>
        </w:tc>
      </w:tr>
      <w:tr w:rsidR="005136BF" w:rsidRPr="005136BF" w:rsidTr="00BD48F0">
        <w:trPr>
          <w:trHeight w:val="441"/>
        </w:trPr>
        <w:tc>
          <w:tcPr>
            <w:tcW w:w="0" w:type="auto"/>
            <w:vAlign w:val="center"/>
          </w:tcPr>
          <w:p w:rsidR="00BD48F0" w:rsidRPr="00A43AC2" w:rsidRDefault="005136BF" w:rsidP="00BD48F0">
            <w:pPr>
              <w:spacing w:line="240" w:lineRule="auto"/>
              <w:rPr>
                <w:rFonts w:ascii="Times New Roman" w:hAnsi="Times New Roman"/>
                <w:sz w:val="20"/>
                <w:szCs w:val="20"/>
              </w:rPr>
            </w:pPr>
            <w:r w:rsidRPr="00A43AC2">
              <w:rPr>
                <w:rFonts w:ascii="Times New Roman" w:hAnsi="Times New Roman"/>
                <w:sz w:val="20"/>
                <w:szCs w:val="20"/>
              </w:rPr>
              <w:t xml:space="preserve">Wskaźnik wartości dodanej </w:t>
            </w:r>
            <w:r w:rsidR="00BD48F0" w:rsidRPr="00A43AC2">
              <w:rPr>
                <w:rFonts w:ascii="Times New Roman" w:hAnsi="Times New Roman"/>
                <w:sz w:val="20"/>
                <w:szCs w:val="20"/>
              </w:rPr>
              <w:t>(%)</w:t>
            </w:r>
          </w:p>
        </w:tc>
        <w:tc>
          <w:tcPr>
            <w:tcW w:w="0" w:type="auto"/>
            <w:vAlign w:val="center"/>
          </w:tcPr>
          <w:p w:rsidR="00BD48F0" w:rsidRPr="00A43AC2" w:rsidRDefault="005136BF" w:rsidP="00BD48F0">
            <w:pPr>
              <w:spacing w:line="240" w:lineRule="auto"/>
              <w:jc w:val="center"/>
              <w:rPr>
                <w:rFonts w:ascii="Times New Roman" w:hAnsi="Times New Roman"/>
                <w:sz w:val="20"/>
                <w:szCs w:val="20"/>
              </w:rPr>
            </w:pPr>
            <w:r w:rsidRPr="00A43AC2">
              <w:rPr>
                <w:rFonts w:ascii="Times New Roman" w:hAnsi="Times New Roman"/>
                <w:sz w:val="20"/>
                <w:szCs w:val="20"/>
              </w:rPr>
              <w:t>43,5</w:t>
            </w:r>
          </w:p>
        </w:tc>
        <w:tc>
          <w:tcPr>
            <w:tcW w:w="0" w:type="auto"/>
            <w:vAlign w:val="center"/>
          </w:tcPr>
          <w:p w:rsidR="00BD48F0" w:rsidRPr="00A43AC2" w:rsidRDefault="00BD48F0" w:rsidP="005136BF">
            <w:pPr>
              <w:spacing w:line="240" w:lineRule="auto"/>
              <w:jc w:val="center"/>
              <w:rPr>
                <w:rFonts w:ascii="Times New Roman" w:hAnsi="Times New Roman"/>
                <w:sz w:val="20"/>
                <w:szCs w:val="20"/>
              </w:rPr>
            </w:pPr>
            <w:r w:rsidRPr="00A43AC2">
              <w:rPr>
                <w:rFonts w:ascii="Times New Roman" w:hAnsi="Times New Roman"/>
                <w:sz w:val="20"/>
                <w:szCs w:val="20"/>
              </w:rPr>
              <w:t>34,</w:t>
            </w:r>
            <w:r w:rsidR="005136BF" w:rsidRPr="00A43AC2">
              <w:rPr>
                <w:rFonts w:ascii="Times New Roman" w:hAnsi="Times New Roman"/>
                <w:sz w:val="20"/>
                <w:szCs w:val="20"/>
              </w:rPr>
              <w:t>9</w:t>
            </w:r>
          </w:p>
        </w:tc>
        <w:tc>
          <w:tcPr>
            <w:tcW w:w="0" w:type="auto"/>
            <w:vAlign w:val="center"/>
          </w:tcPr>
          <w:p w:rsidR="00BD48F0" w:rsidRPr="00A43AC2" w:rsidRDefault="005136BF" w:rsidP="00BD48F0">
            <w:pPr>
              <w:spacing w:line="240" w:lineRule="auto"/>
              <w:jc w:val="center"/>
              <w:rPr>
                <w:rFonts w:ascii="Times New Roman" w:hAnsi="Times New Roman"/>
                <w:sz w:val="20"/>
                <w:szCs w:val="20"/>
              </w:rPr>
            </w:pPr>
            <w:r w:rsidRPr="00A43AC2">
              <w:rPr>
                <w:rFonts w:ascii="Times New Roman" w:hAnsi="Times New Roman"/>
                <w:sz w:val="20"/>
                <w:szCs w:val="20"/>
              </w:rPr>
              <w:t>37,5</w:t>
            </w:r>
          </w:p>
        </w:tc>
        <w:tc>
          <w:tcPr>
            <w:tcW w:w="0" w:type="auto"/>
            <w:vAlign w:val="center"/>
          </w:tcPr>
          <w:p w:rsidR="00BD48F0" w:rsidRPr="00A43AC2" w:rsidRDefault="005136BF" w:rsidP="00BD48F0">
            <w:pPr>
              <w:spacing w:line="240" w:lineRule="auto"/>
              <w:jc w:val="center"/>
              <w:rPr>
                <w:rFonts w:ascii="Times New Roman" w:hAnsi="Times New Roman"/>
                <w:sz w:val="20"/>
                <w:szCs w:val="20"/>
              </w:rPr>
            </w:pPr>
            <w:r w:rsidRPr="00A43AC2">
              <w:rPr>
                <w:rFonts w:ascii="Times New Roman" w:hAnsi="Times New Roman"/>
                <w:sz w:val="20"/>
                <w:szCs w:val="20"/>
              </w:rPr>
              <w:t>36,5</w:t>
            </w:r>
          </w:p>
        </w:tc>
        <w:tc>
          <w:tcPr>
            <w:tcW w:w="0" w:type="auto"/>
            <w:vAlign w:val="center"/>
          </w:tcPr>
          <w:p w:rsidR="00BD48F0" w:rsidRPr="00A43AC2" w:rsidRDefault="005136BF" w:rsidP="00BD48F0">
            <w:pPr>
              <w:spacing w:line="240" w:lineRule="auto"/>
              <w:jc w:val="center"/>
              <w:rPr>
                <w:rFonts w:ascii="Times New Roman" w:hAnsi="Times New Roman"/>
                <w:sz w:val="20"/>
                <w:szCs w:val="20"/>
              </w:rPr>
            </w:pPr>
            <w:r w:rsidRPr="00A43AC2">
              <w:rPr>
                <w:rFonts w:ascii="Times New Roman" w:hAnsi="Times New Roman"/>
                <w:sz w:val="20"/>
                <w:szCs w:val="20"/>
              </w:rPr>
              <w:t>34,6</w:t>
            </w:r>
          </w:p>
        </w:tc>
        <w:tc>
          <w:tcPr>
            <w:tcW w:w="0" w:type="auto"/>
            <w:vAlign w:val="center"/>
          </w:tcPr>
          <w:p w:rsidR="00BD48F0" w:rsidRPr="00A43AC2" w:rsidRDefault="005136BF" w:rsidP="00BD48F0">
            <w:pPr>
              <w:spacing w:line="240" w:lineRule="auto"/>
              <w:jc w:val="center"/>
              <w:rPr>
                <w:rFonts w:ascii="Times New Roman" w:hAnsi="Times New Roman"/>
                <w:sz w:val="20"/>
                <w:szCs w:val="20"/>
              </w:rPr>
            </w:pPr>
            <w:r w:rsidRPr="00A43AC2">
              <w:rPr>
                <w:rFonts w:ascii="Times New Roman" w:hAnsi="Times New Roman"/>
                <w:sz w:val="20"/>
                <w:szCs w:val="20"/>
              </w:rPr>
              <w:t>37,7</w:t>
            </w:r>
          </w:p>
        </w:tc>
        <w:tc>
          <w:tcPr>
            <w:tcW w:w="0" w:type="auto"/>
            <w:vAlign w:val="center"/>
          </w:tcPr>
          <w:p w:rsidR="00BD48F0" w:rsidRPr="00A43AC2" w:rsidRDefault="005136BF" w:rsidP="00BD48F0">
            <w:pPr>
              <w:spacing w:line="240" w:lineRule="auto"/>
              <w:jc w:val="center"/>
              <w:rPr>
                <w:rFonts w:ascii="Times New Roman" w:hAnsi="Times New Roman"/>
                <w:sz w:val="20"/>
                <w:szCs w:val="20"/>
              </w:rPr>
            </w:pPr>
            <w:r w:rsidRPr="00A43AC2">
              <w:rPr>
                <w:rFonts w:ascii="Times New Roman" w:hAnsi="Times New Roman"/>
                <w:sz w:val="20"/>
                <w:szCs w:val="20"/>
              </w:rPr>
              <w:t>43,9</w:t>
            </w:r>
          </w:p>
        </w:tc>
        <w:tc>
          <w:tcPr>
            <w:tcW w:w="0" w:type="auto"/>
            <w:vAlign w:val="center"/>
          </w:tcPr>
          <w:p w:rsidR="00BD48F0" w:rsidRPr="00A43AC2" w:rsidRDefault="005136BF" w:rsidP="00BD48F0">
            <w:pPr>
              <w:spacing w:line="240" w:lineRule="auto"/>
              <w:jc w:val="center"/>
              <w:rPr>
                <w:rFonts w:ascii="Times New Roman" w:hAnsi="Times New Roman"/>
                <w:sz w:val="20"/>
                <w:szCs w:val="20"/>
              </w:rPr>
            </w:pPr>
            <w:r w:rsidRPr="00A43AC2">
              <w:rPr>
                <w:rFonts w:ascii="Times New Roman" w:hAnsi="Times New Roman"/>
                <w:sz w:val="20"/>
                <w:szCs w:val="20"/>
              </w:rPr>
              <w:t>42,8</w:t>
            </w:r>
          </w:p>
        </w:tc>
        <w:tc>
          <w:tcPr>
            <w:tcW w:w="0" w:type="auto"/>
            <w:vAlign w:val="center"/>
          </w:tcPr>
          <w:p w:rsidR="00BD48F0" w:rsidRPr="00A43AC2" w:rsidRDefault="00294760" w:rsidP="00BD48F0">
            <w:pPr>
              <w:spacing w:line="240" w:lineRule="auto"/>
              <w:jc w:val="center"/>
              <w:rPr>
                <w:rFonts w:ascii="Times New Roman" w:hAnsi="Times New Roman"/>
                <w:sz w:val="20"/>
                <w:szCs w:val="20"/>
              </w:rPr>
            </w:pPr>
            <w:r>
              <w:rPr>
                <w:rFonts w:ascii="Times New Roman" w:hAnsi="Times New Roman"/>
                <w:sz w:val="20"/>
                <w:szCs w:val="20"/>
              </w:rPr>
              <w:t>43,2</w:t>
            </w:r>
          </w:p>
        </w:tc>
      </w:tr>
      <w:tr w:rsidR="00BD48F0" w:rsidRPr="00F91A46" w:rsidTr="00BD48F0">
        <w:trPr>
          <w:trHeight w:val="429"/>
        </w:trPr>
        <w:tc>
          <w:tcPr>
            <w:tcW w:w="0" w:type="auto"/>
            <w:gridSpan w:val="10"/>
            <w:vAlign w:val="center"/>
          </w:tcPr>
          <w:p w:rsidR="00BD48F0" w:rsidRPr="00A43AC2" w:rsidRDefault="00BD48F0" w:rsidP="00BD48F0">
            <w:pPr>
              <w:spacing w:line="240" w:lineRule="auto"/>
              <w:rPr>
                <w:rFonts w:ascii="Times New Roman" w:hAnsi="Times New Roman"/>
                <w:sz w:val="20"/>
                <w:szCs w:val="20"/>
              </w:rPr>
            </w:pPr>
            <w:r w:rsidRPr="00A43AC2">
              <w:rPr>
                <w:rFonts w:ascii="Times New Roman" w:hAnsi="Times New Roman"/>
                <w:sz w:val="20"/>
                <w:szCs w:val="20"/>
              </w:rPr>
              <w:t>Wskaźniki dochodowości:</w:t>
            </w:r>
          </w:p>
        </w:tc>
      </w:tr>
      <w:tr w:rsidR="00BD48F0" w:rsidRPr="00F91A46" w:rsidTr="00BD48F0">
        <w:trPr>
          <w:trHeight w:val="441"/>
        </w:trPr>
        <w:tc>
          <w:tcPr>
            <w:tcW w:w="0" w:type="auto"/>
            <w:vAlign w:val="center"/>
          </w:tcPr>
          <w:p w:rsidR="00BD48F0" w:rsidRPr="00A43AC2" w:rsidRDefault="00BD48F0" w:rsidP="00BD48F0">
            <w:pPr>
              <w:spacing w:line="240" w:lineRule="auto"/>
              <w:rPr>
                <w:rFonts w:ascii="Times New Roman" w:hAnsi="Times New Roman"/>
                <w:sz w:val="20"/>
                <w:szCs w:val="20"/>
              </w:rPr>
            </w:pPr>
            <w:r w:rsidRPr="00A43AC2">
              <w:rPr>
                <w:rFonts w:ascii="Times New Roman" w:hAnsi="Times New Roman"/>
                <w:sz w:val="20"/>
                <w:szCs w:val="20"/>
              </w:rPr>
              <w:t xml:space="preserve">- pracy członka ( </w:t>
            </w:r>
            <w:proofErr w:type="spellStart"/>
            <w:r w:rsidRPr="00A43AC2">
              <w:rPr>
                <w:rFonts w:ascii="Times New Roman" w:hAnsi="Times New Roman"/>
                <w:sz w:val="20"/>
                <w:szCs w:val="20"/>
              </w:rPr>
              <w:t>tys.zł</w:t>
            </w:r>
            <w:proofErr w:type="spellEnd"/>
            <w:r w:rsidRPr="00A43AC2">
              <w:rPr>
                <w:rFonts w:ascii="Times New Roman" w:hAnsi="Times New Roman"/>
                <w:sz w:val="20"/>
                <w:szCs w:val="20"/>
              </w:rPr>
              <w:t>/osobę)</w:t>
            </w:r>
          </w:p>
        </w:tc>
        <w:tc>
          <w:tcPr>
            <w:tcW w:w="0" w:type="auto"/>
            <w:vAlign w:val="center"/>
          </w:tcPr>
          <w:p w:rsidR="00BD48F0" w:rsidRPr="00A43AC2" w:rsidRDefault="005136BF" w:rsidP="00BD48F0">
            <w:pPr>
              <w:spacing w:line="240" w:lineRule="auto"/>
              <w:jc w:val="center"/>
              <w:rPr>
                <w:rFonts w:ascii="Times New Roman" w:hAnsi="Times New Roman"/>
                <w:sz w:val="20"/>
                <w:szCs w:val="20"/>
              </w:rPr>
            </w:pPr>
            <w:r w:rsidRPr="00A43AC2">
              <w:rPr>
                <w:rFonts w:ascii="Times New Roman" w:hAnsi="Times New Roman"/>
                <w:sz w:val="20"/>
                <w:szCs w:val="20"/>
              </w:rPr>
              <w:t>74,5</w:t>
            </w:r>
          </w:p>
        </w:tc>
        <w:tc>
          <w:tcPr>
            <w:tcW w:w="0" w:type="auto"/>
            <w:vAlign w:val="center"/>
          </w:tcPr>
          <w:p w:rsidR="00BD48F0" w:rsidRPr="00A43AC2" w:rsidRDefault="005136BF" w:rsidP="00BD48F0">
            <w:pPr>
              <w:spacing w:line="240" w:lineRule="auto"/>
              <w:jc w:val="center"/>
              <w:rPr>
                <w:rFonts w:ascii="Times New Roman" w:hAnsi="Times New Roman"/>
                <w:sz w:val="20"/>
                <w:szCs w:val="20"/>
              </w:rPr>
            </w:pPr>
            <w:r w:rsidRPr="00A43AC2">
              <w:rPr>
                <w:rFonts w:ascii="Times New Roman" w:hAnsi="Times New Roman"/>
                <w:sz w:val="20"/>
                <w:szCs w:val="20"/>
              </w:rPr>
              <w:t>53,6</w:t>
            </w:r>
          </w:p>
        </w:tc>
        <w:tc>
          <w:tcPr>
            <w:tcW w:w="0" w:type="auto"/>
            <w:vAlign w:val="center"/>
          </w:tcPr>
          <w:p w:rsidR="00BD48F0" w:rsidRPr="00A43AC2" w:rsidRDefault="005136BF" w:rsidP="00BD48F0">
            <w:pPr>
              <w:spacing w:line="240" w:lineRule="auto"/>
              <w:jc w:val="center"/>
              <w:rPr>
                <w:rFonts w:ascii="Times New Roman" w:hAnsi="Times New Roman"/>
                <w:sz w:val="20"/>
                <w:szCs w:val="20"/>
              </w:rPr>
            </w:pPr>
            <w:r w:rsidRPr="00A43AC2">
              <w:rPr>
                <w:rFonts w:ascii="Times New Roman" w:hAnsi="Times New Roman"/>
                <w:sz w:val="20"/>
                <w:szCs w:val="20"/>
              </w:rPr>
              <w:t>39,0</w:t>
            </w:r>
          </w:p>
        </w:tc>
        <w:tc>
          <w:tcPr>
            <w:tcW w:w="0" w:type="auto"/>
            <w:vAlign w:val="center"/>
          </w:tcPr>
          <w:p w:rsidR="00BD48F0" w:rsidRPr="00A43AC2" w:rsidRDefault="005136BF" w:rsidP="00BD48F0">
            <w:pPr>
              <w:spacing w:line="240" w:lineRule="auto"/>
              <w:jc w:val="center"/>
              <w:rPr>
                <w:rFonts w:ascii="Times New Roman" w:hAnsi="Times New Roman"/>
                <w:sz w:val="20"/>
                <w:szCs w:val="20"/>
              </w:rPr>
            </w:pPr>
            <w:r w:rsidRPr="00A43AC2">
              <w:rPr>
                <w:rFonts w:ascii="Times New Roman" w:hAnsi="Times New Roman"/>
                <w:sz w:val="20"/>
                <w:szCs w:val="20"/>
              </w:rPr>
              <w:t>42,9</w:t>
            </w:r>
          </w:p>
        </w:tc>
        <w:tc>
          <w:tcPr>
            <w:tcW w:w="0" w:type="auto"/>
            <w:vAlign w:val="center"/>
          </w:tcPr>
          <w:p w:rsidR="00BD48F0" w:rsidRPr="00A43AC2" w:rsidRDefault="005136BF" w:rsidP="00BD48F0">
            <w:pPr>
              <w:spacing w:line="240" w:lineRule="auto"/>
              <w:rPr>
                <w:rFonts w:ascii="Times New Roman" w:hAnsi="Times New Roman"/>
                <w:sz w:val="20"/>
                <w:szCs w:val="20"/>
              </w:rPr>
            </w:pPr>
            <w:r w:rsidRPr="00A43AC2">
              <w:rPr>
                <w:rFonts w:ascii="Times New Roman" w:hAnsi="Times New Roman"/>
                <w:sz w:val="20"/>
                <w:szCs w:val="20"/>
              </w:rPr>
              <w:t>36,9</w:t>
            </w:r>
          </w:p>
        </w:tc>
        <w:tc>
          <w:tcPr>
            <w:tcW w:w="0" w:type="auto"/>
            <w:vAlign w:val="center"/>
          </w:tcPr>
          <w:p w:rsidR="00BD48F0" w:rsidRPr="00A43AC2" w:rsidRDefault="005136BF" w:rsidP="00BD48F0">
            <w:pPr>
              <w:spacing w:line="240" w:lineRule="auto"/>
              <w:jc w:val="center"/>
              <w:rPr>
                <w:rFonts w:ascii="Times New Roman" w:hAnsi="Times New Roman"/>
                <w:sz w:val="20"/>
                <w:szCs w:val="20"/>
              </w:rPr>
            </w:pPr>
            <w:r w:rsidRPr="00A43AC2">
              <w:rPr>
                <w:rFonts w:ascii="Times New Roman" w:hAnsi="Times New Roman"/>
                <w:sz w:val="20"/>
                <w:szCs w:val="20"/>
              </w:rPr>
              <w:t>31,0</w:t>
            </w:r>
          </w:p>
        </w:tc>
        <w:tc>
          <w:tcPr>
            <w:tcW w:w="0" w:type="auto"/>
            <w:vAlign w:val="center"/>
          </w:tcPr>
          <w:p w:rsidR="00BD48F0" w:rsidRPr="00A43AC2" w:rsidRDefault="005136BF" w:rsidP="00BD48F0">
            <w:pPr>
              <w:spacing w:line="240" w:lineRule="auto"/>
              <w:jc w:val="center"/>
              <w:rPr>
                <w:rFonts w:ascii="Times New Roman" w:hAnsi="Times New Roman"/>
                <w:sz w:val="20"/>
                <w:szCs w:val="20"/>
              </w:rPr>
            </w:pPr>
            <w:r w:rsidRPr="00A43AC2">
              <w:rPr>
                <w:rFonts w:ascii="Times New Roman" w:hAnsi="Times New Roman"/>
                <w:sz w:val="20"/>
                <w:szCs w:val="20"/>
              </w:rPr>
              <w:t>55,9</w:t>
            </w:r>
          </w:p>
        </w:tc>
        <w:tc>
          <w:tcPr>
            <w:tcW w:w="0" w:type="auto"/>
            <w:vAlign w:val="center"/>
          </w:tcPr>
          <w:p w:rsidR="00BD48F0" w:rsidRPr="00A43AC2" w:rsidRDefault="005136BF" w:rsidP="00BD48F0">
            <w:pPr>
              <w:spacing w:line="240" w:lineRule="auto"/>
              <w:jc w:val="center"/>
              <w:rPr>
                <w:rFonts w:ascii="Times New Roman" w:hAnsi="Times New Roman"/>
                <w:sz w:val="20"/>
                <w:szCs w:val="20"/>
              </w:rPr>
            </w:pPr>
            <w:r w:rsidRPr="00A43AC2">
              <w:rPr>
                <w:rFonts w:ascii="Times New Roman" w:hAnsi="Times New Roman"/>
                <w:sz w:val="20"/>
                <w:szCs w:val="20"/>
              </w:rPr>
              <w:t>41,3</w:t>
            </w:r>
          </w:p>
        </w:tc>
        <w:tc>
          <w:tcPr>
            <w:tcW w:w="0" w:type="auto"/>
            <w:vAlign w:val="center"/>
          </w:tcPr>
          <w:p w:rsidR="00BD48F0" w:rsidRPr="00A43AC2" w:rsidRDefault="005136BF" w:rsidP="00BD48F0">
            <w:pPr>
              <w:spacing w:line="240" w:lineRule="auto"/>
              <w:jc w:val="center"/>
              <w:rPr>
                <w:rFonts w:ascii="Times New Roman" w:hAnsi="Times New Roman"/>
                <w:sz w:val="20"/>
                <w:szCs w:val="20"/>
              </w:rPr>
            </w:pPr>
            <w:r w:rsidRPr="00A43AC2">
              <w:rPr>
                <w:rFonts w:ascii="Times New Roman" w:hAnsi="Times New Roman"/>
                <w:sz w:val="20"/>
                <w:szCs w:val="20"/>
              </w:rPr>
              <w:t>39,0</w:t>
            </w:r>
          </w:p>
        </w:tc>
      </w:tr>
      <w:tr w:rsidR="00BD48F0" w:rsidRPr="00F91A46" w:rsidTr="00BD48F0">
        <w:trPr>
          <w:trHeight w:val="429"/>
        </w:trPr>
        <w:tc>
          <w:tcPr>
            <w:tcW w:w="0" w:type="auto"/>
            <w:vAlign w:val="center"/>
          </w:tcPr>
          <w:p w:rsidR="00BD48F0" w:rsidRPr="00A43AC2" w:rsidRDefault="00BD48F0" w:rsidP="00BD48F0">
            <w:pPr>
              <w:spacing w:line="240" w:lineRule="auto"/>
              <w:rPr>
                <w:rFonts w:ascii="Times New Roman" w:hAnsi="Times New Roman"/>
                <w:sz w:val="20"/>
                <w:szCs w:val="20"/>
              </w:rPr>
            </w:pPr>
            <w:r w:rsidRPr="00A43AC2">
              <w:rPr>
                <w:rFonts w:ascii="Times New Roman" w:hAnsi="Times New Roman"/>
                <w:sz w:val="20"/>
                <w:szCs w:val="20"/>
              </w:rPr>
              <w:t>- działalności gospodarczej (%)</w:t>
            </w:r>
          </w:p>
        </w:tc>
        <w:tc>
          <w:tcPr>
            <w:tcW w:w="0" w:type="auto"/>
            <w:vAlign w:val="center"/>
          </w:tcPr>
          <w:p w:rsidR="00BD48F0" w:rsidRPr="00A43AC2" w:rsidRDefault="005136BF" w:rsidP="00BD48F0">
            <w:pPr>
              <w:spacing w:line="240" w:lineRule="auto"/>
              <w:jc w:val="center"/>
              <w:rPr>
                <w:rFonts w:ascii="Times New Roman" w:hAnsi="Times New Roman"/>
                <w:sz w:val="20"/>
                <w:szCs w:val="20"/>
              </w:rPr>
            </w:pPr>
            <w:r w:rsidRPr="00A43AC2">
              <w:rPr>
                <w:rFonts w:ascii="Times New Roman" w:hAnsi="Times New Roman"/>
                <w:sz w:val="20"/>
                <w:szCs w:val="20"/>
              </w:rPr>
              <w:t>29,7</w:t>
            </w:r>
          </w:p>
        </w:tc>
        <w:tc>
          <w:tcPr>
            <w:tcW w:w="0" w:type="auto"/>
            <w:vAlign w:val="center"/>
          </w:tcPr>
          <w:p w:rsidR="00BD48F0" w:rsidRPr="00A43AC2" w:rsidRDefault="005136BF" w:rsidP="00BD48F0">
            <w:pPr>
              <w:spacing w:line="240" w:lineRule="auto"/>
              <w:jc w:val="center"/>
              <w:rPr>
                <w:rFonts w:ascii="Times New Roman" w:hAnsi="Times New Roman"/>
                <w:sz w:val="20"/>
                <w:szCs w:val="20"/>
              </w:rPr>
            </w:pPr>
            <w:r w:rsidRPr="00A43AC2">
              <w:rPr>
                <w:rFonts w:ascii="Times New Roman" w:hAnsi="Times New Roman"/>
                <w:sz w:val="20"/>
                <w:szCs w:val="20"/>
              </w:rPr>
              <w:t>28,3</w:t>
            </w:r>
          </w:p>
        </w:tc>
        <w:tc>
          <w:tcPr>
            <w:tcW w:w="0" w:type="auto"/>
            <w:vAlign w:val="center"/>
          </w:tcPr>
          <w:p w:rsidR="00BD48F0" w:rsidRPr="00A43AC2" w:rsidRDefault="005136BF" w:rsidP="00BD48F0">
            <w:pPr>
              <w:spacing w:line="240" w:lineRule="auto"/>
              <w:jc w:val="center"/>
              <w:rPr>
                <w:rFonts w:ascii="Times New Roman" w:hAnsi="Times New Roman"/>
                <w:sz w:val="20"/>
                <w:szCs w:val="20"/>
              </w:rPr>
            </w:pPr>
            <w:r w:rsidRPr="00A43AC2">
              <w:rPr>
                <w:rFonts w:ascii="Times New Roman" w:hAnsi="Times New Roman"/>
                <w:sz w:val="20"/>
                <w:szCs w:val="20"/>
              </w:rPr>
              <w:t>21,4</w:t>
            </w:r>
          </w:p>
        </w:tc>
        <w:tc>
          <w:tcPr>
            <w:tcW w:w="0" w:type="auto"/>
            <w:vAlign w:val="center"/>
          </w:tcPr>
          <w:p w:rsidR="00BD48F0" w:rsidRPr="00A43AC2" w:rsidRDefault="005136BF" w:rsidP="00BD48F0">
            <w:pPr>
              <w:spacing w:line="240" w:lineRule="auto"/>
              <w:jc w:val="center"/>
              <w:rPr>
                <w:rFonts w:ascii="Times New Roman" w:hAnsi="Times New Roman"/>
                <w:sz w:val="20"/>
                <w:szCs w:val="20"/>
              </w:rPr>
            </w:pPr>
            <w:r w:rsidRPr="00A43AC2">
              <w:rPr>
                <w:rFonts w:ascii="Times New Roman" w:hAnsi="Times New Roman"/>
                <w:sz w:val="20"/>
                <w:szCs w:val="20"/>
              </w:rPr>
              <w:t>24,2</w:t>
            </w:r>
          </w:p>
        </w:tc>
        <w:tc>
          <w:tcPr>
            <w:tcW w:w="0" w:type="auto"/>
            <w:vAlign w:val="center"/>
          </w:tcPr>
          <w:p w:rsidR="00BD48F0" w:rsidRPr="00A43AC2" w:rsidRDefault="005136BF" w:rsidP="00BD48F0">
            <w:pPr>
              <w:spacing w:line="240" w:lineRule="auto"/>
              <w:jc w:val="center"/>
              <w:rPr>
                <w:rFonts w:ascii="Times New Roman" w:hAnsi="Times New Roman"/>
                <w:sz w:val="20"/>
                <w:szCs w:val="20"/>
              </w:rPr>
            </w:pPr>
            <w:r w:rsidRPr="00A43AC2">
              <w:rPr>
                <w:rFonts w:ascii="Times New Roman" w:hAnsi="Times New Roman"/>
                <w:sz w:val="20"/>
                <w:szCs w:val="20"/>
              </w:rPr>
              <w:t>19,5</w:t>
            </w:r>
          </w:p>
        </w:tc>
        <w:tc>
          <w:tcPr>
            <w:tcW w:w="0" w:type="auto"/>
            <w:vAlign w:val="center"/>
          </w:tcPr>
          <w:p w:rsidR="00BD48F0" w:rsidRPr="00A43AC2" w:rsidRDefault="005136BF" w:rsidP="00BD48F0">
            <w:pPr>
              <w:spacing w:line="240" w:lineRule="auto"/>
              <w:jc w:val="center"/>
              <w:rPr>
                <w:rFonts w:ascii="Times New Roman" w:hAnsi="Times New Roman"/>
                <w:sz w:val="20"/>
                <w:szCs w:val="20"/>
              </w:rPr>
            </w:pPr>
            <w:r w:rsidRPr="00A43AC2">
              <w:rPr>
                <w:rFonts w:ascii="Times New Roman" w:hAnsi="Times New Roman"/>
                <w:sz w:val="20"/>
                <w:szCs w:val="20"/>
              </w:rPr>
              <w:t>24,8</w:t>
            </w:r>
          </w:p>
        </w:tc>
        <w:tc>
          <w:tcPr>
            <w:tcW w:w="0" w:type="auto"/>
            <w:vAlign w:val="center"/>
          </w:tcPr>
          <w:p w:rsidR="00BD48F0" w:rsidRPr="00A43AC2" w:rsidRDefault="005136BF" w:rsidP="00BD48F0">
            <w:pPr>
              <w:spacing w:line="240" w:lineRule="auto"/>
              <w:jc w:val="center"/>
              <w:rPr>
                <w:rFonts w:ascii="Times New Roman" w:hAnsi="Times New Roman"/>
                <w:sz w:val="20"/>
                <w:szCs w:val="20"/>
              </w:rPr>
            </w:pPr>
            <w:r w:rsidRPr="00A43AC2">
              <w:rPr>
                <w:rFonts w:ascii="Times New Roman" w:hAnsi="Times New Roman"/>
                <w:sz w:val="20"/>
                <w:szCs w:val="20"/>
              </w:rPr>
              <w:t>29,3</w:t>
            </w:r>
          </w:p>
        </w:tc>
        <w:tc>
          <w:tcPr>
            <w:tcW w:w="0" w:type="auto"/>
            <w:vAlign w:val="center"/>
          </w:tcPr>
          <w:p w:rsidR="00BD48F0" w:rsidRPr="00A43AC2" w:rsidRDefault="005136BF" w:rsidP="00BD48F0">
            <w:pPr>
              <w:spacing w:line="240" w:lineRule="auto"/>
              <w:jc w:val="center"/>
              <w:rPr>
                <w:rFonts w:ascii="Times New Roman" w:hAnsi="Times New Roman"/>
                <w:sz w:val="20"/>
                <w:szCs w:val="20"/>
              </w:rPr>
            </w:pPr>
            <w:r w:rsidRPr="00A43AC2">
              <w:rPr>
                <w:rFonts w:ascii="Times New Roman" w:hAnsi="Times New Roman"/>
                <w:sz w:val="20"/>
                <w:szCs w:val="20"/>
              </w:rPr>
              <w:t>26,8</w:t>
            </w:r>
          </w:p>
        </w:tc>
        <w:tc>
          <w:tcPr>
            <w:tcW w:w="0" w:type="auto"/>
            <w:vAlign w:val="center"/>
          </w:tcPr>
          <w:p w:rsidR="00BD48F0" w:rsidRPr="00A43AC2" w:rsidRDefault="00294760" w:rsidP="00BD48F0">
            <w:pPr>
              <w:spacing w:line="240" w:lineRule="auto"/>
              <w:jc w:val="center"/>
              <w:rPr>
                <w:rFonts w:ascii="Times New Roman" w:hAnsi="Times New Roman"/>
                <w:sz w:val="20"/>
                <w:szCs w:val="20"/>
              </w:rPr>
            </w:pPr>
            <w:r>
              <w:rPr>
                <w:rFonts w:ascii="Times New Roman" w:hAnsi="Times New Roman"/>
                <w:sz w:val="20"/>
                <w:szCs w:val="20"/>
              </w:rPr>
              <w:t>28,4</w:t>
            </w:r>
          </w:p>
        </w:tc>
      </w:tr>
      <w:tr w:rsidR="00B90E3E" w:rsidRPr="00B90E3E" w:rsidTr="00BD48F0">
        <w:trPr>
          <w:trHeight w:val="441"/>
        </w:trPr>
        <w:tc>
          <w:tcPr>
            <w:tcW w:w="0" w:type="auto"/>
            <w:vAlign w:val="center"/>
          </w:tcPr>
          <w:p w:rsidR="00BD48F0" w:rsidRPr="00A43AC2" w:rsidRDefault="00BD48F0" w:rsidP="00BD48F0">
            <w:pPr>
              <w:spacing w:line="240" w:lineRule="auto"/>
              <w:rPr>
                <w:rFonts w:ascii="Times New Roman" w:hAnsi="Times New Roman"/>
                <w:sz w:val="20"/>
                <w:szCs w:val="20"/>
              </w:rPr>
            </w:pPr>
            <w:r w:rsidRPr="00A43AC2">
              <w:rPr>
                <w:rFonts w:ascii="Times New Roman" w:hAnsi="Times New Roman"/>
                <w:sz w:val="20"/>
                <w:szCs w:val="20"/>
              </w:rPr>
              <w:t>Wskaźnik płynności bieżącej (krotność)</w:t>
            </w:r>
          </w:p>
        </w:tc>
        <w:tc>
          <w:tcPr>
            <w:tcW w:w="0" w:type="auto"/>
            <w:vAlign w:val="center"/>
          </w:tcPr>
          <w:p w:rsidR="00BD48F0" w:rsidRPr="00A43AC2" w:rsidRDefault="00B90E3E" w:rsidP="00BD48F0">
            <w:pPr>
              <w:spacing w:line="240" w:lineRule="auto"/>
              <w:jc w:val="center"/>
              <w:rPr>
                <w:rFonts w:ascii="Times New Roman" w:hAnsi="Times New Roman"/>
                <w:sz w:val="20"/>
                <w:szCs w:val="20"/>
              </w:rPr>
            </w:pPr>
            <w:r w:rsidRPr="00A43AC2">
              <w:rPr>
                <w:rFonts w:ascii="Times New Roman" w:hAnsi="Times New Roman"/>
                <w:sz w:val="20"/>
                <w:szCs w:val="20"/>
              </w:rPr>
              <w:t>4,59</w:t>
            </w:r>
          </w:p>
        </w:tc>
        <w:tc>
          <w:tcPr>
            <w:tcW w:w="0" w:type="auto"/>
            <w:vAlign w:val="center"/>
          </w:tcPr>
          <w:p w:rsidR="00BD48F0" w:rsidRPr="00A43AC2" w:rsidRDefault="00B90E3E" w:rsidP="00BD48F0">
            <w:pPr>
              <w:spacing w:line="240" w:lineRule="auto"/>
              <w:jc w:val="center"/>
              <w:rPr>
                <w:rFonts w:ascii="Times New Roman" w:hAnsi="Times New Roman"/>
                <w:sz w:val="20"/>
                <w:szCs w:val="20"/>
              </w:rPr>
            </w:pPr>
            <w:r w:rsidRPr="00A43AC2">
              <w:rPr>
                <w:rFonts w:ascii="Times New Roman" w:hAnsi="Times New Roman"/>
                <w:sz w:val="20"/>
                <w:szCs w:val="20"/>
              </w:rPr>
              <w:t>3,76</w:t>
            </w:r>
          </w:p>
        </w:tc>
        <w:tc>
          <w:tcPr>
            <w:tcW w:w="0" w:type="auto"/>
            <w:vAlign w:val="center"/>
          </w:tcPr>
          <w:p w:rsidR="00BD48F0" w:rsidRPr="00A43AC2" w:rsidRDefault="00B90E3E" w:rsidP="00BD48F0">
            <w:pPr>
              <w:spacing w:line="240" w:lineRule="auto"/>
              <w:jc w:val="center"/>
              <w:rPr>
                <w:rFonts w:ascii="Times New Roman" w:hAnsi="Times New Roman"/>
                <w:sz w:val="20"/>
                <w:szCs w:val="20"/>
              </w:rPr>
            </w:pPr>
            <w:r w:rsidRPr="00A43AC2">
              <w:rPr>
                <w:rFonts w:ascii="Times New Roman" w:hAnsi="Times New Roman"/>
                <w:sz w:val="20"/>
                <w:szCs w:val="20"/>
              </w:rPr>
              <w:t>2,59</w:t>
            </w:r>
          </w:p>
        </w:tc>
        <w:tc>
          <w:tcPr>
            <w:tcW w:w="0" w:type="auto"/>
            <w:vAlign w:val="center"/>
          </w:tcPr>
          <w:p w:rsidR="00BD48F0" w:rsidRPr="00A43AC2" w:rsidRDefault="00B90E3E" w:rsidP="00BD48F0">
            <w:pPr>
              <w:spacing w:line="240" w:lineRule="auto"/>
              <w:jc w:val="center"/>
              <w:rPr>
                <w:rFonts w:ascii="Times New Roman" w:hAnsi="Times New Roman"/>
                <w:sz w:val="20"/>
                <w:szCs w:val="20"/>
              </w:rPr>
            </w:pPr>
            <w:r w:rsidRPr="00A43AC2">
              <w:rPr>
                <w:rFonts w:ascii="Times New Roman" w:hAnsi="Times New Roman"/>
                <w:sz w:val="20"/>
                <w:szCs w:val="20"/>
              </w:rPr>
              <w:t>2,04</w:t>
            </w:r>
          </w:p>
        </w:tc>
        <w:tc>
          <w:tcPr>
            <w:tcW w:w="0" w:type="auto"/>
            <w:vAlign w:val="center"/>
          </w:tcPr>
          <w:p w:rsidR="00BD48F0" w:rsidRPr="00A43AC2" w:rsidRDefault="00B90E3E" w:rsidP="00BD48F0">
            <w:pPr>
              <w:spacing w:line="240" w:lineRule="auto"/>
              <w:jc w:val="center"/>
              <w:rPr>
                <w:rFonts w:ascii="Times New Roman" w:hAnsi="Times New Roman"/>
                <w:sz w:val="20"/>
                <w:szCs w:val="20"/>
              </w:rPr>
            </w:pPr>
            <w:r w:rsidRPr="00A43AC2">
              <w:rPr>
                <w:rFonts w:ascii="Times New Roman" w:hAnsi="Times New Roman"/>
                <w:sz w:val="20"/>
                <w:szCs w:val="20"/>
              </w:rPr>
              <w:t>2,04</w:t>
            </w:r>
          </w:p>
        </w:tc>
        <w:tc>
          <w:tcPr>
            <w:tcW w:w="0" w:type="auto"/>
            <w:vAlign w:val="center"/>
          </w:tcPr>
          <w:p w:rsidR="00BD48F0" w:rsidRPr="00A43AC2" w:rsidRDefault="00B90E3E" w:rsidP="00BD48F0">
            <w:pPr>
              <w:spacing w:line="240" w:lineRule="auto"/>
              <w:jc w:val="center"/>
              <w:rPr>
                <w:rFonts w:ascii="Times New Roman" w:hAnsi="Times New Roman"/>
                <w:sz w:val="20"/>
                <w:szCs w:val="20"/>
              </w:rPr>
            </w:pPr>
            <w:r w:rsidRPr="00A43AC2">
              <w:rPr>
                <w:rFonts w:ascii="Times New Roman" w:hAnsi="Times New Roman"/>
                <w:sz w:val="20"/>
                <w:szCs w:val="20"/>
              </w:rPr>
              <w:t>1,62</w:t>
            </w:r>
          </w:p>
        </w:tc>
        <w:tc>
          <w:tcPr>
            <w:tcW w:w="0" w:type="auto"/>
            <w:vAlign w:val="center"/>
          </w:tcPr>
          <w:p w:rsidR="00BD48F0" w:rsidRPr="00A43AC2" w:rsidRDefault="00B90E3E" w:rsidP="00BD48F0">
            <w:pPr>
              <w:spacing w:line="240" w:lineRule="auto"/>
              <w:jc w:val="center"/>
              <w:rPr>
                <w:rFonts w:ascii="Times New Roman" w:hAnsi="Times New Roman"/>
                <w:sz w:val="20"/>
                <w:szCs w:val="20"/>
              </w:rPr>
            </w:pPr>
            <w:r w:rsidRPr="00A43AC2">
              <w:rPr>
                <w:rFonts w:ascii="Times New Roman" w:hAnsi="Times New Roman"/>
                <w:sz w:val="20"/>
                <w:szCs w:val="20"/>
              </w:rPr>
              <w:t>3,11</w:t>
            </w:r>
          </w:p>
        </w:tc>
        <w:tc>
          <w:tcPr>
            <w:tcW w:w="0" w:type="auto"/>
            <w:vAlign w:val="center"/>
          </w:tcPr>
          <w:p w:rsidR="00BD48F0" w:rsidRPr="00A43AC2" w:rsidRDefault="00B90E3E" w:rsidP="00BD48F0">
            <w:pPr>
              <w:spacing w:line="240" w:lineRule="auto"/>
              <w:jc w:val="center"/>
              <w:rPr>
                <w:rFonts w:ascii="Times New Roman" w:hAnsi="Times New Roman"/>
                <w:sz w:val="20"/>
                <w:szCs w:val="20"/>
              </w:rPr>
            </w:pPr>
            <w:r w:rsidRPr="00A43AC2">
              <w:rPr>
                <w:rFonts w:ascii="Times New Roman" w:hAnsi="Times New Roman"/>
                <w:sz w:val="20"/>
                <w:szCs w:val="20"/>
              </w:rPr>
              <w:t>3,79</w:t>
            </w:r>
          </w:p>
        </w:tc>
        <w:tc>
          <w:tcPr>
            <w:tcW w:w="0" w:type="auto"/>
            <w:vAlign w:val="center"/>
          </w:tcPr>
          <w:p w:rsidR="00BD48F0" w:rsidRPr="00A43AC2" w:rsidRDefault="00B90E3E" w:rsidP="00BD48F0">
            <w:pPr>
              <w:spacing w:line="240" w:lineRule="auto"/>
              <w:jc w:val="center"/>
              <w:rPr>
                <w:rFonts w:ascii="Times New Roman" w:hAnsi="Times New Roman"/>
                <w:sz w:val="20"/>
                <w:szCs w:val="20"/>
              </w:rPr>
            </w:pPr>
            <w:r w:rsidRPr="00A43AC2">
              <w:rPr>
                <w:rFonts w:ascii="Times New Roman" w:hAnsi="Times New Roman"/>
                <w:sz w:val="20"/>
                <w:szCs w:val="20"/>
              </w:rPr>
              <w:t>3,84</w:t>
            </w:r>
          </w:p>
        </w:tc>
      </w:tr>
      <w:tr w:rsidR="00B90E3E" w:rsidRPr="00B90E3E" w:rsidTr="00BD48F0">
        <w:trPr>
          <w:trHeight w:val="441"/>
        </w:trPr>
        <w:tc>
          <w:tcPr>
            <w:tcW w:w="0" w:type="auto"/>
            <w:vAlign w:val="center"/>
          </w:tcPr>
          <w:p w:rsidR="00BD48F0" w:rsidRPr="00A43AC2" w:rsidRDefault="00BD48F0" w:rsidP="00BD48F0">
            <w:pPr>
              <w:spacing w:line="240" w:lineRule="auto"/>
              <w:rPr>
                <w:rFonts w:ascii="Times New Roman" w:hAnsi="Times New Roman"/>
                <w:sz w:val="20"/>
                <w:szCs w:val="20"/>
              </w:rPr>
            </w:pPr>
            <w:r w:rsidRPr="00A43AC2">
              <w:rPr>
                <w:rFonts w:ascii="Times New Roman" w:hAnsi="Times New Roman"/>
                <w:sz w:val="20"/>
                <w:szCs w:val="20"/>
              </w:rPr>
              <w:t>Wskaźnik płynności szybkiej (krotność)</w:t>
            </w:r>
          </w:p>
        </w:tc>
        <w:tc>
          <w:tcPr>
            <w:tcW w:w="0" w:type="auto"/>
          </w:tcPr>
          <w:p w:rsidR="00BD48F0" w:rsidRPr="00A43AC2" w:rsidRDefault="00B90E3E" w:rsidP="00BD48F0">
            <w:pPr>
              <w:spacing w:line="240" w:lineRule="auto"/>
              <w:jc w:val="center"/>
              <w:rPr>
                <w:rFonts w:ascii="Times New Roman" w:hAnsi="Times New Roman"/>
                <w:sz w:val="20"/>
                <w:szCs w:val="20"/>
              </w:rPr>
            </w:pPr>
            <w:r w:rsidRPr="00A43AC2">
              <w:rPr>
                <w:rFonts w:ascii="Times New Roman" w:hAnsi="Times New Roman"/>
                <w:sz w:val="20"/>
                <w:szCs w:val="20"/>
              </w:rPr>
              <w:t>2,85</w:t>
            </w:r>
          </w:p>
        </w:tc>
        <w:tc>
          <w:tcPr>
            <w:tcW w:w="0" w:type="auto"/>
          </w:tcPr>
          <w:p w:rsidR="00BD48F0" w:rsidRPr="00A43AC2" w:rsidRDefault="00B90E3E" w:rsidP="00BD48F0">
            <w:pPr>
              <w:spacing w:line="240" w:lineRule="auto"/>
              <w:jc w:val="center"/>
              <w:rPr>
                <w:rFonts w:ascii="Times New Roman" w:hAnsi="Times New Roman"/>
                <w:sz w:val="20"/>
                <w:szCs w:val="20"/>
              </w:rPr>
            </w:pPr>
            <w:r w:rsidRPr="00A43AC2">
              <w:rPr>
                <w:rFonts w:ascii="Times New Roman" w:hAnsi="Times New Roman"/>
                <w:sz w:val="20"/>
                <w:szCs w:val="20"/>
              </w:rPr>
              <w:t>2,34</w:t>
            </w:r>
          </w:p>
        </w:tc>
        <w:tc>
          <w:tcPr>
            <w:tcW w:w="0" w:type="auto"/>
          </w:tcPr>
          <w:p w:rsidR="00BD48F0" w:rsidRPr="00A43AC2" w:rsidRDefault="00B90E3E" w:rsidP="00BD48F0">
            <w:pPr>
              <w:spacing w:line="240" w:lineRule="auto"/>
              <w:jc w:val="center"/>
              <w:rPr>
                <w:rFonts w:ascii="Times New Roman" w:hAnsi="Times New Roman"/>
                <w:sz w:val="20"/>
                <w:szCs w:val="20"/>
              </w:rPr>
            </w:pPr>
            <w:r w:rsidRPr="00A43AC2">
              <w:rPr>
                <w:rFonts w:ascii="Times New Roman" w:hAnsi="Times New Roman"/>
                <w:sz w:val="20"/>
                <w:szCs w:val="20"/>
              </w:rPr>
              <w:t>1,50</w:t>
            </w:r>
          </w:p>
        </w:tc>
        <w:tc>
          <w:tcPr>
            <w:tcW w:w="0" w:type="auto"/>
          </w:tcPr>
          <w:p w:rsidR="00BD48F0" w:rsidRPr="00A43AC2" w:rsidRDefault="00B90E3E" w:rsidP="00BD48F0">
            <w:pPr>
              <w:spacing w:line="240" w:lineRule="auto"/>
              <w:jc w:val="center"/>
              <w:rPr>
                <w:rFonts w:ascii="Times New Roman" w:hAnsi="Times New Roman"/>
                <w:sz w:val="20"/>
                <w:szCs w:val="20"/>
              </w:rPr>
            </w:pPr>
            <w:r w:rsidRPr="00A43AC2">
              <w:rPr>
                <w:rFonts w:ascii="Times New Roman" w:hAnsi="Times New Roman"/>
                <w:sz w:val="20"/>
                <w:szCs w:val="20"/>
              </w:rPr>
              <w:t>0,95</w:t>
            </w:r>
          </w:p>
        </w:tc>
        <w:tc>
          <w:tcPr>
            <w:tcW w:w="0" w:type="auto"/>
          </w:tcPr>
          <w:p w:rsidR="00BD48F0" w:rsidRPr="00A43AC2" w:rsidRDefault="00B90E3E" w:rsidP="00BD48F0">
            <w:pPr>
              <w:spacing w:line="240" w:lineRule="auto"/>
              <w:jc w:val="center"/>
              <w:rPr>
                <w:rFonts w:ascii="Times New Roman" w:hAnsi="Times New Roman"/>
                <w:sz w:val="20"/>
                <w:szCs w:val="20"/>
              </w:rPr>
            </w:pPr>
            <w:r w:rsidRPr="00A43AC2">
              <w:rPr>
                <w:rFonts w:ascii="Times New Roman" w:hAnsi="Times New Roman"/>
                <w:sz w:val="20"/>
                <w:szCs w:val="20"/>
              </w:rPr>
              <w:t>0,94</w:t>
            </w:r>
          </w:p>
        </w:tc>
        <w:tc>
          <w:tcPr>
            <w:tcW w:w="0" w:type="auto"/>
          </w:tcPr>
          <w:p w:rsidR="00BD48F0" w:rsidRPr="00A43AC2" w:rsidRDefault="00B90E3E" w:rsidP="00BD48F0">
            <w:pPr>
              <w:spacing w:line="240" w:lineRule="auto"/>
              <w:jc w:val="center"/>
              <w:rPr>
                <w:rFonts w:ascii="Times New Roman" w:hAnsi="Times New Roman"/>
                <w:sz w:val="20"/>
                <w:szCs w:val="20"/>
              </w:rPr>
            </w:pPr>
            <w:r w:rsidRPr="00A43AC2">
              <w:rPr>
                <w:rFonts w:ascii="Times New Roman" w:hAnsi="Times New Roman"/>
                <w:sz w:val="20"/>
                <w:szCs w:val="20"/>
              </w:rPr>
              <w:t>0,59</w:t>
            </w:r>
          </w:p>
        </w:tc>
        <w:tc>
          <w:tcPr>
            <w:tcW w:w="0" w:type="auto"/>
          </w:tcPr>
          <w:p w:rsidR="00BD48F0" w:rsidRPr="00A43AC2" w:rsidRDefault="00B90E3E" w:rsidP="00BD48F0">
            <w:pPr>
              <w:spacing w:line="240" w:lineRule="auto"/>
              <w:jc w:val="center"/>
              <w:rPr>
                <w:rFonts w:ascii="Times New Roman" w:hAnsi="Times New Roman"/>
                <w:sz w:val="20"/>
                <w:szCs w:val="20"/>
              </w:rPr>
            </w:pPr>
            <w:r w:rsidRPr="00A43AC2">
              <w:rPr>
                <w:rFonts w:ascii="Times New Roman" w:hAnsi="Times New Roman"/>
                <w:sz w:val="20"/>
                <w:szCs w:val="20"/>
              </w:rPr>
              <w:t>1,96</w:t>
            </w:r>
          </w:p>
        </w:tc>
        <w:tc>
          <w:tcPr>
            <w:tcW w:w="0" w:type="auto"/>
          </w:tcPr>
          <w:p w:rsidR="00BD48F0" w:rsidRPr="00A43AC2" w:rsidRDefault="00B90E3E" w:rsidP="00BD48F0">
            <w:pPr>
              <w:spacing w:line="240" w:lineRule="auto"/>
              <w:jc w:val="center"/>
              <w:rPr>
                <w:rFonts w:ascii="Times New Roman" w:hAnsi="Times New Roman"/>
                <w:sz w:val="20"/>
                <w:szCs w:val="20"/>
              </w:rPr>
            </w:pPr>
            <w:r w:rsidRPr="00A43AC2">
              <w:rPr>
                <w:rFonts w:ascii="Times New Roman" w:hAnsi="Times New Roman"/>
                <w:sz w:val="20"/>
                <w:szCs w:val="20"/>
              </w:rPr>
              <w:t>2,48</w:t>
            </w:r>
          </w:p>
        </w:tc>
        <w:tc>
          <w:tcPr>
            <w:tcW w:w="0" w:type="auto"/>
          </w:tcPr>
          <w:p w:rsidR="00BD48F0" w:rsidRPr="00A43AC2" w:rsidRDefault="00B90E3E" w:rsidP="00BD48F0">
            <w:pPr>
              <w:spacing w:line="240" w:lineRule="auto"/>
              <w:rPr>
                <w:rFonts w:ascii="Times New Roman" w:hAnsi="Times New Roman"/>
                <w:sz w:val="20"/>
                <w:szCs w:val="20"/>
              </w:rPr>
            </w:pPr>
            <w:r w:rsidRPr="00A43AC2">
              <w:rPr>
                <w:rFonts w:ascii="Times New Roman" w:hAnsi="Times New Roman"/>
                <w:sz w:val="20"/>
                <w:szCs w:val="20"/>
              </w:rPr>
              <w:t>2,21</w:t>
            </w:r>
          </w:p>
        </w:tc>
      </w:tr>
      <w:tr w:rsidR="00BD48F0" w:rsidRPr="00F91A46" w:rsidTr="00BD48F0">
        <w:trPr>
          <w:trHeight w:val="441"/>
        </w:trPr>
        <w:tc>
          <w:tcPr>
            <w:tcW w:w="0" w:type="auto"/>
            <w:vAlign w:val="center"/>
          </w:tcPr>
          <w:p w:rsidR="00BD48F0" w:rsidRPr="00A43AC2" w:rsidRDefault="00BD48F0" w:rsidP="00BD48F0">
            <w:pPr>
              <w:spacing w:line="240" w:lineRule="auto"/>
              <w:rPr>
                <w:rFonts w:ascii="Times New Roman" w:hAnsi="Times New Roman"/>
                <w:sz w:val="20"/>
                <w:szCs w:val="20"/>
              </w:rPr>
            </w:pPr>
            <w:r w:rsidRPr="00A43AC2">
              <w:rPr>
                <w:rFonts w:ascii="Times New Roman" w:hAnsi="Times New Roman"/>
                <w:sz w:val="20"/>
                <w:szCs w:val="20"/>
              </w:rPr>
              <w:t>Indeks tworzenia wartości (krotność)</w:t>
            </w:r>
          </w:p>
        </w:tc>
        <w:tc>
          <w:tcPr>
            <w:tcW w:w="0" w:type="auto"/>
          </w:tcPr>
          <w:p w:rsidR="00BD48F0" w:rsidRPr="00A43AC2" w:rsidRDefault="005136BF" w:rsidP="00BD48F0">
            <w:pPr>
              <w:spacing w:line="240" w:lineRule="auto"/>
              <w:jc w:val="both"/>
              <w:rPr>
                <w:rFonts w:ascii="Times New Roman" w:hAnsi="Times New Roman"/>
                <w:sz w:val="20"/>
                <w:szCs w:val="20"/>
              </w:rPr>
            </w:pPr>
            <w:r w:rsidRPr="00A43AC2">
              <w:rPr>
                <w:rFonts w:ascii="Times New Roman" w:hAnsi="Times New Roman"/>
                <w:sz w:val="20"/>
                <w:szCs w:val="20"/>
              </w:rPr>
              <w:t>0,68</w:t>
            </w:r>
          </w:p>
        </w:tc>
        <w:tc>
          <w:tcPr>
            <w:tcW w:w="0" w:type="auto"/>
          </w:tcPr>
          <w:p w:rsidR="00BD48F0" w:rsidRPr="00A43AC2" w:rsidRDefault="005136BF" w:rsidP="00BD48F0">
            <w:pPr>
              <w:spacing w:line="240" w:lineRule="auto"/>
              <w:jc w:val="both"/>
              <w:rPr>
                <w:rFonts w:ascii="Times New Roman" w:hAnsi="Times New Roman"/>
                <w:sz w:val="20"/>
                <w:szCs w:val="20"/>
              </w:rPr>
            </w:pPr>
            <w:r w:rsidRPr="00A43AC2">
              <w:rPr>
                <w:rFonts w:ascii="Times New Roman" w:hAnsi="Times New Roman"/>
                <w:sz w:val="20"/>
                <w:szCs w:val="20"/>
              </w:rPr>
              <w:t>1,81</w:t>
            </w:r>
          </w:p>
        </w:tc>
        <w:tc>
          <w:tcPr>
            <w:tcW w:w="0" w:type="auto"/>
          </w:tcPr>
          <w:p w:rsidR="00BD48F0" w:rsidRPr="00A43AC2" w:rsidRDefault="005136BF" w:rsidP="00BD48F0">
            <w:pPr>
              <w:spacing w:line="240" w:lineRule="auto"/>
              <w:jc w:val="both"/>
              <w:rPr>
                <w:rFonts w:ascii="Times New Roman" w:hAnsi="Times New Roman"/>
                <w:sz w:val="20"/>
                <w:szCs w:val="20"/>
              </w:rPr>
            </w:pPr>
            <w:r w:rsidRPr="00A43AC2">
              <w:rPr>
                <w:rFonts w:ascii="Times New Roman" w:hAnsi="Times New Roman"/>
                <w:sz w:val="20"/>
                <w:szCs w:val="20"/>
              </w:rPr>
              <w:t>0,47</w:t>
            </w:r>
          </w:p>
        </w:tc>
        <w:tc>
          <w:tcPr>
            <w:tcW w:w="0" w:type="auto"/>
          </w:tcPr>
          <w:p w:rsidR="00BD48F0" w:rsidRPr="00A43AC2" w:rsidRDefault="00B90E3E" w:rsidP="00BD48F0">
            <w:pPr>
              <w:spacing w:line="240" w:lineRule="auto"/>
              <w:jc w:val="both"/>
              <w:rPr>
                <w:rFonts w:ascii="Times New Roman" w:hAnsi="Times New Roman"/>
                <w:sz w:val="20"/>
                <w:szCs w:val="20"/>
              </w:rPr>
            </w:pPr>
            <w:r w:rsidRPr="00A43AC2">
              <w:rPr>
                <w:rFonts w:ascii="Times New Roman" w:hAnsi="Times New Roman"/>
                <w:sz w:val="20"/>
                <w:szCs w:val="20"/>
              </w:rPr>
              <w:t>0,25</w:t>
            </w:r>
          </w:p>
        </w:tc>
        <w:tc>
          <w:tcPr>
            <w:tcW w:w="0" w:type="auto"/>
          </w:tcPr>
          <w:p w:rsidR="00BD48F0" w:rsidRPr="00A43AC2" w:rsidRDefault="00B90E3E" w:rsidP="00BD48F0">
            <w:pPr>
              <w:spacing w:line="240" w:lineRule="auto"/>
              <w:jc w:val="both"/>
              <w:rPr>
                <w:rFonts w:ascii="Times New Roman" w:hAnsi="Times New Roman"/>
                <w:sz w:val="20"/>
                <w:szCs w:val="20"/>
              </w:rPr>
            </w:pPr>
            <w:r w:rsidRPr="00A43AC2">
              <w:rPr>
                <w:rFonts w:ascii="Times New Roman" w:hAnsi="Times New Roman"/>
                <w:sz w:val="20"/>
                <w:szCs w:val="20"/>
              </w:rPr>
              <w:t>0,05</w:t>
            </w:r>
          </w:p>
        </w:tc>
        <w:tc>
          <w:tcPr>
            <w:tcW w:w="0" w:type="auto"/>
          </w:tcPr>
          <w:p w:rsidR="00BD48F0" w:rsidRPr="00A43AC2" w:rsidRDefault="00B90E3E" w:rsidP="00BD48F0">
            <w:pPr>
              <w:spacing w:line="240" w:lineRule="auto"/>
              <w:jc w:val="both"/>
              <w:rPr>
                <w:rFonts w:ascii="Times New Roman" w:hAnsi="Times New Roman"/>
                <w:sz w:val="20"/>
                <w:szCs w:val="20"/>
              </w:rPr>
            </w:pPr>
            <w:r w:rsidRPr="00A43AC2">
              <w:rPr>
                <w:rFonts w:ascii="Times New Roman" w:hAnsi="Times New Roman"/>
                <w:sz w:val="20"/>
                <w:szCs w:val="20"/>
              </w:rPr>
              <w:t>-0,13</w:t>
            </w:r>
          </w:p>
        </w:tc>
        <w:tc>
          <w:tcPr>
            <w:tcW w:w="0" w:type="auto"/>
          </w:tcPr>
          <w:p w:rsidR="00BD48F0" w:rsidRPr="00A43AC2" w:rsidRDefault="00B90E3E" w:rsidP="00BD48F0">
            <w:pPr>
              <w:spacing w:line="240" w:lineRule="auto"/>
              <w:jc w:val="both"/>
              <w:rPr>
                <w:rFonts w:ascii="Times New Roman" w:hAnsi="Times New Roman"/>
                <w:sz w:val="20"/>
                <w:szCs w:val="20"/>
              </w:rPr>
            </w:pPr>
            <w:r w:rsidRPr="00A43AC2">
              <w:rPr>
                <w:rFonts w:ascii="Times New Roman" w:hAnsi="Times New Roman"/>
                <w:sz w:val="20"/>
                <w:szCs w:val="20"/>
              </w:rPr>
              <w:t>0,29</w:t>
            </w:r>
          </w:p>
        </w:tc>
        <w:tc>
          <w:tcPr>
            <w:tcW w:w="0" w:type="auto"/>
          </w:tcPr>
          <w:p w:rsidR="00BD48F0" w:rsidRPr="00A43AC2" w:rsidRDefault="00B90E3E" w:rsidP="00BD48F0">
            <w:pPr>
              <w:spacing w:line="240" w:lineRule="auto"/>
              <w:jc w:val="both"/>
              <w:rPr>
                <w:rFonts w:ascii="Times New Roman" w:hAnsi="Times New Roman"/>
                <w:sz w:val="20"/>
                <w:szCs w:val="20"/>
              </w:rPr>
            </w:pPr>
            <w:r w:rsidRPr="00A43AC2">
              <w:rPr>
                <w:rFonts w:ascii="Times New Roman" w:hAnsi="Times New Roman"/>
                <w:sz w:val="20"/>
                <w:szCs w:val="20"/>
              </w:rPr>
              <w:t>0,53</w:t>
            </w:r>
          </w:p>
        </w:tc>
        <w:tc>
          <w:tcPr>
            <w:tcW w:w="0" w:type="auto"/>
          </w:tcPr>
          <w:p w:rsidR="00BD48F0" w:rsidRPr="00A43AC2" w:rsidRDefault="00B90E3E" w:rsidP="00BD48F0">
            <w:pPr>
              <w:spacing w:line="240" w:lineRule="auto"/>
              <w:jc w:val="both"/>
              <w:rPr>
                <w:rFonts w:ascii="Times New Roman" w:hAnsi="Times New Roman"/>
                <w:sz w:val="20"/>
                <w:szCs w:val="20"/>
              </w:rPr>
            </w:pPr>
            <w:r w:rsidRPr="00A43AC2">
              <w:rPr>
                <w:rFonts w:ascii="Times New Roman" w:hAnsi="Times New Roman"/>
                <w:sz w:val="20"/>
                <w:szCs w:val="20"/>
              </w:rPr>
              <w:t>0,53</w:t>
            </w:r>
          </w:p>
        </w:tc>
      </w:tr>
    </w:tbl>
    <w:p w:rsidR="00BD48F0" w:rsidRPr="00E019DF" w:rsidRDefault="00BD48F0" w:rsidP="00E019DF">
      <w:pPr>
        <w:pStyle w:val="Tekstpodstawowy"/>
        <w:rPr>
          <w:rFonts w:ascii="Times New Roman" w:hAnsi="Times New Roman" w:cs="Times New Roman"/>
          <w:sz w:val="20"/>
        </w:rPr>
      </w:pPr>
      <w:r w:rsidRPr="00E019DF">
        <w:rPr>
          <w:rFonts w:ascii="Times New Roman" w:hAnsi="Times New Roman" w:cs="Times New Roman"/>
          <w:sz w:val="20"/>
        </w:rPr>
        <w:t>Źródło: Ranking</w:t>
      </w:r>
      <w:r w:rsidR="004E3FF2">
        <w:rPr>
          <w:rFonts w:ascii="Times New Roman" w:hAnsi="Times New Roman" w:cs="Times New Roman"/>
          <w:sz w:val="20"/>
        </w:rPr>
        <w:t>:</w:t>
      </w:r>
      <w:r w:rsidRPr="00E019DF">
        <w:rPr>
          <w:rFonts w:ascii="Times New Roman" w:hAnsi="Times New Roman" w:cs="Times New Roman"/>
          <w:sz w:val="20"/>
        </w:rPr>
        <w:t xml:space="preserve"> RSP </w:t>
      </w:r>
      <w:r w:rsidR="004E3FF2">
        <w:rPr>
          <w:rFonts w:ascii="Times New Roman" w:hAnsi="Times New Roman" w:cs="Times New Roman"/>
          <w:sz w:val="20"/>
        </w:rPr>
        <w:t xml:space="preserve">za lata </w:t>
      </w:r>
      <w:r w:rsidRPr="00E019DF">
        <w:rPr>
          <w:rFonts w:ascii="Times New Roman" w:hAnsi="Times New Roman" w:cs="Times New Roman"/>
          <w:sz w:val="20"/>
        </w:rPr>
        <w:t>2009</w:t>
      </w:r>
      <w:r w:rsidR="004E3FF2">
        <w:rPr>
          <w:rFonts w:ascii="Times New Roman" w:hAnsi="Times New Roman" w:cs="Times New Roman"/>
          <w:sz w:val="20"/>
        </w:rPr>
        <w:t>-</w:t>
      </w:r>
      <w:r w:rsidRPr="00E019DF">
        <w:rPr>
          <w:rFonts w:ascii="Times New Roman" w:hAnsi="Times New Roman" w:cs="Times New Roman"/>
          <w:sz w:val="20"/>
        </w:rPr>
        <w:t>2011.</w:t>
      </w:r>
    </w:p>
    <w:p w:rsidR="002B33BA" w:rsidRPr="006E265E" w:rsidRDefault="002B33BA" w:rsidP="003C4D1E">
      <w:pPr>
        <w:spacing w:after="240"/>
        <w:ind w:firstLine="708"/>
        <w:jc w:val="both"/>
        <w:rPr>
          <w:rFonts w:ascii="Times New Roman" w:hAnsi="Times New Roman"/>
          <w:sz w:val="24"/>
          <w:szCs w:val="24"/>
          <w:lang w:eastAsia="pl-PL"/>
        </w:rPr>
      </w:pPr>
      <w:r>
        <w:rPr>
          <w:rFonts w:ascii="Times New Roman" w:hAnsi="Times New Roman"/>
          <w:sz w:val="24"/>
          <w:szCs w:val="24"/>
          <w:lang w:eastAsia="pl-PL"/>
        </w:rPr>
        <w:t>Analogicznie jak</w:t>
      </w:r>
      <w:r w:rsidRPr="00DF3C39">
        <w:rPr>
          <w:rFonts w:ascii="Times New Roman" w:hAnsi="Times New Roman"/>
          <w:sz w:val="24"/>
          <w:szCs w:val="24"/>
          <w:lang w:eastAsia="pl-PL"/>
        </w:rPr>
        <w:t xml:space="preserve"> </w:t>
      </w:r>
      <w:r>
        <w:rPr>
          <w:rFonts w:ascii="Times New Roman" w:hAnsi="Times New Roman"/>
          <w:sz w:val="24"/>
          <w:szCs w:val="24"/>
          <w:lang w:eastAsia="pl-PL"/>
        </w:rPr>
        <w:t>przy wskaźnikach dla</w:t>
      </w:r>
      <w:r w:rsidRPr="00DF3C39">
        <w:rPr>
          <w:rFonts w:ascii="Times New Roman" w:hAnsi="Times New Roman"/>
          <w:sz w:val="24"/>
          <w:szCs w:val="24"/>
          <w:lang w:eastAsia="pl-PL"/>
        </w:rPr>
        <w:t xml:space="preserve"> całej zbiorowości</w:t>
      </w:r>
      <w:r>
        <w:rPr>
          <w:rFonts w:ascii="Times New Roman" w:hAnsi="Times New Roman"/>
          <w:sz w:val="24"/>
          <w:szCs w:val="24"/>
          <w:lang w:eastAsia="pl-PL"/>
        </w:rPr>
        <w:t xml:space="preserve">, </w:t>
      </w:r>
      <w:r w:rsidR="003C4D1E">
        <w:rPr>
          <w:rFonts w:ascii="Times New Roman" w:hAnsi="Times New Roman"/>
          <w:sz w:val="24"/>
          <w:szCs w:val="24"/>
          <w:lang w:eastAsia="pl-PL"/>
        </w:rPr>
        <w:t>widoczne jest</w:t>
      </w:r>
      <w:r>
        <w:rPr>
          <w:rFonts w:ascii="Times New Roman" w:hAnsi="Times New Roman"/>
          <w:sz w:val="24"/>
          <w:szCs w:val="24"/>
          <w:lang w:eastAsia="pl-PL"/>
        </w:rPr>
        <w:t>, iż 2011 rok był kolejnym</w:t>
      </w:r>
      <w:r w:rsidR="00A43AC2">
        <w:rPr>
          <w:rFonts w:ascii="Times New Roman" w:hAnsi="Times New Roman"/>
          <w:sz w:val="24"/>
          <w:szCs w:val="24"/>
          <w:lang w:eastAsia="pl-PL"/>
        </w:rPr>
        <w:t>,</w:t>
      </w:r>
      <w:r w:rsidRPr="00DF3C39">
        <w:rPr>
          <w:rFonts w:ascii="Times New Roman" w:hAnsi="Times New Roman"/>
          <w:sz w:val="24"/>
          <w:szCs w:val="24"/>
          <w:lang w:eastAsia="pl-PL"/>
        </w:rPr>
        <w:t xml:space="preserve"> </w:t>
      </w:r>
      <w:r>
        <w:rPr>
          <w:rFonts w:ascii="Times New Roman" w:hAnsi="Times New Roman"/>
          <w:sz w:val="24"/>
          <w:szCs w:val="24"/>
          <w:lang w:eastAsia="pl-PL"/>
        </w:rPr>
        <w:t xml:space="preserve">który pozwolił na </w:t>
      </w:r>
      <w:r w:rsidRPr="00DF3C39">
        <w:rPr>
          <w:rFonts w:ascii="Times New Roman" w:hAnsi="Times New Roman"/>
          <w:sz w:val="24"/>
          <w:szCs w:val="24"/>
          <w:lang w:eastAsia="pl-PL"/>
        </w:rPr>
        <w:t>poprawę wyników ekonomicznych we wszystkich kierunka</w:t>
      </w:r>
      <w:r w:rsidR="00CF6BA3">
        <w:rPr>
          <w:rFonts w:ascii="Times New Roman" w:hAnsi="Times New Roman"/>
          <w:sz w:val="24"/>
          <w:szCs w:val="24"/>
          <w:lang w:eastAsia="pl-PL"/>
        </w:rPr>
        <w:t>c</w:t>
      </w:r>
      <w:r w:rsidRPr="00DF3C39">
        <w:rPr>
          <w:rFonts w:ascii="Times New Roman" w:hAnsi="Times New Roman"/>
          <w:sz w:val="24"/>
          <w:szCs w:val="24"/>
          <w:lang w:eastAsia="pl-PL"/>
        </w:rPr>
        <w:t>h produkcyjnych</w:t>
      </w:r>
      <w:r>
        <w:rPr>
          <w:rFonts w:ascii="Times New Roman" w:hAnsi="Times New Roman"/>
          <w:sz w:val="24"/>
          <w:szCs w:val="24"/>
          <w:lang w:eastAsia="pl-PL"/>
        </w:rPr>
        <w:t xml:space="preserve"> (tabela 5)</w:t>
      </w:r>
      <w:r w:rsidRPr="00DF3C39">
        <w:rPr>
          <w:rFonts w:ascii="Times New Roman" w:hAnsi="Times New Roman"/>
          <w:sz w:val="24"/>
          <w:szCs w:val="24"/>
          <w:lang w:eastAsia="pl-PL"/>
        </w:rPr>
        <w:t xml:space="preserve">. </w:t>
      </w:r>
      <w:r>
        <w:rPr>
          <w:rFonts w:ascii="Times New Roman" w:hAnsi="Times New Roman"/>
          <w:sz w:val="24"/>
          <w:szCs w:val="24"/>
          <w:lang w:eastAsia="pl-PL"/>
        </w:rPr>
        <w:t>Podobnie również jak w roku poprzednim</w:t>
      </w:r>
      <w:r w:rsidR="00A43AC2">
        <w:rPr>
          <w:rFonts w:ascii="Times New Roman" w:hAnsi="Times New Roman"/>
          <w:sz w:val="24"/>
          <w:szCs w:val="24"/>
          <w:lang w:eastAsia="pl-PL"/>
        </w:rPr>
        <w:t>,</w:t>
      </w:r>
      <w:r w:rsidRPr="00DF3C39">
        <w:rPr>
          <w:rFonts w:ascii="Times New Roman" w:hAnsi="Times New Roman"/>
          <w:sz w:val="24"/>
          <w:szCs w:val="24"/>
          <w:lang w:eastAsia="pl-PL"/>
        </w:rPr>
        <w:t xml:space="preserve"> wskaźniki dochodowości działalności gos</w:t>
      </w:r>
      <w:r>
        <w:rPr>
          <w:rFonts w:ascii="Times New Roman" w:hAnsi="Times New Roman"/>
          <w:sz w:val="24"/>
          <w:szCs w:val="24"/>
          <w:lang w:eastAsia="pl-PL"/>
        </w:rPr>
        <w:t>podarczej oraz wartości dodanej</w:t>
      </w:r>
      <w:r w:rsidRPr="00DF3C39">
        <w:rPr>
          <w:rFonts w:ascii="Times New Roman" w:hAnsi="Times New Roman"/>
          <w:sz w:val="24"/>
          <w:szCs w:val="24"/>
          <w:lang w:eastAsia="pl-PL"/>
        </w:rPr>
        <w:t xml:space="preserve"> </w:t>
      </w:r>
      <w:r w:rsidR="006E265E">
        <w:rPr>
          <w:rFonts w:ascii="Times New Roman" w:hAnsi="Times New Roman"/>
          <w:sz w:val="24"/>
          <w:szCs w:val="24"/>
          <w:lang w:eastAsia="pl-PL"/>
        </w:rPr>
        <w:t xml:space="preserve">najkorzystniej kształtowały </w:t>
      </w:r>
      <w:r w:rsidR="006E265E">
        <w:rPr>
          <w:rFonts w:ascii="Times New Roman" w:hAnsi="Times New Roman"/>
          <w:sz w:val="24"/>
          <w:szCs w:val="24"/>
          <w:lang w:eastAsia="pl-PL"/>
        </w:rPr>
        <w:lastRenderedPageBreak/>
        <w:t xml:space="preserve">się </w:t>
      </w:r>
      <w:r w:rsidRPr="00DF3C39">
        <w:rPr>
          <w:rFonts w:ascii="Times New Roman" w:hAnsi="Times New Roman"/>
          <w:sz w:val="24"/>
          <w:szCs w:val="24"/>
          <w:lang w:eastAsia="pl-PL"/>
        </w:rPr>
        <w:t xml:space="preserve">w </w:t>
      </w:r>
      <w:r w:rsidRPr="000056DA">
        <w:rPr>
          <w:rFonts w:ascii="Times New Roman" w:hAnsi="Times New Roman"/>
          <w:spacing w:val="-4"/>
          <w:sz w:val="24"/>
          <w:szCs w:val="24"/>
          <w:lang w:eastAsia="pl-PL"/>
        </w:rPr>
        <w:t>spółdzielni</w:t>
      </w:r>
      <w:r w:rsidR="00A43AC2">
        <w:rPr>
          <w:rFonts w:ascii="Times New Roman" w:hAnsi="Times New Roman"/>
          <w:spacing w:val="-4"/>
          <w:sz w:val="24"/>
          <w:szCs w:val="24"/>
          <w:lang w:eastAsia="pl-PL"/>
        </w:rPr>
        <w:t>ach roślinnych i wielostronnych.</w:t>
      </w:r>
      <w:r w:rsidRPr="000056DA">
        <w:rPr>
          <w:rFonts w:ascii="Times New Roman" w:hAnsi="Times New Roman"/>
          <w:spacing w:val="-4"/>
          <w:sz w:val="24"/>
          <w:szCs w:val="24"/>
          <w:lang w:eastAsia="pl-PL"/>
        </w:rPr>
        <w:t xml:space="preserve"> </w:t>
      </w:r>
      <w:r w:rsidR="00A43AC2">
        <w:rPr>
          <w:rFonts w:ascii="Times New Roman" w:hAnsi="Times New Roman"/>
          <w:spacing w:val="-4"/>
          <w:sz w:val="24"/>
          <w:szCs w:val="24"/>
          <w:lang w:eastAsia="pl-PL"/>
        </w:rPr>
        <w:t>W</w:t>
      </w:r>
      <w:r w:rsidR="006E265E">
        <w:rPr>
          <w:rFonts w:ascii="Times New Roman" w:hAnsi="Times New Roman"/>
          <w:spacing w:val="-4"/>
          <w:sz w:val="24"/>
          <w:szCs w:val="24"/>
          <w:lang w:eastAsia="pl-PL"/>
        </w:rPr>
        <w:t xml:space="preserve"> stosunku do 2010 roku widać również znaczącą poprawę w</w:t>
      </w:r>
      <w:r w:rsidR="00CF6BA3">
        <w:rPr>
          <w:rFonts w:ascii="Times New Roman" w:hAnsi="Times New Roman"/>
          <w:spacing w:val="-4"/>
          <w:sz w:val="24"/>
          <w:szCs w:val="24"/>
          <w:lang w:eastAsia="pl-PL"/>
        </w:rPr>
        <w:t xml:space="preserve"> grupie spółdzielni z dominującą</w:t>
      </w:r>
      <w:r w:rsidR="006E265E">
        <w:rPr>
          <w:rFonts w:ascii="Times New Roman" w:hAnsi="Times New Roman"/>
          <w:spacing w:val="-4"/>
          <w:sz w:val="24"/>
          <w:szCs w:val="24"/>
          <w:lang w:eastAsia="pl-PL"/>
        </w:rPr>
        <w:t xml:space="preserve"> produkcj</w:t>
      </w:r>
      <w:r w:rsidR="00CF6BA3">
        <w:rPr>
          <w:rFonts w:ascii="Times New Roman" w:hAnsi="Times New Roman"/>
          <w:spacing w:val="-4"/>
          <w:sz w:val="24"/>
          <w:szCs w:val="24"/>
          <w:lang w:eastAsia="pl-PL"/>
        </w:rPr>
        <w:t>ą</w:t>
      </w:r>
      <w:r w:rsidR="006E265E">
        <w:rPr>
          <w:rFonts w:ascii="Times New Roman" w:hAnsi="Times New Roman"/>
          <w:spacing w:val="-4"/>
          <w:sz w:val="24"/>
          <w:szCs w:val="24"/>
          <w:lang w:eastAsia="pl-PL"/>
        </w:rPr>
        <w:t xml:space="preserve"> zwierzęcą</w:t>
      </w:r>
      <w:r>
        <w:rPr>
          <w:rFonts w:ascii="Times New Roman" w:hAnsi="Times New Roman"/>
          <w:sz w:val="24"/>
          <w:szCs w:val="24"/>
          <w:lang w:eastAsia="pl-PL"/>
        </w:rPr>
        <w:t xml:space="preserve">. </w:t>
      </w:r>
    </w:p>
    <w:p w:rsidR="006E265E" w:rsidRDefault="002B33BA" w:rsidP="00C90BB2">
      <w:pPr>
        <w:spacing w:after="120"/>
        <w:ind w:firstLine="709"/>
        <w:jc w:val="both"/>
        <w:rPr>
          <w:rFonts w:ascii="Times New Roman" w:hAnsi="Times New Roman" w:cs="Times New Roman"/>
          <w:sz w:val="24"/>
          <w:szCs w:val="24"/>
        </w:rPr>
      </w:pPr>
      <w:r>
        <w:rPr>
          <w:rFonts w:ascii="Times New Roman" w:hAnsi="Times New Roman" w:cs="Times New Roman"/>
          <w:sz w:val="24"/>
          <w:szCs w:val="24"/>
        </w:rPr>
        <w:t xml:space="preserve">W 2011 </w:t>
      </w:r>
      <w:r w:rsidR="006E265E">
        <w:rPr>
          <w:rFonts w:ascii="Times New Roman" w:hAnsi="Times New Roman" w:cs="Times New Roman"/>
          <w:sz w:val="24"/>
          <w:szCs w:val="24"/>
        </w:rPr>
        <w:t>n</w:t>
      </w:r>
      <w:r>
        <w:rPr>
          <w:rFonts w:ascii="Times New Roman" w:hAnsi="Times New Roman" w:cs="Times New Roman"/>
          <w:sz w:val="24"/>
          <w:szCs w:val="24"/>
        </w:rPr>
        <w:t>ajmniej liczn</w:t>
      </w:r>
      <w:r w:rsidR="00294760">
        <w:rPr>
          <w:rFonts w:ascii="Times New Roman" w:hAnsi="Times New Roman" w:cs="Times New Roman"/>
          <w:sz w:val="24"/>
          <w:szCs w:val="24"/>
        </w:rPr>
        <w:t>ą</w:t>
      </w:r>
      <w:r>
        <w:rPr>
          <w:rFonts w:ascii="Times New Roman" w:hAnsi="Times New Roman" w:cs="Times New Roman"/>
          <w:sz w:val="24"/>
          <w:szCs w:val="24"/>
        </w:rPr>
        <w:t xml:space="preserve"> zbiorowością były RSP o ukierunkowaniu </w:t>
      </w:r>
      <w:r w:rsidR="00CF6BA3">
        <w:rPr>
          <w:rFonts w:ascii="Times New Roman" w:hAnsi="Times New Roman" w:cs="Times New Roman"/>
          <w:sz w:val="24"/>
          <w:szCs w:val="24"/>
        </w:rPr>
        <w:t>zwierzęcym.</w:t>
      </w:r>
      <w:r w:rsidR="006E265E">
        <w:rPr>
          <w:rFonts w:ascii="Times New Roman" w:hAnsi="Times New Roman" w:cs="Times New Roman"/>
          <w:sz w:val="24"/>
          <w:szCs w:val="24"/>
        </w:rPr>
        <w:t xml:space="preserve"> </w:t>
      </w:r>
      <w:r w:rsidR="00CF6BA3">
        <w:rPr>
          <w:rFonts w:ascii="Times New Roman" w:hAnsi="Times New Roman" w:cs="Times New Roman"/>
          <w:sz w:val="24"/>
          <w:szCs w:val="24"/>
        </w:rPr>
        <w:t>W</w:t>
      </w:r>
      <w:r w:rsidR="006E265E">
        <w:rPr>
          <w:rFonts w:ascii="Times New Roman" w:hAnsi="Times New Roman" w:cs="Times New Roman"/>
          <w:sz w:val="24"/>
          <w:szCs w:val="24"/>
        </w:rPr>
        <w:t xml:space="preserve"> </w:t>
      </w:r>
      <w:r>
        <w:rPr>
          <w:rFonts w:ascii="Times New Roman" w:hAnsi="Times New Roman" w:cs="Times New Roman"/>
          <w:sz w:val="24"/>
          <w:szCs w:val="24"/>
        </w:rPr>
        <w:t>grupie tej odnotowano</w:t>
      </w:r>
      <w:r w:rsidR="006E265E">
        <w:rPr>
          <w:rFonts w:ascii="Times New Roman" w:hAnsi="Times New Roman" w:cs="Times New Roman"/>
          <w:sz w:val="24"/>
          <w:szCs w:val="24"/>
        </w:rPr>
        <w:t xml:space="preserve"> co prawda</w:t>
      </w:r>
      <w:r>
        <w:rPr>
          <w:rFonts w:ascii="Times New Roman" w:hAnsi="Times New Roman" w:cs="Times New Roman"/>
          <w:sz w:val="24"/>
          <w:szCs w:val="24"/>
        </w:rPr>
        <w:t xml:space="preserve"> najniższe wartości </w:t>
      </w:r>
      <w:r w:rsidR="00CF6BA3">
        <w:rPr>
          <w:rFonts w:ascii="Times New Roman" w:hAnsi="Times New Roman" w:cs="Times New Roman"/>
          <w:sz w:val="24"/>
          <w:szCs w:val="24"/>
        </w:rPr>
        <w:t>dochodowości</w:t>
      </w:r>
      <w:r w:rsidR="006E265E">
        <w:rPr>
          <w:rFonts w:ascii="Times New Roman" w:hAnsi="Times New Roman" w:cs="Times New Roman"/>
          <w:sz w:val="24"/>
          <w:szCs w:val="24"/>
        </w:rPr>
        <w:t xml:space="preserve"> czy wydajności pracy</w:t>
      </w:r>
      <w:r w:rsidR="00CF6BA3">
        <w:rPr>
          <w:rFonts w:ascii="Times New Roman" w:hAnsi="Times New Roman" w:cs="Times New Roman"/>
          <w:sz w:val="24"/>
          <w:szCs w:val="24"/>
        </w:rPr>
        <w:t>, ale</w:t>
      </w:r>
      <w:r w:rsidR="006E265E">
        <w:rPr>
          <w:rFonts w:ascii="Times New Roman" w:hAnsi="Times New Roman" w:cs="Times New Roman"/>
          <w:sz w:val="24"/>
          <w:szCs w:val="24"/>
        </w:rPr>
        <w:t xml:space="preserve"> dane za ostatni okres wskazują na poprawę </w:t>
      </w:r>
      <w:r w:rsidR="003C4D1E">
        <w:rPr>
          <w:rFonts w:ascii="Times New Roman" w:hAnsi="Times New Roman" w:cs="Times New Roman"/>
          <w:sz w:val="24"/>
          <w:szCs w:val="24"/>
        </w:rPr>
        <w:t xml:space="preserve">tej </w:t>
      </w:r>
      <w:r w:rsidR="006E265E">
        <w:rPr>
          <w:rFonts w:ascii="Times New Roman" w:hAnsi="Times New Roman" w:cs="Times New Roman"/>
          <w:sz w:val="24"/>
          <w:szCs w:val="24"/>
        </w:rPr>
        <w:t>sytuacji. W wynikach uzyskanych</w:t>
      </w:r>
      <w:r w:rsidR="00A43AC2">
        <w:rPr>
          <w:rFonts w:ascii="Times New Roman" w:hAnsi="Times New Roman" w:cs="Times New Roman"/>
          <w:sz w:val="24"/>
          <w:szCs w:val="24"/>
        </w:rPr>
        <w:t xml:space="preserve"> przez tą</w:t>
      </w:r>
      <w:r w:rsidR="006E265E">
        <w:rPr>
          <w:rFonts w:ascii="Times New Roman" w:hAnsi="Times New Roman" w:cs="Times New Roman"/>
          <w:sz w:val="24"/>
          <w:szCs w:val="24"/>
        </w:rPr>
        <w:t xml:space="preserve"> grupę prosto doszukać się </w:t>
      </w:r>
      <w:r w:rsidR="00CF6BA3">
        <w:rPr>
          <w:rFonts w:ascii="Times New Roman" w:hAnsi="Times New Roman" w:cs="Times New Roman"/>
          <w:sz w:val="24"/>
          <w:szCs w:val="24"/>
        </w:rPr>
        <w:t xml:space="preserve">można </w:t>
      </w:r>
      <w:r w:rsidR="006E265E">
        <w:rPr>
          <w:rFonts w:ascii="Times New Roman" w:hAnsi="Times New Roman" w:cs="Times New Roman"/>
          <w:sz w:val="24"/>
          <w:szCs w:val="24"/>
        </w:rPr>
        <w:t>analogii do sytuacji na rynku produktów zwierzęcych</w:t>
      </w:r>
      <w:r w:rsidR="00CF6BA3">
        <w:rPr>
          <w:rFonts w:ascii="Times New Roman" w:hAnsi="Times New Roman" w:cs="Times New Roman"/>
          <w:sz w:val="24"/>
          <w:szCs w:val="24"/>
        </w:rPr>
        <w:t>,</w:t>
      </w:r>
      <w:r w:rsidR="006E265E">
        <w:rPr>
          <w:rFonts w:ascii="Times New Roman" w:hAnsi="Times New Roman" w:cs="Times New Roman"/>
          <w:sz w:val="24"/>
          <w:szCs w:val="24"/>
        </w:rPr>
        <w:t xml:space="preserve"> których ceny</w:t>
      </w:r>
      <w:r w:rsidR="003C4D1E">
        <w:rPr>
          <w:rFonts w:ascii="Times New Roman" w:hAnsi="Times New Roman" w:cs="Times New Roman"/>
          <w:sz w:val="24"/>
          <w:szCs w:val="24"/>
        </w:rPr>
        <w:t xml:space="preserve"> również</w:t>
      </w:r>
      <w:r w:rsidR="006E265E">
        <w:rPr>
          <w:rFonts w:ascii="Times New Roman" w:hAnsi="Times New Roman" w:cs="Times New Roman"/>
          <w:sz w:val="24"/>
          <w:szCs w:val="24"/>
        </w:rPr>
        <w:t xml:space="preserve"> w </w:t>
      </w:r>
      <w:r w:rsidR="00AB31A3">
        <w:rPr>
          <w:rFonts w:ascii="Times New Roman" w:hAnsi="Times New Roman" w:cs="Times New Roman"/>
          <w:sz w:val="24"/>
          <w:szCs w:val="24"/>
        </w:rPr>
        <w:t>ostatnim okresie</w:t>
      </w:r>
      <w:r w:rsidR="006E265E">
        <w:rPr>
          <w:rFonts w:ascii="Times New Roman" w:hAnsi="Times New Roman" w:cs="Times New Roman"/>
          <w:sz w:val="24"/>
          <w:szCs w:val="24"/>
        </w:rPr>
        <w:t xml:space="preserve"> się odbudowywały</w:t>
      </w:r>
      <w:r w:rsidR="00AB31A3">
        <w:rPr>
          <w:rFonts w:ascii="Times New Roman" w:hAnsi="Times New Roman" w:cs="Times New Roman"/>
          <w:sz w:val="24"/>
          <w:szCs w:val="24"/>
        </w:rPr>
        <w:t>. Od lat przy analizie tej grupy RSP wskaz</w:t>
      </w:r>
      <w:r w:rsidR="00A43AC2">
        <w:rPr>
          <w:rFonts w:ascii="Times New Roman" w:hAnsi="Times New Roman" w:cs="Times New Roman"/>
          <w:sz w:val="24"/>
          <w:szCs w:val="24"/>
        </w:rPr>
        <w:t>uje się</w:t>
      </w:r>
      <w:r w:rsidR="00AB31A3">
        <w:rPr>
          <w:rFonts w:ascii="Times New Roman" w:hAnsi="Times New Roman" w:cs="Times New Roman"/>
          <w:sz w:val="24"/>
          <w:szCs w:val="24"/>
        </w:rPr>
        <w:t xml:space="preserve"> na znacz</w:t>
      </w:r>
      <w:r w:rsidR="00CF6BA3">
        <w:rPr>
          <w:rFonts w:ascii="Times New Roman" w:hAnsi="Times New Roman" w:cs="Times New Roman"/>
          <w:sz w:val="24"/>
          <w:szCs w:val="24"/>
        </w:rPr>
        <w:t>ące obciążenie czynnikiem pracy.</w:t>
      </w:r>
      <w:r w:rsidR="00294760">
        <w:rPr>
          <w:rFonts w:ascii="Times New Roman" w:hAnsi="Times New Roman" w:cs="Times New Roman"/>
          <w:sz w:val="24"/>
          <w:szCs w:val="24"/>
        </w:rPr>
        <w:t xml:space="preserve"> </w:t>
      </w:r>
      <w:r w:rsidR="00CF6BA3">
        <w:rPr>
          <w:rFonts w:ascii="Times New Roman" w:hAnsi="Times New Roman" w:cs="Times New Roman"/>
          <w:sz w:val="24"/>
          <w:szCs w:val="24"/>
        </w:rPr>
        <w:t xml:space="preserve">Zatrudnienie w 2011 </w:t>
      </w:r>
      <w:r w:rsidR="00294760">
        <w:rPr>
          <w:rFonts w:ascii="Times New Roman" w:hAnsi="Times New Roman" w:cs="Times New Roman"/>
          <w:sz w:val="24"/>
          <w:szCs w:val="24"/>
        </w:rPr>
        <w:t xml:space="preserve">r. </w:t>
      </w:r>
      <w:r w:rsidR="00AB31A3">
        <w:rPr>
          <w:rFonts w:ascii="Times New Roman" w:hAnsi="Times New Roman" w:cs="Times New Roman"/>
          <w:sz w:val="24"/>
          <w:szCs w:val="24"/>
        </w:rPr>
        <w:t xml:space="preserve">w tej zbiorowości </w:t>
      </w:r>
      <w:r w:rsidR="00A43AC2">
        <w:rPr>
          <w:rFonts w:ascii="Times New Roman" w:hAnsi="Times New Roman" w:cs="Times New Roman"/>
          <w:sz w:val="24"/>
          <w:szCs w:val="24"/>
        </w:rPr>
        <w:t xml:space="preserve">wyniosło </w:t>
      </w:r>
      <w:r w:rsidR="00CF6BA3">
        <w:rPr>
          <w:rFonts w:ascii="Times New Roman" w:hAnsi="Times New Roman" w:cs="Times New Roman"/>
          <w:sz w:val="24"/>
          <w:szCs w:val="24"/>
        </w:rPr>
        <w:t xml:space="preserve">bowiem </w:t>
      </w:r>
      <w:r w:rsidR="00A43AC2">
        <w:rPr>
          <w:rFonts w:ascii="Times New Roman" w:hAnsi="Times New Roman" w:cs="Times New Roman"/>
          <w:sz w:val="24"/>
          <w:szCs w:val="24"/>
        </w:rPr>
        <w:t>przeciętnie</w:t>
      </w:r>
      <w:r w:rsidR="00AB31A3">
        <w:rPr>
          <w:rFonts w:ascii="Times New Roman" w:hAnsi="Times New Roman" w:cs="Times New Roman"/>
          <w:sz w:val="24"/>
          <w:szCs w:val="24"/>
        </w:rPr>
        <w:t xml:space="preserve"> 7 osób</w:t>
      </w:r>
      <w:r w:rsidR="00AE4AAA">
        <w:rPr>
          <w:rFonts w:ascii="Times New Roman" w:hAnsi="Times New Roman" w:cs="Times New Roman"/>
          <w:sz w:val="24"/>
          <w:szCs w:val="24"/>
        </w:rPr>
        <w:t xml:space="preserve"> na 100 ha UR</w:t>
      </w:r>
      <w:r w:rsidR="00CF6BA3">
        <w:rPr>
          <w:rFonts w:ascii="Times New Roman" w:hAnsi="Times New Roman" w:cs="Times New Roman"/>
          <w:sz w:val="24"/>
          <w:szCs w:val="24"/>
        </w:rPr>
        <w:t>,</w:t>
      </w:r>
      <w:r w:rsidR="00294760">
        <w:rPr>
          <w:rFonts w:ascii="Times New Roman" w:hAnsi="Times New Roman" w:cs="Times New Roman"/>
          <w:sz w:val="24"/>
          <w:szCs w:val="24"/>
        </w:rPr>
        <w:t xml:space="preserve"> którego</w:t>
      </w:r>
      <w:r w:rsidR="00AB31A3">
        <w:rPr>
          <w:rFonts w:ascii="Times New Roman" w:hAnsi="Times New Roman" w:cs="Times New Roman"/>
          <w:sz w:val="24"/>
          <w:szCs w:val="24"/>
        </w:rPr>
        <w:t xml:space="preserve"> koszty n</w:t>
      </w:r>
      <w:r w:rsidR="00CF6BA3">
        <w:rPr>
          <w:rFonts w:ascii="Times New Roman" w:hAnsi="Times New Roman" w:cs="Times New Roman"/>
          <w:sz w:val="24"/>
          <w:szCs w:val="24"/>
        </w:rPr>
        <w:t>iezmiennie i systematycznie rosły</w:t>
      </w:r>
      <w:r w:rsidR="00AB31A3">
        <w:rPr>
          <w:rFonts w:ascii="Times New Roman" w:hAnsi="Times New Roman" w:cs="Times New Roman"/>
          <w:sz w:val="24"/>
          <w:szCs w:val="24"/>
        </w:rPr>
        <w:t xml:space="preserve">. Jedna osoba zatrudniona w 2011 roku </w:t>
      </w:r>
      <w:r w:rsidR="00CF6BA3">
        <w:rPr>
          <w:rFonts w:ascii="Times New Roman" w:hAnsi="Times New Roman" w:cs="Times New Roman"/>
          <w:sz w:val="24"/>
          <w:szCs w:val="24"/>
        </w:rPr>
        <w:t xml:space="preserve">w </w:t>
      </w:r>
      <w:r w:rsidR="00AB31A3">
        <w:rPr>
          <w:rFonts w:ascii="Times New Roman" w:hAnsi="Times New Roman" w:cs="Times New Roman"/>
          <w:sz w:val="24"/>
          <w:szCs w:val="24"/>
        </w:rPr>
        <w:t>spółdzi</w:t>
      </w:r>
      <w:r w:rsidR="00AE4AAA">
        <w:rPr>
          <w:rFonts w:ascii="Times New Roman" w:hAnsi="Times New Roman" w:cs="Times New Roman"/>
          <w:sz w:val="24"/>
          <w:szCs w:val="24"/>
        </w:rPr>
        <w:t>e</w:t>
      </w:r>
      <w:r w:rsidR="00AB31A3">
        <w:rPr>
          <w:rFonts w:ascii="Times New Roman" w:hAnsi="Times New Roman" w:cs="Times New Roman"/>
          <w:sz w:val="24"/>
          <w:szCs w:val="24"/>
        </w:rPr>
        <w:t xml:space="preserve">lni zwierzęcej generowała o </w:t>
      </w:r>
      <w:r w:rsidR="00AE4AAA">
        <w:rPr>
          <w:rFonts w:ascii="Times New Roman" w:hAnsi="Times New Roman" w:cs="Times New Roman"/>
          <w:sz w:val="24"/>
          <w:szCs w:val="24"/>
        </w:rPr>
        <w:t xml:space="preserve">74% mniejszy dochód niż w spółdzielni roślinnej i o 30% </w:t>
      </w:r>
      <w:r w:rsidR="00CF6BA3">
        <w:rPr>
          <w:rFonts w:ascii="Times New Roman" w:hAnsi="Times New Roman" w:cs="Times New Roman"/>
          <w:sz w:val="24"/>
          <w:szCs w:val="24"/>
        </w:rPr>
        <w:t>niższy</w:t>
      </w:r>
      <w:r w:rsidR="00AE4AAA">
        <w:rPr>
          <w:rFonts w:ascii="Times New Roman" w:hAnsi="Times New Roman" w:cs="Times New Roman"/>
          <w:sz w:val="24"/>
          <w:szCs w:val="24"/>
        </w:rPr>
        <w:t xml:space="preserve"> w </w:t>
      </w:r>
      <w:r w:rsidR="00CF6BA3">
        <w:rPr>
          <w:rFonts w:ascii="Times New Roman" w:hAnsi="Times New Roman" w:cs="Times New Roman"/>
          <w:sz w:val="24"/>
          <w:szCs w:val="24"/>
        </w:rPr>
        <w:t xml:space="preserve">porównaniu do </w:t>
      </w:r>
      <w:r w:rsidR="00AE4AAA">
        <w:rPr>
          <w:rFonts w:ascii="Times New Roman" w:hAnsi="Times New Roman" w:cs="Times New Roman"/>
          <w:sz w:val="24"/>
          <w:szCs w:val="24"/>
        </w:rPr>
        <w:t xml:space="preserve">specjalizacji wielostronnej. Na tle </w:t>
      </w:r>
      <w:r w:rsidR="00CF6BA3">
        <w:rPr>
          <w:rFonts w:ascii="Times New Roman" w:hAnsi="Times New Roman" w:cs="Times New Roman"/>
          <w:sz w:val="24"/>
          <w:szCs w:val="24"/>
        </w:rPr>
        <w:t>całej zbiorowości RSP</w:t>
      </w:r>
      <w:r w:rsidR="00AE4AAA">
        <w:rPr>
          <w:rFonts w:ascii="Times New Roman" w:hAnsi="Times New Roman" w:cs="Times New Roman"/>
          <w:sz w:val="24"/>
          <w:szCs w:val="24"/>
        </w:rPr>
        <w:t xml:space="preserve"> należy zauważyć</w:t>
      </w:r>
      <w:r w:rsidR="00294760">
        <w:rPr>
          <w:rFonts w:ascii="Times New Roman" w:hAnsi="Times New Roman" w:cs="Times New Roman"/>
          <w:sz w:val="24"/>
          <w:szCs w:val="24"/>
        </w:rPr>
        <w:t>, ż</w:t>
      </w:r>
      <w:r w:rsidR="00CF6BA3">
        <w:rPr>
          <w:rFonts w:ascii="Times New Roman" w:hAnsi="Times New Roman" w:cs="Times New Roman"/>
          <w:sz w:val="24"/>
          <w:szCs w:val="24"/>
        </w:rPr>
        <w:t>e to właśnie grupy</w:t>
      </w:r>
      <w:r w:rsidR="00AE4AAA">
        <w:rPr>
          <w:rFonts w:ascii="Times New Roman" w:hAnsi="Times New Roman" w:cs="Times New Roman"/>
          <w:sz w:val="24"/>
          <w:szCs w:val="24"/>
        </w:rPr>
        <w:t xml:space="preserve"> o specjalizacji zwierzęcej w największym stopniu dotyczy zjawisko ograniczania powierzchni użytków rolnych. W latach 2009-2011</w:t>
      </w:r>
      <w:r w:rsidR="00B84FE5">
        <w:rPr>
          <w:rFonts w:ascii="Times New Roman" w:hAnsi="Times New Roman" w:cs="Times New Roman"/>
          <w:sz w:val="24"/>
          <w:szCs w:val="24"/>
        </w:rPr>
        <w:t xml:space="preserve"> spółdzielnie te </w:t>
      </w:r>
      <w:r w:rsidR="00213581">
        <w:rPr>
          <w:rFonts w:ascii="Times New Roman" w:hAnsi="Times New Roman" w:cs="Times New Roman"/>
          <w:sz w:val="24"/>
          <w:szCs w:val="24"/>
        </w:rPr>
        <w:t xml:space="preserve">zredukowały swój areał </w:t>
      </w:r>
      <w:r w:rsidR="00B84FE5">
        <w:rPr>
          <w:rFonts w:ascii="Times New Roman" w:hAnsi="Times New Roman" w:cs="Times New Roman"/>
          <w:sz w:val="24"/>
          <w:szCs w:val="24"/>
        </w:rPr>
        <w:t xml:space="preserve"> o </w:t>
      </w:r>
      <w:r w:rsidR="00294760">
        <w:rPr>
          <w:rFonts w:ascii="Times New Roman" w:hAnsi="Times New Roman" w:cs="Times New Roman"/>
          <w:sz w:val="24"/>
          <w:szCs w:val="24"/>
        </w:rPr>
        <w:t>o</w:t>
      </w:r>
      <w:r w:rsidR="00B84FE5">
        <w:rPr>
          <w:rFonts w:ascii="Times New Roman" w:hAnsi="Times New Roman" w:cs="Times New Roman"/>
          <w:sz w:val="24"/>
          <w:szCs w:val="24"/>
        </w:rPr>
        <w:t xml:space="preserve">koło 5 %, podczas gdy redukcja </w:t>
      </w:r>
      <w:r w:rsidR="00213581">
        <w:rPr>
          <w:rFonts w:ascii="Times New Roman" w:hAnsi="Times New Roman" w:cs="Times New Roman"/>
          <w:sz w:val="24"/>
          <w:szCs w:val="24"/>
        </w:rPr>
        <w:t>ta</w:t>
      </w:r>
      <w:r w:rsidR="00B84FE5">
        <w:rPr>
          <w:rFonts w:ascii="Times New Roman" w:hAnsi="Times New Roman" w:cs="Times New Roman"/>
          <w:sz w:val="24"/>
          <w:szCs w:val="24"/>
        </w:rPr>
        <w:t xml:space="preserve"> w grupie wielostronnych nie przekroczyła 1,5%</w:t>
      </w:r>
      <w:r w:rsidR="00294760">
        <w:rPr>
          <w:rFonts w:ascii="Times New Roman" w:hAnsi="Times New Roman" w:cs="Times New Roman"/>
          <w:sz w:val="24"/>
          <w:szCs w:val="24"/>
        </w:rPr>
        <w:t>,</w:t>
      </w:r>
      <w:r w:rsidR="00B84FE5">
        <w:rPr>
          <w:rFonts w:ascii="Times New Roman" w:hAnsi="Times New Roman" w:cs="Times New Roman"/>
          <w:sz w:val="24"/>
          <w:szCs w:val="24"/>
        </w:rPr>
        <w:t xml:space="preserve"> a w roślinnych</w:t>
      </w:r>
      <w:r w:rsidR="00C64DAD">
        <w:rPr>
          <w:rFonts w:ascii="Times New Roman" w:hAnsi="Times New Roman" w:cs="Times New Roman"/>
          <w:sz w:val="24"/>
          <w:szCs w:val="24"/>
        </w:rPr>
        <w:t xml:space="preserve"> powierzchnia ta nawet</w:t>
      </w:r>
      <w:r w:rsidR="00B84FE5">
        <w:rPr>
          <w:rFonts w:ascii="Times New Roman" w:hAnsi="Times New Roman" w:cs="Times New Roman"/>
          <w:sz w:val="24"/>
          <w:szCs w:val="24"/>
        </w:rPr>
        <w:t xml:space="preserve"> nieznacznie wzrosła. Podsumowując </w:t>
      </w:r>
      <w:r w:rsidR="00294760">
        <w:rPr>
          <w:rFonts w:ascii="Times New Roman" w:hAnsi="Times New Roman" w:cs="Times New Roman"/>
          <w:sz w:val="24"/>
          <w:szCs w:val="24"/>
        </w:rPr>
        <w:t>sytuację</w:t>
      </w:r>
      <w:r w:rsidR="00B84FE5">
        <w:rPr>
          <w:rFonts w:ascii="Times New Roman" w:hAnsi="Times New Roman" w:cs="Times New Roman"/>
          <w:sz w:val="24"/>
          <w:szCs w:val="24"/>
        </w:rPr>
        <w:t xml:space="preserve"> spółdzielni zwierzęcych</w:t>
      </w:r>
      <w:r w:rsidR="00213581">
        <w:rPr>
          <w:rFonts w:ascii="Times New Roman" w:hAnsi="Times New Roman" w:cs="Times New Roman"/>
          <w:sz w:val="24"/>
          <w:szCs w:val="24"/>
        </w:rPr>
        <w:t>,</w:t>
      </w:r>
      <w:r w:rsidR="00B84FE5">
        <w:rPr>
          <w:rFonts w:ascii="Times New Roman" w:hAnsi="Times New Roman" w:cs="Times New Roman"/>
          <w:sz w:val="24"/>
          <w:szCs w:val="24"/>
        </w:rPr>
        <w:t xml:space="preserve"> należy podkr</w:t>
      </w:r>
      <w:r w:rsidR="00C64DAD">
        <w:rPr>
          <w:rFonts w:ascii="Times New Roman" w:hAnsi="Times New Roman" w:cs="Times New Roman"/>
          <w:sz w:val="24"/>
          <w:szCs w:val="24"/>
        </w:rPr>
        <w:t>eślić</w:t>
      </w:r>
      <w:r w:rsidR="00B84FE5">
        <w:rPr>
          <w:rFonts w:ascii="Times New Roman" w:hAnsi="Times New Roman" w:cs="Times New Roman"/>
          <w:sz w:val="24"/>
          <w:szCs w:val="24"/>
        </w:rPr>
        <w:t xml:space="preserve">, iż mimo widocznej poprawy </w:t>
      </w:r>
      <w:r w:rsidR="00A43AC2">
        <w:rPr>
          <w:rFonts w:ascii="Times New Roman" w:hAnsi="Times New Roman" w:cs="Times New Roman"/>
          <w:sz w:val="24"/>
          <w:szCs w:val="24"/>
        </w:rPr>
        <w:t xml:space="preserve">wyników </w:t>
      </w:r>
      <w:r w:rsidR="00B84FE5">
        <w:rPr>
          <w:rFonts w:ascii="Times New Roman" w:hAnsi="Times New Roman" w:cs="Times New Roman"/>
          <w:sz w:val="24"/>
          <w:szCs w:val="24"/>
        </w:rPr>
        <w:t>w tej grupie</w:t>
      </w:r>
      <w:r w:rsidR="00A43AC2">
        <w:rPr>
          <w:rFonts w:ascii="Times New Roman" w:hAnsi="Times New Roman" w:cs="Times New Roman"/>
          <w:sz w:val="24"/>
          <w:szCs w:val="24"/>
        </w:rPr>
        <w:t>,</w:t>
      </w:r>
      <w:r w:rsidR="00B84FE5">
        <w:rPr>
          <w:rFonts w:ascii="Times New Roman" w:hAnsi="Times New Roman" w:cs="Times New Roman"/>
          <w:sz w:val="24"/>
          <w:szCs w:val="24"/>
        </w:rPr>
        <w:t xml:space="preserve"> rok 2011 był kolejnym już okresem</w:t>
      </w:r>
      <w:r w:rsidR="00A43AC2">
        <w:rPr>
          <w:rFonts w:ascii="Times New Roman" w:hAnsi="Times New Roman" w:cs="Times New Roman"/>
          <w:sz w:val="24"/>
          <w:szCs w:val="24"/>
        </w:rPr>
        <w:t>,</w:t>
      </w:r>
      <w:r w:rsidR="00B84FE5">
        <w:rPr>
          <w:rFonts w:ascii="Times New Roman" w:hAnsi="Times New Roman" w:cs="Times New Roman"/>
          <w:sz w:val="24"/>
          <w:szCs w:val="24"/>
        </w:rPr>
        <w:t xml:space="preserve"> kiedy ich sytuacja była najsłabsza.</w:t>
      </w:r>
    </w:p>
    <w:p w:rsidR="003C4D1E" w:rsidRDefault="00294760" w:rsidP="00213581">
      <w:pPr>
        <w:spacing w:after="120"/>
        <w:ind w:firstLine="709"/>
        <w:jc w:val="both"/>
        <w:rPr>
          <w:rFonts w:ascii="Times New Roman" w:hAnsi="Times New Roman" w:cs="Times New Roman"/>
          <w:sz w:val="24"/>
          <w:szCs w:val="24"/>
        </w:rPr>
      </w:pPr>
      <w:r>
        <w:rPr>
          <w:rFonts w:ascii="Times New Roman" w:hAnsi="Times New Roman" w:cs="Times New Roman"/>
          <w:sz w:val="24"/>
          <w:szCs w:val="24"/>
        </w:rPr>
        <w:t>Kolejną</w:t>
      </w:r>
      <w:r w:rsidR="003C4D1E">
        <w:rPr>
          <w:rFonts w:ascii="Times New Roman" w:hAnsi="Times New Roman" w:cs="Times New Roman"/>
          <w:sz w:val="24"/>
          <w:szCs w:val="24"/>
        </w:rPr>
        <w:t xml:space="preserve"> grupą co do wielkości</w:t>
      </w:r>
      <w:r>
        <w:rPr>
          <w:rFonts w:ascii="Times New Roman" w:hAnsi="Times New Roman" w:cs="Times New Roman"/>
          <w:sz w:val="24"/>
          <w:szCs w:val="24"/>
        </w:rPr>
        <w:t>, jak również</w:t>
      </w:r>
      <w:r w:rsidR="003C4D1E">
        <w:rPr>
          <w:rFonts w:ascii="Times New Roman" w:hAnsi="Times New Roman" w:cs="Times New Roman"/>
          <w:sz w:val="24"/>
          <w:szCs w:val="24"/>
        </w:rPr>
        <w:t xml:space="preserve"> pod względem osiąganych wyników</w:t>
      </w:r>
      <w:r w:rsidR="00213581">
        <w:rPr>
          <w:rFonts w:ascii="Times New Roman" w:hAnsi="Times New Roman" w:cs="Times New Roman"/>
          <w:sz w:val="24"/>
          <w:szCs w:val="24"/>
        </w:rPr>
        <w:t>,</w:t>
      </w:r>
      <w:r w:rsidR="003C4D1E">
        <w:rPr>
          <w:rFonts w:ascii="Times New Roman" w:hAnsi="Times New Roman" w:cs="Times New Roman"/>
          <w:sz w:val="24"/>
          <w:szCs w:val="24"/>
        </w:rPr>
        <w:t xml:space="preserve"> były spółdzielnie o ukierunkowaniu wielostronnym. Zbiorowość ta osiągnęła w 2011 roku bardzo dobre </w:t>
      </w:r>
      <w:r w:rsidR="002A1C9E">
        <w:rPr>
          <w:rFonts w:ascii="Times New Roman" w:hAnsi="Times New Roman" w:cs="Times New Roman"/>
          <w:sz w:val="24"/>
          <w:szCs w:val="24"/>
        </w:rPr>
        <w:t>wskaźniki</w:t>
      </w:r>
      <w:r w:rsidR="003C4D1E">
        <w:rPr>
          <w:rFonts w:ascii="Times New Roman" w:hAnsi="Times New Roman" w:cs="Times New Roman"/>
          <w:sz w:val="24"/>
          <w:szCs w:val="24"/>
        </w:rPr>
        <w:t xml:space="preserve"> dochodowości działa</w:t>
      </w:r>
      <w:r w:rsidR="00213581">
        <w:rPr>
          <w:rFonts w:ascii="Times New Roman" w:hAnsi="Times New Roman" w:cs="Times New Roman"/>
          <w:sz w:val="24"/>
          <w:szCs w:val="24"/>
        </w:rPr>
        <w:t>lności gospodarczej oraz wartości</w:t>
      </w:r>
      <w:r w:rsidR="003C4D1E">
        <w:rPr>
          <w:rFonts w:ascii="Times New Roman" w:hAnsi="Times New Roman" w:cs="Times New Roman"/>
          <w:sz w:val="24"/>
          <w:szCs w:val="24"/>
        </w:rPr>
        <w:t xml:space="preserve"> dodanej. Pod względem </w:t>
      </w:r>
      <w:r w:rsidR="00213581">
        <w:rPr>
          <w:rFonts w:ascii="Times New Roman" w:hAnsi="Times New Roman" w:cs="Times New Roman"/>
          <w:sz w:val="24"/>
          <w:szCs w:val="24"/>
        </w:rPr>
        <w:t>tej ostatniej</w:t>
      </w:r>
      <w:r w:rsidR="003C4D1E">
        <w:rPr>
          <w:rFonts w:ascii="Times New Roman" w:hAnsi="Times New Roman" w:cs="Times New Roman"/>
          <w:sz w:val="24"/>
          <w:szCs w:val="24"/>
        </w:rPr>
        <w:t xml:space="preserve"> w </w:t>
      </w:r>
      <w:r w:rsidR="00213581">
        <w:rPr>
          <w:rFonts w:ascii="Times New Roman" w:hAnsi="Times New Roman" w:cs="Times New Roman"/>
          <w:sz w:val="24"/>
          <w:szCs w:val="24"/>
        </w:rPr>
        <w:t xml:space="preserve">2011 </w:t>
      </w:r>
      <w:r w:rsidR="003C4D1E">
        <w:rPr>
          <w:rFonts w:ascii="Times New Roman" w:hAnsi="Times New Roman" w:cs="Times New Roman"/>
          <w:sz w:val="24"/>
          <w:szCs w:val="24"/>
        </w:rPr>
        <w:t>roku spółdzielnie te były nawet nieznacznie lepsze od ukierunkowania roślinnego. Podobnie jednak jak w RSP zwierzęcych</w:t>
      </w:r>
      <w:r w:rsidR="002A1C9E">
        <w:rPr>
          <w:rFonts w:ascii="Times New Roman" w:hAnsi="Times New Roman" w:cs="Times New Roman"/>
          <w:sz w:val="24"/>
          <w:szCs w:val="24"/>
        </w:rPr>
        <w:t>,</w:t>
      </w:r>
      <w:r w:rsidR="003C4D1E">
        <w:rPr>
          <w:rFonts w:ascii="Times New Roman" w:hAnsi="Times New Roman" w:cs="Times New Roman"/>
          <w:sz w:val="24"/>
          <w:szCs w:val="24"/>
        </w:rPr>
        <w:t xml:space="preserve"> znacznie wyższe zatrudnienie powodowało </w:t>
      </w:r>
      <w:r w:rsidR="002A1C9E">
        <w:rPr>
          <w:rFonts w:ascii="Times New Roman" w:hAnsi="Times New Roman" w:cs="Times New Roman"/>
          <w:sz w:val="24"/>
          <w:szCs w:val="24"/>
        </w:rPr>
        <w:t>wyraźne</w:t>
      </w:r>
      <w:r w:rsidR="003C4D1E">
        <w:rPr>
          <w:rFonts w:ascii="Times New Roman" w:hAnsi="Times New Roman" w:cs="Times New Roman"/>
          <w:sz w:val="24"/>
          <w:szCs w:val="24"/>
        </w:rPr>
        <w:t xml:space="preserve"> różnice w dziedzinie wydajności pracy </w:t>
      </w:r>
      <w:r w:rsidR="00213581">
        <w:rPr>
          <w:rFonts w:ascii="Times New Roman" w:hAnsi="Times New Roman" w:cs="Times New Roman"/>
          <w:sz w:val="24"/>
          <w:szCs w:val="24"/>
        </w:rPr>
        <w:t>pomię</w:t>
      </w:r>
      <w:r w:rsidR="003C4D1E">
        <w:rPr>
          <w:rFonts w:ascii="Times New Roman" w:hAnsi="Times New Roman" w:cs="Times New Roman"/>
          <w:sz w:val="24"/>
          <w:szCs w:val="24"/>
        </w:rPr>
        <w:t xml:space="preserve">dzy spółdzielniami wielostronnymi a </w:t>
      </w:r>
      <w:r w:rsidR="008C2BB1">
        <w:rPr>
          <w:rFonts w:ascii="Times New Roman" w:hAnsi="Times New Roman" w:cs="Times New Roman"/>
          <w:sz w:val="24"/>
          <w:szCs w:val="24"/>
        </w:rPr>
        <w:t>roślinnymi. W przel</w:t>
      </w:r>
      <w:r>
        <w:rPr>
          <w:rFonts w:ascii="Times New Roman" w:hAnsi="Times New Roman" w:cs="Times New Roman"/>
          <w:sz w:val="24"/>
          <w:szCs w:val="24"/>
        </w:rPr>
        <w:t>i</w:t>
      </w:r>
      <w:r w:rsidR="008C2BB1">
        <w:rPr>
          <w:rFonts w:ascii="Times New Roman" w:hAnsi="Times New Roman" w:cs="Times New Roman"/>
          <w:sz w:val="24"/>
          <w:szCs w:val="24"/>
        </w:rPr>
        <w:t xml:space="preserve">czeniu na jednego członka RSP wielostronne osiągnęły niższą </w:t>
      </w:r>
      <w:r w:rsidR="00213581">
        <w:rPr>
          <w:rFonts w:ascii="Times New Roman" w:hAnsi="Times New Roman" w:cs="Times New Roman"/>
          <w:sz w:val="24"/>
          <w:szCs w:val="24"/>
        </w:rPr>
        <w:t>dochodowość w latach 2010 i 2011,</w:t>
      </w:r>
      <w:r w:rsidR="008C2BB1">
        <w:rPr>
          <w:rFonts w:ascii="Times New Roman" w:hAnsi="Times New Roman" w:cs="Times New Roman"/>
          <w:sz w:val="24"/>
          <w:szCs w:val="24"/>
        </w:rPr>
        <w:t xml:space="preserve"> odpowiednio o 12 i 19 tys. zł. Podobne różnice widoczne są również w przypadku mierzenia wydajności pracy wartością dodaną. W przypadku analizy tej właśnie grupy RSP na tle ukierunkowania roślinnego widać pewną słabość spółdzielni, która wynika ze specyfiki tej </w:t>
      </w:r>
      <w:r w:rsidR="002A1C9E">
        <w:rPr>
          <w:rFonts w:ascii="Times New Roman" w:hAnsi="Times New Roman" w:cs="Times New Roman"/>
          <w:sz w:val="24"/>
          <w:szCs w:val="24"/>
        </w:rPr>
        <w:t>formy</w:t>
      </w:r>
      <w:r w:rsidR="008C2BB1">
        <w:rPr>
          <w:rFonts w:ascii="Times New Roman" w:hAnsi="Times New Roman" w:cs="Times New Roman"/>
          <w:sz w:val="24"/>
          <w:szCs w:val="24"/>
        </w:rPr>
        <w:t xml:space="preserve"> gospodarstw, mianowicie niemożności elastycznego kształtowania zasobów pracy.</w:t>
      </w:r>
      <w:r w:rsidR="001D6AD1">
        <w:rPr>
          <w:rFonts w:ascii="Times New Roman" w:hAnsi="Times New Roman" w:cs="Times New Roman"/>
          <w:sz w:val="24"/>
          <w:szCs w:val="24"/>
        </w:rPr>
        <w:t xml:space="preserve"> Spółdzielnie wielostronne, pomimo </w:t>
      </w:r>
      <w:r w:rsidR="002A1C9E">
        <w:rPr>
          <w:rFonts w:ascii="Times New Roman" w:hAnsi="Times New Roman" w:cs="Times New Roman"/>
          <w:sz w:val="24"/>
          <w:szCs w:val="24"/>
        </w:rPr>
        <w:t xml:space="preserve">ogólnie </w:t>
      </w:r>
      <w:r w:rsidR="001D6AD1">
        <w:rPr>
          <w:rFonts w:ascii="Times New Roman" w:hAnsi="Times New Roman" w:cs="Times New Roman"/>
          <w:sz w:val="24"/>
          <w:szCs w:val="24"/>
        </w:rPr>
        <w:t>dobrych</w:t>
      </w:r>
      <w:r w:rsidR="002A1C9E">
        <w:rPr>
          <w:rFonts w:ascii="Times New Roman" w:hAnsi="Times New Roman" w:cs="Times New Roman"/>
          <w:sz w:val="24"/>
          <w:szCs w:val="24"/>
        </w:rPr>
        <w:t xml:space="preserve"> na tle ogółu</w:t>
      </w:r>
      <w:r w:rsidR="001D6AD1">
        <w:rPr>
          <w:rFonts w:ascii="Times New Roman" w:hAnsi="Times New Roman" w:cs="Times New Roman"/>
          <w:sz w:val="24"/>
          <w:szCs w:val="24"/>
        </w:rPr>
        <w:t xml:space="preserve"> wyników finansowych</w:t>
      </w:r>
      <w:r w:rsidR="00213581">
        <w:rPr>
          <w:rFonts w:ascii="Times New Roman" w:hAnsi="Times New Roman" w:cs="Times New Roman"/>
          <w:sz w:val="24"/>
          <w:szCs w:val="24"/>
        </w:rPr>
        <w:t>,</w:t>
      </w:r>
      <w:r w:rsidR="001D6AD1">
        <w:rPr>
          <w:rFonts w:ascii="Times New Roman" w:hAnsi="Times New Roman" w:cs="Times New Roman"/>
          <w:sz w:val="24"/>
          <w:szCs w:val="24"/>
        </w:rPr>
        <w:t xml:space="preserve"> nie powiększały swojej wartości właścicielskiej. Powinno być to dla nich wyraźnym bodźcem do poszukiwania sposobów poprawy rentowności działalności.</w:t>
      </w:r>
    </w:p>
    <w:p w:rsidR="004B6B4B" w:rsidRDefault="001D6AD1" w:rsidP="004B6B4B">
      <w:pPr>
        <w:spacing w:after="120"/>
        <w:ind w:firstLine="709"/>
        <w:jc w:val="both"/>
        <w:rPr>
          <w:rFonts w:ascii="Times New Roman" w:hAnsi="Times New Roman"/>
          <w:sz w:val="24"/>
          <w:szCs w:val="24"/>
          <w:lang w:eastAsia="pl-PL"/>
        </w:rPr>
      </w:pPr>
      <w:r>
        <w:rPr>
          <w:rFonts w:ascii="Times New Roman" w:hAnsi="Times New Roman" w:cs="Times New Roman"/>
          <w:sz w:val="24"/>
          <w:szCs w:val="24"/>
        </w:rPr>
        <w:t>Jak już wspominano odnosząc wyniki pozostałych specjaliz</w:t>
      </w:r>
      <w:r w:rsidR="00213581">
        <w:rPr>
          <w:rFonts w:ascii="Times New Roman" w:hAnsi="Times New Roman" w:cs="Times New Roman"/>
          <w:sz w:val="24"/>
          <w:szCs w:val="24"/>
        </w:rPr>
        <w:t xml:space="preserve">acji do spółdzielni roślinnych, </w:t>
      </w:r>
      <w:r>
        <w:rPr>
          <w:rFonts w:ascii="Times New Roman" w:hAnsi="Times New Roman" w:cs="Times New Roman"/>
          <w:sz w:val="24"/>
          <w:szCs w:val="24"/>
        </w:rPr>
        <w:t>zbiorowość ta w ostatnim 3-leciu charakteryzował</w:t>
      </w:r>
      <w:r w:rsidR="00294760">
        <w:rPr>
          <w:rFonts w:ascii="Times New Roman" w:hAnsi="Times New Roman" w:cs="Times New Roman"/>
          <w:sz w:val="24"/>
          <w:szCs w:val="24"/>
        </w:rPr>
        <w:t>a</w:t>
      </w:r>
      <w:r>
        <w:rPr>
          <w:rFonts w:ascii="Times New Roman" w:hAnsi="Times New Roman" w:cs="Times New Roman"/>
          <w:sz w:val="24"/>
          <w:szCs w:val="24"/>
        </w:rPr>
        <w:t xml:space="preserve"> się zdecydowanie najkorzystniejszymi wynikami</w:t>
      </w:r>
      <w:r w:rsidR="0021651F">
        <w:rPr>
          <w:rFonts w:ascii="Times New Roman" w:hAnsi="Times New Roman" w:cs="Times New Roman"/>
          <w:sz w:val="24"/>
          <w:szCs w:val="24"/>
        </w:rPr>
        <w:t>.</w:t>
      </w:r>
      <w:r w:rsidR="0021651F" w:rsidRPr="0021651F">
        <w:rPr>
          <w:rFonts w:ascii="Times New Roman" w:hAnsi="Times New Roman"/>
          <w:sz w:val="24"/>
          <w:szCs w:val="24"/>
          <w:lang w:eastAsia="pl-PL"/>
        </w:rPr>
        <w:t xml:space="preserve"> </w:t>
      </w:r>
      <w:r w:rsidR="0021651F">
        <w:rPr>
          <w:rFonts w:ascii="Times New Roman" w:hAnsi="Times New Roman"/>
          <w:sz w:val="24"/>
          <w:szCs w:val="24"/>
          <w:lang w:eastAsia="pl-PL"/>
        </w:rPr>
        <w:t>Ze względu na</w:t>
      </w:r>
      <w:r w:rsidR="00613B56">
        <w:rPr>
          <w:rFonts w:ascii="Times New Roman" w:hAnsi="Times New Roman"/>
          <w:sz w:val="24"/>
          <w:szCs w:val="24"/>
          <w:lang w:eastAsia="pl-PL"/>
        </w:rPr>
        <w:t xml:space="preserve"> swoją</w:t>
      </w:r>
      <w:r w:rsidR="0021651F">
        <w:rPr>
          <w:rFonts w:ascii="Times New Roman" w:hAnsi="Times New Roman"/>
          <w:sz w:val="24"/>
          <w:szCs w:val="24"/>
          <w:lang w:eastAsia="pl-PL"/>
        </w:rPr>
        <w:t xml:space="preserve"> </w:t>
      </w:r>
      <w:r w:rsidR="00294760">
        <w:rPr>
          <w:rFonts w:ascii="Times New Roman" w:hAnsi="Times New Roman"/>
          <w:sz w:val="24"/>
          <w:szCs w:val="24"/>
          <w:lang w:eastAsia="pl-PL"/>
        </w:rPr>
        <w:t>działalność</w:t>
      </w:r>
      <w:r w:rsidR="0021651F">
        <w:rPr>
          <w:rFonts w:ascii="Times New Roman" w:hAnsi="Times New Roman"/>
          <w:sz w:val="24"/>
          <w:szCs w:val="24"/>
          <w:lang w:eastAsia="pl-PL"/>
        </w:rPr>
        <w:t xml:space="preserve"> </w:t>
      </w:r>
      <w:r w:rsidR="00613B56">
        <w:rPr>
          <w:rFonts w:ascii="Times New Roman" w:hAnsi="Times New Roman"/>
          <w:sz w:val="24"/>
          <w:szCs w:val="24"/>
          <w:lang w:eastAsia="pl-PL"/>
        </w:rPr>
        <w:t>spółdzielnie te charakteryz</w:t>
      </w:r>
      <w:r w:rsidR="00294760">
        <w:rPr>
          <w:rFonts w:ascii="Times New Roman" w:hAnsi="Times New Roman"/>
          <w:sz w:val="24"/>
          <w:szCs w:val="24"/>
          <w:lang w:eastAsia="pl-PL"/>
        </w:rPr>
        <w:t>owały</w:t>
      </w:r>
      <w:r w:rsidR="00613B56">
        <w:rPr>
          <w:rFonts w:ascii="Times New Roman" w:hAnsi="Times New Roman"/>
          <w:sz w:val="24"/>
          <w:szCs w:val="24"/>
          <w:lang w:eastAsia="pl-PL"/>
        </w:rPr>
        <w:t xml:space="preserve"> się</w:t>
      </w:r>
      <w:r w:rsidR="0021651F">
        <w:rPr>
          <w:rFonts w:ascii="Times New Roman" w:hAnsi="Times New Roman"/>
          <w:sz w:val="24"/>
          <w:szCs w:val="24"/>
          <w:lang w:eastAsia="pl-PL"/>
        </w:rPr>
        <w:t xml:space="preserve"> największą ze wszystkich grup </w:t>
      </w:r>
      <w:r w:rsidR="00613B56">
        <w:rPr>
          <w:rFonts w:ascii="Times New Roman" w:hAnsi="Times New Roman"/>
          <w:sz w:val="24"/>
          <w:szCs w:val="24"/>
          <w:lang w:eastAsia="pl-PL"/>
        </w:rPr>
        <w:t>powierzchnią</w:t>
      </w:r>
      <w:r w:rsidR="00213581">
        <w:rPr>
          <w:rFonts w:ascii="Times New Roman" w:hAnsi="Times New Roman"/>
          <w:sz w:val="24"/>
          <w:szCs w:val="24"/>
          <w:lang w:eastAsia="pl-PL"/>
        </w:rPr>
        <w:t xml:space="preserve"> użytków rolnych, którą jeszcze</w:t>
      </w:r>
      <w:r w:rsidR="00613B56">
        <w:rPr>
          <w:rFonts w:ascii="Times New Roman" w:hAnsi="Times New Roman"/>
          <w:sz w:val="24"/>
          <w:szCs w:val="24"/>
          <w:lang w:eastAsia="pl-PL"/>
        </w:rPr>
        <w:t xml:space="preserve"> powiększały</w:t>
      </w:r>
      <w:r w:rsidR="0021651F">
        <w:rPr>
          <w:rFonts w:ascii="Times New Roman" w:hAnsi="Times New Roman"/>
          <w:sz w:val="24"/>
          <w:szCs w:val="24"/>
          <w:lang w:eastAsia="pl-PL"/>
        </w:rPr>
        <w:t>.</w:t>
      </w:r>
      <w:r w:rsidR="004B6B4B">
        <w:rPr>
          <w:rFonts w:ascii="Times New Roman" w:hAnsi="Times New Roman"/>
          <w:sz w:val="24"/>
          <w:szCs w:val="24"/>
          <w:lang w:eastAsia="pl-PL"/>
        </w:rPr>
        <w:t xml:space="preserve"> Jest rzeczą oczywistą, iż główną przyczyną tak dobrych wyników tej grupy RSP były bardzo wysokie ceny zbóż </w:t>
      </w:r>
      <w:r w:rsidR="00213581">
        <w:rPr>
          <w:rFonts w:ascii="Times New Roman" w:hAnsi="Times New Roman"/>
          <w:sz w:val="24"/>
          <w:szCs w:val="24"/>
          <w:lang w:eastAsia="pl-PL"/>
        </w:rPr>
        <w:t>w</w:t>
      </w:r>
      <w:r w:rsidR="004B6B4B">
        <w:rPr>
          <w:rFonts w:ascii="Times New Roman" w:hAnsi="Times New Roman"/>
          <w:sz w:val="24"/>
          <w:szCs w:val="24"/>
          <w:lang w:eastAsia="pl-PL"/>
        </w:rPr>
        <w:t xml:space="preserve"> 2010 i 2011 roku. Nie mniej jednak pomimo utrzymania koniunktury na </w:t>
      </w:r>
      <w:r w:rsidR="00613B56">
        <w:rPr>
          <w:rFonts w:ascii="Times New Roman" w:hAnsi="Times New Roman"/>
          <w:sz w:val="24"/>
          <w:szCs w:val="24"/>
          <w:lang w:eastAsia="pl-PL"/>
        </w:rPr>
        <w:t>tym rynku</w:t>
      </w:r>
      <w:r w:rsidR="004B6B4B">
        <w:rPr>
          <w:rFonts w:ascii="Times New Roman" w:hAnsi="Times New Roman"/>
          <w:sz w:val="24"/>
          <w:szCs w:val="24"/>
          <w:lang w:eastAsia="pl-PL"/>
        </w:rPr>
        <w:t xml:space="preserve"> w ostatnim roku nawet i ta zbiorowość nie osiągnęła rentowności </w:t>
      </w:r>
      <w:r w:rsidR="00613B56">
        <w:rPr>
          <w:rFonts w:ascii="Times New Roman" w:hAnsi="Times New Roman"/>
          <w:sz w:val="24"/>
          <w:szCs w:val="24"/>
          <w:lang w:eastAsia="pl-PL"/>
        </w:rPr>
        <w:t>działalności,</w:t>
      </w:r>
      <w:r w:rsidR="00213581">
        <w:rPr>
          <w:rFonts w:ascii="Times New Roman" w:hAnsi="Times New Roman"/>
          <w:sz w:val="24"/>
          <w:szCs w:val="24"/>
          <w:lang w:eastAsia="pl-PL"/>
        </w:rPr>
        <w:t xml:space="preserve"> która umożliwiła</w:t>
      </w:r>
      <w:r w:rsidR="004B6B4B">
        <w:rPr>
          <w:rFonts w:ascii="Times New Roman" w:hAnsi="Times New Roman"/>
          <w:sz w:val="24"/>
          <w:szCs w:val="24"/>
          <w:lang w:eastAsia="pl-PL"/>
        </w:rPr>
        <w:t xml:space="preserve">by ukształtowanie się indeksu tworzenia </w:t>
      </w:r>
      <w:r w:rsidR="00213581">
        <w:rPr>
          <w:rFonts w:ascii="Times New Roman" w:hAnsi="Times New Roman"/>
          <w:sz w:val="24"/>
          <w:szCs w:val="24"/>
          <w:lang w:eastAsia="pl-PL"/>
        </w:rPr>
        <w:t xml:space="preserve">wartości </w:t>
      </w:r>
      <w:r w:rsidR="004B6B4B">
        <w:rPr>
          <w:rFonts w:ascii="Times New Roman" w:hAnsi="Times New Roman"/>
          <w:sz w:val="24"/>
          <w:szCs w:val="24"/>
          <w:lang w:eastAsia="pl-PL"/>
        </w:rPr>
        <w:t xml:space="preserve"> na</w:t>
      </w:r>
      <w:r w:rsidR="00213581">
        <w:rPr>
          <w:rFonts w:ascii="Times New Roman" w:hAnsi="Times New Roman"/>
          <w:sz w:val="24"/>
          <w:szCs w:val="24"/>
          <w:lang w:eastAsia="pl-PL"/>
        </w:rPr>
        <w:t xml:space="preserve"> granicznym</w:t>
      </w:r>
      <w:r w:rsidR="004B6B4B">
        <w:rPr>
          <w:rFonts w:ascii="Times New Roman" w:hAnsi="Times New Roman"/>
          <w:sz w:val="24"/>
          <w:szCs w:val="24"/>
          <w:lang w:eastAsia="pl-PL"/>
        </w:rPr>
        <w:t xml:space="preserve"> poziomie jedności. Bardzo widoczne jest również w tej grupie spółdzielni </w:t>
      </w:r>
      <w:r w:rsidR="004B6B4B">
        <w:rPr>
          <w:rFonts w:ascii="Times New Roman" w:hAnsi="Times New Roman"/>
          <w:sz w:val="24"/>
          <w:szCs w:val="24"/>
          <w:lang w:eastAsia="pl-PL"/>
        </w:rPr>
        <w:lastRenderedPageBreak/>
        <w:t xml:space="preserve">niedostateczne efektywne gospodarowanie wolnymi środkami finansowymi, w tym szczególnie gromadzenia nadmiernej ilości </w:t>
      </w:r>
      <w:r w:rsidR="002A1C9E">
        <w:rPr>
          <w:rFonts w:ascii="Times New Roman" w:hAnsi="Times New Roman"/>
          <w:sz w:val="24"/>
          <w:szCs w:val="24"/>
          <w:lang w:eastAsia="pl-PL"/>
        </w:rPr>
        <w:t xml:space="preserve">gotówki </w:t>
      </w:r>
      <w:r w:rsidR="004B6B4B">
        <w:rPr>
          <w:rFonts w:ascii="Times New Roman" w:hAnsi="Times New Roman"/>
          <w:sz w:val="24"/>
          <w:szCs w:val="24"/>
          <w:lang w:eastAsia="pl-PL"/>
        </w:rPr>
        <w:t xml:space="preserve">na rachunkach oraz utrzymywanie wysokiego stanu należności. Takie praktyki doprowadziły do </w:t>
      </w:r>
      <w:r w:rsidR="00294760">
        <w:rPr>
          <w:rFonts w:ascii="Times New Roman" w:hAnsi="Times New Roman"/>
          <w:sz w:val="24"/>
          <w:szCs w:val="24"/>
          <w:lang w:eastAsia="pl-PL"/>
        </w:rPr>
        <w:t>występowania</w:t>
      </w:r>
      <w:r w:rsidR="004B6B4B">
        <w:rPr>
          <w:rFonts w:ascii="Times New Roman" w:hAnsi="Times New Roman"/>
          <w:sz w:val="24"/>
          <w:szCs w:val="24"/>
          <w:lang w:eastAsia="pl-PL"/>
        </w:rPr>
        <w:t xml:space="preserve"> </w:t>
      </w:r>
      <w:r w:rsidR="00613B56">
        <w:rPr>
          <w:rFonts w:ascii="Times New Roman" w:hAnsi="Times New Roman"/>
          <w:sz w:val="24"/>
          <w:szCs w:val="24"/>
          <w:lang w:eastAsia="pl-PL"/>
        </w:rPr>
        <w:t xml:space="preserve">najwyższego w całej zbiorowości </w:t>
      </w:r>
      <w:r w:rsidR="00294760">
        <w:rPr>
          <w:rFonts w:ascii="Times New Roman" w:hAnsi="Times New Roman"/>
          <w:sz w:val="24"/>
          <w:szCs w:val="24"/>
          <w:lang w:eastAsia="pl-PL"/>
        </w:rPr>
        <w:t>zjawiska nad</w:t>
      </w:r>
      <w:r w:rsidR="002A1C9E">
        <w:rPr>
          <w:rFonts w:ascii="Times New Roman" w:hAnsi="Times New Roman"/>
          <w:sz w:val="24"/>
          <w:szCs w:val="24"/>
          <w:lang w:eastAsia="pl-PL"/>
        </w:rPr>
        <w:t>płynności</w:t>
      </w:r>
      <w:r w:rsidR="00613B56">
        <w:rPr>
          <w:rFonts w:ascii="Times New Roman" w:hAnsi="Times New Roman"/>
          <w:sz w:val="24"/>
          <w:szCs w:val="24"/>
          <w:lang w:eastAsia="pl-PL"/>
        </w:rPr>
        <w:t xml:space="preserve">. </w:t>
      </w:r>
      <w:r w:rsidR="002A1C9E">
        <w:rPr>
          <w:rFonts w:ascii="Times New Roman" w:hAnsi="Times New Roman"/>
          <w:sz w:val="24"/>
          <w:szCs w:val="24"/>
          <w:lang w:eastAsia="pl-PL"/>
        </w:rPr>
        <w:t>Ograniczenie tej strategii</w:t>
      </w:r>
      <w:r w:rsidR="004B6B4B">
        <w:rPr>
          <w:rFonts w:ascii="Times New Roman" w:hAnsi="Times New Roman"/>
          <w:sz w:val="24"/>
          <w:szCs w:val="24"/>
          <w:lang w:eastAsia="pl-PL"/>
        </w:rPr>
        <w:t xml:space="preserve"> stanowi z pewnością </w:t>
      </w:r>
      <w:r w:rsidR="00613B56">
        <w:rPr>
          <w:rFonts w:ascii="Times New Roman" w:hAnsi="Times New Roman"/>
          <w:sz w:val="24"/>
          <w:szCs w:val="24"/>
          <w:lang w:eastAsia="pl-PL"/>
        </w:rPr>
        <w:t>klucz</w:t>
      </w:r>
      <w:r w:rsidR="004B6B4B">
        <w:rPr>
          <w:rFonts w:ascii="Times New Roman" w:hAnsi="Times New Roman"/>
          <w:sz w:val="24"/>
          <w:szCs w:val="24"/>
          <w:lang w:eastAsia="pl-PL"/>
        </w:rPr>
        <w:t xml:space="preserve"> do poprawy efektywno</w:t>
      </w:r>
      <w:r w:rsidR="00613B56">
        <w:rPr>
          <w:rFonts w:ascii="Times New Roman" w:hAnsi="Times New Roman"/>
          <w:sz w:val="24"/>
          <w:szCs w:val="24"/>
          <w:lang w:eastAsia="pl-PL"/>
        </w:rPr>
        <w:t>ści w przyszłości. Wydaj</w:t>
      </w:r>
      <w:r w:rsidR="002A1C9E">
        <w:rPr>
          <w:rFonts w:ascii="Times New Roman" w:hAnsi="Times New Roman"/>
          <w:sz w:val="24"/>
          <w:szCs w:val="24"/>
          <w:lang w:eastAsia="pl-PL"/>
        </w:rPr>
        <w:t>e</w:t>
      </w:r>
      <w:r w:rsidR="00613B56">
        <w:rPr>
          <w:rFonts w:ascii="Times New Roman" w:hAnsi="Times New Roman"/>
          <w:sz w:val="24"/>
          <w:szCs w:val="24"/>
          <w:lang w:eastAsia="pl-PL"/>
        </w:rPr>
        <w:t xml:space="preserve"> się jednak</w:t>
      </w:r>
      <w:r w:rsidR="002A1C9E">
        <w:rPr>
          <w:rFonts w:ascii="Times New Roman" w:hAnsi="Times New Roman"/>
          <w:sz w:val="24"/>
          <w:szCs w:val="24"/>
          <w:lang w:eastAsia="pl-PL"/>
        </w:rPr>
        <w:t>,</w:t>
      </w:r>
      <w:r w:rsidR="00613B56">
        <w:rPr>
          <w:rFonts w:ascii="Times New Roman" w:hAnsi="Times New Roman"/>
          <w:sz w:val="24"/>
          <w:szCs w:val="24"/>
          <w:lang w:eastAsia="pl-PL"/>
        </w:rPr>
        <w:t xml:space="preserve"> że kondycja</w:t>
      </w:r>
      <w:r w:rsidR="002A1C9E">
        <w:rPr>
          <w:rFonts w:ascii="Times New Roman" w:hAnsi="Times New Roman"/>
          <w:sz w:val="24"/>
          <w:szCs w:val="24"/>
          <w:lang w:eastAsia="pl-PL"/>
        </w:rPr>
        <w:t xml:space="preserve"> tej właśnie grupy</w:t>
      </w:r>
      <w:r w:rsidR="00613B56">
        <w:rPr>
          <w:rFonts w:ascii="Times New Roman" w:hAnsi="Times New Roman"/>
          <w:sz w:val="24"/>
          <w:szCs w:val="24"/>
          <w:lang w:eastAsia="pl-PL"/>
        </w:rPr>
        <w:t xml:space="preserve"> spółdzielni dalej jednak zdecydowanie bardziej zależeć będzie od kształtowania się sytuacji na rynku zbóż w </w:t>
      </w:r>
      <w:r w:rsidR="00213581">
        <w:rPr>
          <w:rFonts w:ascii="Times New Roman" w:hAnsi="Times New Roman"/>
          <w:sz w:val="24"/>
          <w:szCs w:val="24"/>
          <w:lang w:eastAsia="pl-PL"/>
        </w:rPr>
        <w:t>najbliższych latach</w:t>
      </w:r>
      <w:r w:rsidR="00613B56">
        <w:rPr>
          <w:rFonts w:ascii="Times New Roman" w:hAnsi="Times New Roman"/>
          <w:sz w:val="24"/>
          <w:szCs w:val="24"/>
          <w:lang w:eastAsia="pl-PL"/>
        </w:rPr>
        <w:t>.</w:t>
      </w:r>
    </w:p>
    <w:p w:rsidR="006D51E9" w:rsidRPr="00995BD7" w:rsidRDefault="006D51E9" w:rsidP="006D51E9">
      <w:pPr>
        <w:spacing w:line="360" w:lineRule="auto"/>
        <w:ind w:left="360"/>
        <w:jc w:val="both"/>
        <w:rPr>
          <w:rFonts w:ascii="Times New Roman" w:hAnsi="Times New Roman"/>
          <w:b/>
          <w:sz w:val="24"/>
          <w:szCs w:val="24"/>
        </w:rPr>
      </w:pPr>
      <w:r w:rsidRPr="00995BD7">
        <w:rPr>
          <w:rFonts w:ascii="Times New Roman" w:hAnsi="Times New Roman"/>
          <w:position w:val="-10"/>
          <w:sz w:val="24"/>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9pt;height:3.95pt" o:ole="">
            <v:imagedata r:id="rId12" o:title=""/>
          </v:shape>
          <o:OLEObject Type="Embed" ProgID="Equation.3" ShapeID="_x0000_i1025" DrawAspect="Content" ObjectID="_1418718012" r:id="rId13"/>
        </w:object>
      </w:r>
      <w:r w:rsidRPr="00995BD7">
        <w:rPr>
          <w:rFonts w:ascii="Times New Roman" w:hAnsi="Times New Roman"/>
          <w:b/>
        </w:rPr>
        <w:t xml:space="preserve"> </w:t>
      </w:r>
      <w:r w:rsidRPr="00995BD7">
        <w:rPr>
          <w:rFonts w:ascii="Times New Roman" w:hAnsi="Times New Roman"/>
          <w:b/>
          <w:sz w:val="24"/>
          <w:szCs w:val="24"/>
        </w:rPr>
        <w:t>Jak powstał ranking?</w:t>
      </w:r>
    </w:p>
    <w:p w:rsidR="006D51E9" w:rsidRPr="009552CB" w:rsidRDefault="006D51E9" w:rsidP="009D120E">
      <w:pPr>
        <w:jc w:val="both"/>
        <w:rPr>
          <w:rFonts w:ascii="Times New Roman" w:hAnsi="Times New Roman"/>
          <w:sz w:val="24"/>
          <w:szCs w:val="24"/>
        </w:rPr>
      </w:pPr>
      <w:r w:rsidRPr="009552CB">
        <w:rPr>
          <w:rFonts w:ascii="Times New Roman" w:hAnsi="Times New Roman"/>
          <w:sz w:val="24"/>
          <w:szCs w:val="24"/>
        </w:rPr>
        <w:tab/>
        <w:t>Do sporządzenia rankingu wykorzystano opracowaną w Instytucie ankietę. Formularze ankiet przesłano pocztą do poszczególnych spółdzielni. Na ogół ankietę wypełniano w dziale księgowości spółdzielni. Odbywało się to poprzez przeniesienie danych liczbowych z odpowiednich pozycji sprawozdań finansowych GUS do kwestionariusza ankiety. Jedynie niewielki zakres informacji statystycznych pochodził bezpośrednio z ewidencji księgowej. Następnie dane źródłowe zawarte w ankietach poddano w IERiGŻ - PIB wielostopniowej weryfikacji. Dane budzące wątpliwości konsultowano telefonicznie z pracownikami spółdzielni. Dotyczyły one przede wszystkim dużej niejednorodności podawania informacji, głównie o należnych za 201</w:t>
      </w:r>
      <w:r w:rsidR="009D120E">
        <w:rPr>
          <w:rFonts w:ascii="Times New Roman" w:hAnsi="Times New Roman"/>
          <w:sz w:val="24"/>
          <w:szCs w:val="24"/>
        </w:rPr>
        <w:t>1</w:t>
      </w:r>
      <w:r w:rsidRPr="009552CB">
        <w:rPr>
          <w:rFonts w:ascii="Times New Roman" w:hAnsi="Times New Roman"/>
          <w:sz w:val="24"/>
          <w:szCs w:val="24"/>
        </w:rPr>
        <w:t xml:space="preserve"> rok dopłatach bezpośrednich i innych formach wsparcia budżetowego. Ujednolicenie sposobu zapisu danych wymagało bardzo dużego nakładu pracy zespołu przygotowującego ranking. W </w:t>
      </w:r>
      <w:r>
        <w:rPr>
          <w:rFonts w:ascii="Times New Roman" w:hAnsi="Times New Roman"/>
          <w:sz w:val="24"/>
          <w:szCs w:val="24"/>
        </w:rPr>
        <w:t>zamian otrzymano bardzo solidną</w:t>
      </w:r>
      <w:r w:rsidRPr="009552CB">
        <w:rPr>
          <w:rFonts w:ascii="Times New Roman" w:hAnsi="Times New Roman"/>
          <w:sz w:val="24"/>
          <w:szCs w:val="24"/>
        </w:rPr>
        <w:t xml:space="preserve"> i porównywalną bazę danych. W ten sposób zabezpieczono wysoki poziom wiarygodności otrzymanych materiałów wykorzystanych do sporządzenia rankingu.</w:t>
      </w:r>
    </w:p>
    <w:p w:rsidR="006D51E9" w:rsidRPr="009552CB" w:rsidRDefault="006D51E9" w:rsidP="009D120E">
      <w:pPr>
        <w:jc w:val="both"/>
        <w:rPr>
          <w:rFonts w:ascii="Times New Roman" w:hAnsi="Times New Roman"/>
          <w:sz w:val="24"/>
          <w:szCs w:val="24"/>
        </w:rPr>
      </w:pPr>
      <w:r w:rsidRPr="009552CB">
        <w:rPr>
          <w:rFonts w:ascii="Times New Roman" w:hAnsi="Times New Roman"/>
          <w:sz w:val="24"/>
          <w:szCs w:val="24"/>
        </w:rPr>
        <w:tab/>
        <w:t xml:space="preserve">Zaprezentowany w rankingu spółdzielczym zestaw wskaźników i mierników jest zbliżony do zastosowanego w rankingu 300 najlepszych przedsiębiorstw rolniczych kraju, głównie popegeerowskich. Jedynie trzy z nich są odmienne, gdyż opracowano je na bazie wypracowanego dochodu ogólnego, kategorii ekonomicznej specyficznej dla formy spółdzielczej. Należą do nich wskaźniki i jeden miernik: dochodowości pracy członków spółdzielni, dochodowości działalności gospodarczej i dochód ogólny w przeliczeniu na spółdzielnię. W ten sposób uzyskano możliwość porównań między tymi formami gospodarowania i to zarówno w odniesieniu do pojedynczych przedsiębiorstw, wskaźników, jak i w zestawieniach zbiorczych. Jednocześnie przedstawiony zestaw wskaźników w miarę wiernie odzwierciedla położenie majątkowe i finansowe oraz efektywność działalności spółdzielni. Wskaźniki te mogą więc zaspokoić </w:t>
      </w:r>
      <w:r>
        <w:rPr>
          <w:rFonts w:ascii="Times New Roman" w:hAnsi="Times New Roman"/>
          <w:sz w:val="24"/>
          <w:szCs w:val="24"/>
        </w:rPr>
        <w:t xml:space="preserve">również </w:t>
      </w:r>
      <w:r w:rsidRPr="009552CB">
        <w:rPr>
          <w:rFonts w:ascii="Times New Roman" w:hAnsi="Times New Roman"/>
          <w:sz w:val="24"/>
          <w:szCs w:val="24"/>
        </w:rPr>
        <w:t xml:space="preserve">potrzeby informacyjne szerokiego kręgu instytucji potencjalnie zainteresowanych perspektywami rozwoju spółdzielni. </w:t>
      </w:r>
    </w:p>
    <w:p w:rsidR="006D51E9" w:rsidRPr="009552CB" w:rsidRDefault="006D51E9" w:rsidP="009D120E">
      <w:pPr>
        <w:jc w:val="both"/>
        <w:rPr>
          <w:rFonts w:ascii="Times New Roman" w:hAnsi="Times New Roman"/>
          <w:sz w:val="24"/>
          <w:szCs w:val="24"/>
        </w:rPr>
      </w:pPr>
      <w:r w:rsidRPr="009552CB">
        <w:rPr>
          <w:rFonts w:ascii="Times New Roman" w:hAnsi="Times New Roman"/>
          <w:sz w:val="24"/>
          <w:szCs w:val="24"/>
        </w:rPr>
        <w:tab/>
        <w:t>Do relacji poszukiwanych przez otoczenie można zaliczyć wskaźniki: wartości dodanej, dochodowości i wydajno</w:t>
      </w:r>
      <w:r>
        <w:rPr>
          <w:rFonts w:ascii="Times New Roman" w:hAnsi="Times New Roman"/>
          <w:sz w:val="24"/>
          <w:szCs w:val="24"/>
        </w:rPr>
        <w:t>ści pracy, płynności finansowej</w:t>
      </w:r>
      <w:r w:rsidRPr="009552CB">
        <w:rPr>
          <w:rFonts w:ascii="Times New Roman" w:hAnsi="Times New Roman"/>
          <w:sz w:val="24"/>
          <w:szCs w:val="24"/>
        </w:rPr>
        <w:t xml:space="preserve"> czy też tworzenia wartości oraz poziomu zatrudnienia. Z drugiej strony, w zestawie wskaźników i mierników znajdują się podstawowe oceny o charakterze mikroekonomicznym, które stanowić powinny przedmiot zainteresowania przede wszystkim spółdzielców i ich menedżerów, jak również bezpośrednich partnerów rynkowych.</w:t>
      </w:r>
    </w:p>
    <w:p w:rsidR="006D51E9" w:rsidRPr="009552CB" w:rsidRDefault="006D51E9" w:rsidP="009D120E">
      <w:pPr>
        <w:jc w:val="both"/>
        <w:rPr>
          <w:rFonts w:ascii="Times New Roman" w:hAnsi="Times New Roman"/>
          <w:sz w:val="24"/>
          <w:szCs w:val="24"/>
        </w:rPr>
      </w:pPr>
      <w:r w:rsidRPr="009552CB">
        <w:rPr>
          <w:rFonts w:ascii="Times New Roman" w:hAnsi="Times New Roman"/>
          <w:sz w:val="24"/>
          <w:szCs w:val="24"/>
        </w:rPr>
        <w:lastRenderedPageBreak/>
        <w:tab/>
        <w:t>Zdecydowana większość mierników i wskaźników odnosi się do sfery najbardziej syntetycznych kategorii ekonomiczno-finansowych. Natomiast ranking nie zawiera wskaźników techniczno-produkcyjnych. Nie umożliwia pokazania osiągnięć w zakresie wydajności jednostkowych zwierząt lub plonów roślin. Wydajności te często są na bardzo wysokim poziomie, ale nie zawsze przekładają się pozytywnie na dobre efekty finansowe typu do</w:t>
      </w:r>
      <w:r>
        <w:rPr>
          <w:rFonts w:ascii="Times New Roman" w:hAnsi="Times New Roman"/>
          <w:sz w:val="24"/>
          <w:szCs w:val="24"/>
        </w:rPr>
        <w:t>chód, zysk</w:t>
      </w:r>
      <w:r w:rsidRPr="009552CB">
        <w:rPr>
          <w:rFonts w:ascii="Times New Roman" w:hAnsi="Times New Roman"/>
          <w:sz w:val="24"/>
          <w:szCs w:val="24"/>
        </w:rPr>
        <w:t xml:space="preserve"> czy też dochodowość lub rentowność.</w:t>
      </w:r>
    </w:p>
    <w:p w:rsidR="006D51E9" w:rsidRPr="009552CB" w:rsidRDefault="006D51E9" w:rsidP="009D120E">
      <w:pPr>
        <w:jc w:val="both"/>
        <w:rPr>
          <w:rFonts w:ascii="Times New Roman" w:hAnsi="Times New Roman"/>
          <w:sz w:val="24"/>
          <w:szCs w:val="24"/>
        </w:rPr>
      </w:pPr>
      <w:r w:rsidRPr="009552CB">
        <w:rPr>
          <w:rFonts w:ascii="Times New Roman" w:hAnsi="Times New Roman"/>
          <w:sz w:val="24"/>
          <w:szCs w:val="24"/>
        </w:rPr>
        <w:tab/>
        <w:t xml:space="preserve">Ranking zawiera zestawienie 100 najlepszych rolniczych spółdzielni pod względem sytuacji ekonomicznej. Spółdzielnie uporządkowane zostały metodą </w:t>
      </w:r>
      <w:proofErr w:type="spellStart"/>
      <w:r w:rsidRPr="009552CB">
        <w:rPr>
          <w:rFonts w:ascii="Times New Roman" w:hAnsi="Times New Roman"/>
          <w:sz w:val="24"/>
          <w:szCs w:val="24"/>
        </w:rPr>
        <w:t>rangowania</w:t>
      </w:r>
      <w:proofErr w:type="spellEnd"/>
      <w:r w:rsidRPr="009552CB">
        <w:rPr>
          <w:rFonts w:ascii="Times New Roman" w:hAnsi="Times New Roman"/>
          <w:sz w:val="24"/>
          <w:szCs w:val="24"/>
        </w:rPr>
        <w:t>, a więc jedną z najprostszych metod syntetycznej oceny pozycji jednostek na tle badanej zbiorowości. Metoda ta sprowadza się do kolejnego porządkowania obiektów według wybranych cech i zsumowania zajmowanych pozycji dla poszczególnych sortowań. Najniższa wartość uzyskanej sumy pozycji w badanej zbiorowości wskazuje na najlepszą sytuację jednostki, zaś najwyższa oznacza sytuację najgorszą.</w:t>
      </w:r>
    </w:p>
    <w:p w:rsidR="006D51E9" w:rsidRPr="009552CB" w:rsidRDefault="006D51E9" w:rsidP="009D120E">
      <w:pPr>
        <w:jc w:val="both"/>
        <w:rPr>
          <w:rFonts w:ascii="Times New Roman" w:hAnsi="Times New Roman"/>
          <w:sz w:val="24"/>
          <w:szCs w:val="24"/>
        </w:rPr>
      </w:pPr>
      <w:r w:rsidRPr="009552CB">
        <w:rPr>
          <w:rFonts w:ascii="Times New Roman" w:hAnsi="Times New Roman"/>
          <w:sz w:val="24"/>
          <w:szCs w:val="24"/>
        </w:rPr>
        <w:tab/>
        <w:t>Do sporządzenia listy 100 najlepszych spółdzielni przyjęliśmy pięć cech. Kryterium sortowań były cztery wskaźniki, tj. dochodowość pracy, dochodowość działalności gospodarczej, wydajność pracy i indeks tworzenia wart</w:t>
      </w:r>
      <w:r>
        <w:rPr>
          <w:rFonts w:ascii="Times New Roman" w:hAnsi="Times New Roman"/>
          <w:sz w:val="24"/>
          <w:szCs w:val="24"/>
        </w:rPr>
        <w:t>ości oraz jeden miernik -</w:t>
      </w:r>
      <w:r w:rsidRPr="009552CB">
        <w:rPr>
          <w:rFonts w:ascii="Times New Roman" w:hAnsi="Times New Roman"/>
          <w:sz w:val="24"/>
          <w:szCs w:val="24"/>
        </w:rPr>
        <w:t xml:space="preserve"> przychody ogółem na spółdzielnię.</w:t>
      </w:r>
    </w:p>
    <w:p w:rsidR="006D51E9" w:rsidRPr="009552CB" w:rsidRDefault="006D51E9" w:rsidP="009D120E">
      <w:pPr>
        <w:jc w:val="both"/>
        <w:rPr>
          <w:rFonts w:ascii="Times New Roman" w:hAnsi="Times New Roman"/>
          <w:sz w:val="24"/>
          <w:szCs w:val="24"/>
        </w:rPr>
      </w:pPr>
      <w:r w:rsidRPr="009552CB">
        <w:rPr>
          <w:rFonts w:ascii="Times New Roman" w:hAnsi="Times New Roman"/>
          <w:sz w:val="24"/>
          <w:szCs w:val="24"/>
        </w:rPr>
        <w:tab/>
        <w:t>Wybrane kryteria dla oceny sytuacji ekonomicznej spółdzielni uznaliśmy za najważniejsze, gdyż najlepiej odzwierciedlają możliwości zaspokajania potrzeb członków (wskaźniki dochodowości)</w:t>
      </w:r>
      <w:r>
        <w:rPr>
          <w:rFonts w:ascii="Times New Roman" w:hAnsi="Times New Roman"/>
          <w:sz w:val="24"/>
          <w:szCs w:val="24"/>
        </w:rPr>
        <w:t>,</w:t>
      </w:r>
      <w:r w:rsidRPr="009552CB">
        <w:rPr>
          <w:rFonts w:ascii="Times New Roman" w:hAnsi="Times New Roman"/>
          <w:sz w:val="24"/>
          <w:szCs w:val="24"/>
        </w:rPr>
        <w:t xml:space="preserve"> jak i szanse dalszego rozwoju gospodarstw spółdzielczych (indeks tworzenia wartości, wskaźnik wydajności pracy, wielkość przychodów ogółem). Wyższe wartości wybranych wskaźników i miernika uznaliśmy za korzystne w ocenie spółdzielni, a spółdzielnia z najwyższą wartością zajmowała pierwszą pozycję w wybranym kryterium.</w:t>
      </w:r>
    </w:p>
    <w:p w:rsidR="006D51E9" w:rsidRPr="009552CB" w:rsidRDefault="006D51E9" w:rsidP="009D120E">
      <w:pPr>
        <w:jc w:val="both"/>
        <w:rPr>
          <w:rFonts w:ascii="Times New Roman" w:hAnsi="Times New Roman"/>
          <w:sz w:val="24"/>
          <w:szCs w:val="24"/>
        </w:rPr>
      </w:pPr>
      <w:r w:rsidRPr="009552CB">
        <w:rPr>
          <w:rFonts w:ascii="Times New Roman" w:hAnsi="Times New Roman"/>
          <w:sz w:val="24"/>
          <w:szCs w:val="24"/>
        </w:rPr>
        <w:tab/>
        <w:t>Ranking umożliwia również sporządzenie klasyfikacji spółdzielni (</w:t>
      </w:r>
      <w:proofErr w:type="spellStart"/>
      <w:r w:rsidRPr="009552CB">
        <w:rPr>
          <w:rFonts w:ascii="Times New Roman" w:hAnsi="Times New Roman"/>
          <w:sz w:val="24"/>
          <w:szCs w:val="24"/>
        </w:rPr>
        <w:t>podrankingu</w:t>
      </w:r>
      <w:proofErr w:type="spellEnd"/>
      <w:r w:rsidRPr="009552CB">
        <w:rPr>
          <w:rFonts w:ascii="Times New Roman" w:hAnsi="Times New Roman"/>
          <w:sz w:val="24"/>
          <w:szCs w:val="24"/>
        </w:rPr>
        <w:t>) w zależności od ukierunkowania produkcyjnego, a więc roślinnego, zwierzęcego i wielostronnego.</w:t>
      </w:r>
    </w:p>
    <w:p w:rsidR="006D51E9" w:rsidRPr="009552CB" w:rsidRDefault="006D51E9" w:rsidP="006D51E9">
      <w:pPr>
        <w:spacing w:line="360" w:lineRule="auto"/>
        <w:jc w:val="both"/>
        <w:rPr>
          <w:rFonts w:ascii="Times New Roman" w:hAnsi="Times New Roman"/>
          <w:b/>
          <w:sz w:val="24"/>
          <w:szCs w:val="24"/>
        </w:rPr>
      </w:pPr>
      <w:r w:rsidRPr="009552CB">
        <w:rPr>
          <w:rFonts w:ascii="Times New Roman" w:hAnsi="Times New Roman"/>
          <w:sz w:val="24"/>
          <w:szCs w:val="24"/>
        </w:rPr>
        <w:tab/>
      </w:r>
      <w:r w:rsidRPr="009552CB">
        <w:rPr>
          <w:rFonts w:ascii="Times New Roman" w:hAnsi="Times New Roman"/>
          <w:b/>
          <w:sz w:val="24"/>
          <w:szCs w:val="24"/>
        </w:rPr>
        <w:t>Uwagi organizacyjne</w:t>
      </w:r>
    </w:p>
    <w:p w:rsidR="006D51E9" w:rsidRPr="009552CB" w:rsidRDefault="006D51E9" w:rsidP="009D120E">
      <w:pPr>
        <w:jc w:val="both"/>
        <w:rPr>
          <w:rFonts w:ascii="Times New Roman" w:hAnsi="Times New Roman"/>
          <w:sz w:val="24"/>
          <w:szCs w:val="24"/>
        </w:rPr>
      </w:pPr>
      <w:r w:rsidRPr="009552CB">
        <w:rPr>
          <w:rFonts w:ascii="Times New Roman" w:hAnsi="Times New Roman"/>
          <w:sz w:val="24"/>
          <w:szCs w:val="24"/>
        </w:rPr>
        <w:tab/>
        <w:t>W odróżnieniu od lat poprzednich, w ostatnim roku badaniami rankingowymi objęto praktycznie całą zbiorowość rolniczych spółdzielni produkcyjnych. Ankietę wysłano bowiem do 6</w:t>
      </w:r>
      <w:r w:rsidR="009D120E">
        <w:rPr>
          <w:rFonts w:ascii="Times New Roman" w:hAnsi="Times New Roman"/>
          <w:sz w:val="24"/>
          <w:szCs w:val="24"/>
        </w:rPr>
        <w:t>32</w:t>
      </w:r>
      <w:r w:rsidRPr="009552CB">
        <w:rPr>
          <w:rFonts w:ascii="Times New Roman" w:hAnsi="Times New Roman"/>
          <w:sz w:val="24"/>
          <w:szCs w:val="24"/>
        </w:rPr>
        <w:t xml:space="preserve"> spółdzielni. Zwrot wypełnionych formularzy ankiet otrzymano ze </w:t>
      </w:r>
      <w:r w:rsidR="009D120E">
        <w:rPr>
          <w:rFonts w:ascii="Times New Roman" w:hAnsi="Times New Roman"/>
          <w:sz w:val="24"/>
          <w:szCs w:val="24"/>
        </w:rPr>
        <w:t>124</w:t>
      </w:r>
      <w:r w:rsidRPr="009552CB">
        <w:rPr>
          <w:rFonts w:ascii="Times New Roman" w:hAnsi="Times New Roman"/>
          <w:sz w:val="24"/>
          <w:szCs w:val="24"/>
        </w:rPr>
        <w:t xml:space="preserve"> RSP (</w:t>
      </w:r>
      <w:r w:rsidR="009D120E">
        <w:rPr>
          <w:rFonts w:ascii="Times New Roman" w:hAnsi="Times New Roman"/>
          <w:sz w:val="24"/>
          <w:szCs w:val="24"/>
        </w:rPr>
        <w:t>20</w:t>
      </w:r>
      <w:r w:rsidRPr="009552CB">
        <w:rPr>
          <w:rFonts w:ascii="Times New Roman" w:hAnsi="Times New Roman"/>
          <w:sz w:val="24"/>
          <w:szCs w:val="24"/>
        </w:rPr>
        <w:t xml:space="preserve">% wysłanych), w tym </w:t>
      </w:r>
      <w:r w:rsidR="009D120E">
        <w:rPr>
          <w:rFonts w:ascii="Times New Roman" w:hAnsi="Times New Roman"/>
          <w:sz w:val="24"/>
          <w:szCs w:val="24"/>
        </w:rPr>
        <w:t>84</w:t>
      </w:r>
      <w:r w:rsidRPr="009552CB">
        <w:rPr>
          <w:rFonts w:ascii="Times New Roman" w:hAnsi="Times New Roman"/>
          <w:b/>
          <w:i/>
          <w:sz w:val="24"/>
          <w:szCs w:val="24"/>
        </w:rPr>
        <w:t xml:space="preserve"> </w:t>
      </w:r>
      <w:r w:rsidRPr="009552CB">
        <w:rPr>
          <w:rFonts w:ascii="Times New Roman" w:hAnsi="Times New Roman"/>
          <w:sz w:val="24"/>
          <w:szCs w:val="24"/>
        </w:rPr>
        <w:t>formularzy ankiet od spółdzielni biorących udział w rankingu za 20</w:t>
      </w:r>
      <w:r w:rsidR="009D120E">
        <w:rPr>
          <w:rFonts w:ascii="Times New Roman" w:hAnsi="Times New Roman"/>
          <w:sz w:val="24"/>
          <w:szCs w:val="24"/>
        </w:rPr>
        <w:t>09 i 2010</w:t>
      </w:r>
      <w:r w:rsidRPr="009552CB">
        <w:rPr>
          <w:rFonts w:ascii="Times New Roman" w:hAnsi="Times New Roman"/>
          <w:sz w:val="24"/>
          <w:szCs w:val="24"/>
        </w:rPr>
        <w:t xml:space="preserve"> rok </w:t>
      </w:r>
      <w:r w:rsidR="009D120E">
        <w:rPr>
          <w:rFonts w:ascii="Times New Roman" w:hAnsi="Times New Roman"/>
          <w:sz w:val="24"/>
          <w:szCs w:val="24"/>
        </w:rPr>
        <w:t>(tj. 68</w:t>
      </w:r>
      <w:r w:rsidRPr="009552CB">
        <w:rPr>
          <w:rFonts w:ascii="Times New Roman" w:hAnsi="Times New Roman"/>
          <w:sz w:val="24"/>
          <w:szCs w:val="24"/>
        </w:rPr>
        <w:t xml:space="preserve">%). Przetwarzaniu statystycznemu poddano </w:t>
      </w:r>
      <w:r w:rsidR="009D120E">
        <w:rPr>
          <w:rFonts w:ascii="Times New Roman" w:hAnsi="Times New Roman"/>
          <w:sz w:val="24"/>
          <w:szCs w:val="24"/>
        </w:rPr>
        <w:t>wszystkie 124</w:t>
      </w:r>
      <w:r w:rsidR="00213581">
        <w:rPr>
          <w:rFonts w:ascii="Times New Roman" w:hAnsi="Times New Roman"/>
          <w:sz w:val="24"/>
          <w:szCs w:val="24"/>
        </w:rPr>
        <w:t xml:space="preserve"> formularze</w:t>
      </w:r>
      <w:r w:rsidRPr="009552CB">
        <w:rPr>
          <w:rFonts w:ascii="Times New Roman" w:hAnsi="Times New Roman"/>
          <w:sz w:val="24"/>
          <w:szCs w:val="24"/>
        </w:rPr>
        <w:t xml:space="preserve"> ankiet, a ich zawartość wykorzystano do opracowania średnich wartości dla całej badanej zbiorowości spółdzielni oraz wydzielonych podgrup, co umożliwiło dokonanie krótkiej analizy</w:t>
      </w:r>
      <w:r>
        <w:rPr>
          <w:rFonts w:ascii="Times New Roman" w:hAnsi="Times New Roman"/>
          <w:sz w:val="24"/>
          <w:szCs w:val="24"/>
        </w:rPr>
        <w:t xml:space="preserve"> wyników</w:t>
      </w:r>
      <w:r w:rsidRPr="009552CB">
        <w:rPr>
          <w:rFonts w:ascii="Times New Roman" w:hAnsi="Times New Roman"/>
          <w:sz w:val="24"/>
          <w:szCs w:val="24"/>
        </w:rPr>
        <w:t xml:space="preserve"> ich działalności.</w:t>
      </w:r>
    </w:p>
    <w:p w:rsidR="006D51E9" w:rsidRPr="004E1437" w:rsidRDefault="006D51E9" w:rsidP="009D120E">
      <w:pPr>
        <w:jc w:val="both"/>
        <w:rPr>
          <w:rFonts w:ascii="Times New Roman" w:hAnsi="Times New Roman"/>
          <w:sz w:val="24"/>
          <w:szCs w:val="24"/>
        </w:rPr>
      </w:pPr>
      <w:r w:rsidRPr="009552CB">
        <w:rPr>
          <w:rFonts w:ascii="Times New Roman" w:hAnsi="Times New Roman"/>
          <w:sz w:val="24"/>
          <w:szCs w:val="24"/>
        </w:rPr>
        <w:tab/>
        <w:t>Udziałem w rankingu bardziej były zainteresowane spółdzielnie silniejsze ekonomicznie, ale nie wszystkie. Podobnie jak w latach wcześniejszych, część z nich nie wzięła w nim udziału. Ranking za 201</w:t>
      </w:r>
      <w:r w:rsidR="00213581">
        <w:rPr>
          <w:rFonts w:ascii="Times New Roman" w:hAnsi="Times New Roman"/>
          <w:sz w:val="24"/>
          <w:szCs w:val="24"/>
        </w:rPr>
        <w:t>1</w:t>
      </w:r>
      <w:r w:rsidRPr="009552CB">
        <w:rPr>
          <w:rFonts w:ascii="Times New Roman" w:hAnsi="Times New Roman"/>
          <w:sz w:val="24"/>
          <w:szCs w:val="24"/>
        </w:rPr>
        <w:t xml:space="preserve"> r. obejmuje więc również tylko część najlepszych </w:t>
      </w:r>
      <w:r w:rsidRPr="009552CB">
        <w:rPr>
          <w:rFonts w:ascii="Times New Roman" w:hAnsi="Times New Roman"/>
          <w:sz w:val="24"/>
          <w:szCs w:val="24"/>
        </w:rPr>
        <w:lastRenderedPageBreak/>
        <w:t xml:space="preserve">spółdzielni w kraju. Nadal oczekujemy </w:t>
      </w:r>
      <w:r>
        <w:rPr>
          <w:rFonts w:ascii="Times New Roman" w:hAnsi="Times New Roman"/>
          <w:sz w:val="24"/>
          <w:szCs w:val="24"/>
        </w:rPr>
        <w:t>zatem jeszcze</w:t>
      </w:r>
      <w:r w:rsidRPr="009552CB">
        <w:rPr>
          <w:rFonts w:ascii="Times New Roman" w:hAnsi="Times New Roman"/>
          <w:sz w:val="24"/>
          <w:szCs w:val="24"/>
        </w:rPr>
        <w:t xml:space="preserve"> większego zainteresowania spółdzielców udziałem w następnych edycjach rankingu.</w:t>
      </w:r>
      <w:r w:rsidRPr="009552CB">
        <w:rPr>
          <w:rFonts w:ascii="Times New Roman" w:hAnsi="Times New Roman"/>
        </w:rPr>
        <w:t xml:space="preserve"> </w:t>
      </w:r>
    </w:p>
    <w:p w:rsidR="006D51E9" w:rsidRPr="004E1437" w:rsidRDefault="006D51E9" w:rsidP="006D51E9">
      <w:pPr>
        <w:pStyle w:val="Nagwek1"/>
        <w:rPr>
          <w:rFonts w:ascii="Times New Roman" w:hAnsi="Times New Roman"/>
          <w:sz w:val="24"/>
          <w:szCs w:val="24"/>
        </w:rPr>
      </w:pPr>
      <w:r w:rsidRPr="004E1437">
        <w:rPr>
          <w:rFonts w:ascii="Times New Roman" w:hAnsi="Times New Roman"/>
          <w:sz w:val="24"/>
          <w:szCs w:val="24"/>
        </w:rPr>
        <w:t>WYJAŚNIENIA I DEFINICJE</w:t>
      </w:r>
    </w:p>
    <w:p w:rsidR="006D51E9" w:rsidRPr="009552CB" w:rsidRDefault="00931D2B" w:rsidP="006D51E9">
      <w:pPr>
        <w:spacing w:line="360" w:lineRule="auto"/>
        <w:jc w:val="both"/>
        <w:rPr>
          <w:rFonts w:ascii="Times New Roman" w:hAnsi="Times New Roman"/>
          <w:spacing w:val="-4"/>
          <w:sz w:val="24"/>
          <w:szCs w:val="24"/>
        </w:rPr>
      </w:pPr>
      <w:r>
        <w:rPr>
          <w:rFonts w:ascii="Times New Roman" w:hAnsi="Times New Roman"/>
          <w:b/>
          <w:spacing w:val="-4"/>
          <w:sz w:val="24"/>
          <w:szCs w:val="24"/>
        </w:rPr>
        <w:t>Poz. 2011</w:t>
      </w:r>
      <w:r w:rsidR="006D51E9" w:rsidRPr="009552CB">
        <w:rPr>
          <w:rFonts w:ascii="Times New Roman" w:hAnsi="Times New Roman"/>
          <w:b/>
          <w:spacing w:val="-4"/>
          <w:sz w:val="24"/>
          <w:szCs w:val="24"/>
        </w:rPr>
        <w:t xml:space="preserve"> (kol. 1)</w:t>
      </w:r>
      <w:r w:rsidR="006D51E9" w:rsidRPr="009552CB">
        <w:rPr>
          <w:rFonts w:ascii="Times New Roman" w:hAnsi="Times New Roman"/>
          <w:spacing w:val="-4"/>
          <w:sz w:val="24"/>
          <w:szCs w:val="24"/>
        </w:rPr>
        <w:t xml:space="preserve"> – </w:t>
      </w:r>
      <w:r>
        <w:rPr>
          <w:rFonts w:ascii="Times New Roman" w:hAnsi="Times New Roman"/>
          <w:spacing w:val="-4"/>
          <w:sz w:val="24"/>
          <w:szCs w:val="24"/>
        </w:rPr>
        <w:t>pozycja gospodarstwa w roku 2011</w:t>
      </w:r>
      <w:r w:rsidR="006D51E9" w:rsidRPr="009552CB">
        <w:rPr>
          <w:rFonts w:ascii="Times New Roman" w:hAnsi="Times New Roman"/>
          <w:spacing w:val="-4"/>
          <w:sz w:val="24"/>
          <w:szCs w:val="24"/>
        </w:rPr>
        <w:t xml:space="preserve"> ustalona na podstawie miary syntetycznej.</w:t>
      </w:r>
    </w:p>
    <w:p w:rsidR="006D51E9" w:rsidRPr="009552CB" w:rsidRDefault="00931D2B" w:rsidP="006D51E9">
      <w:pPr>
        <w:spacing w:line="360" w:lineRule="auto"/>
        <w:jc w:val="both"/>
        <w:rPr>
          <w:rFonts w:ascii="Times New Roman" w:hAnsi="Times New Roman"/>
          <w:spacing w:val="-10"/>
          <w:sz w:val="24"/>
          <w:szCs w:val="24"/>
        </w:rPr>
      </w:pPr>
      <w:r>
        <w:rPr>
          <w:rFonts w:ascii="Times New Roman" w:hAnsi="Times New Roman"/>
          <w:b/>
          <w:spacing w:val="-10"/>
          <w:sz w:val="24"/>
          <w:szCs w:val="24"/>
        </w:rPr>
        <w:t>Poz. 2010</w:t>
      </w:r>
      <w:r w:rsidR="006D51E9" w:rsidRPr="009552CB">
        <w:rPr>
          <w:rFonts w:ascii="Times New Roman" w:hAnsi="Times New Roman"/>
          <w:b/>
          <w:spacing w:val="-10"/>
          <w:sz w:val="24"/>
          <w:szCs w:val="24"/>
        </w:rPr>
        <w:t xml:space="preserve"> (kol. 2) – </w:t>
      </w:r>
      <w:r w:rsidR="006D51E9" w:rsidRPr="009552CB">
        <w:rPr>
          <w:rFonts w:ascii="Times New Roman" w:hAnsi="Times New Roman"/>
          <w:spacing w:val="-10"/>
          <w:sz w:val="24"/>
          <w:szCs w:val="24"/>
        </w:rPr>
        <w:t>miejsce</w:t>
      </w:r>
      <w:r>
        <w:rPr>
          <w:rFonts w:ascii="Times New Roman" w:hAnsi="Times New Roman"/>
          <w:spacing w:val="-10"/>
          <w:sz w:val="24"/>
          <w:szCs w:val="24"/>
        </w:rPr>
        <w:t xml:space="preserve"> gospodarstwa w rankingu za 2010</w:t>
      </w:r>
      <w:r w:rsidR="006D51E9" w:rsidRPr="009552CB">
        <w:rPr>
          <w:rFonts w:ascii="Times New Roman" w:hAnsi="Times New Roman"/>
          <w:spacing w:val="-10"/>
          <w:sz w:val="24"/>
          <w:szCs w:val="24"/>
        </w:rPr>
        <w:t xml:space="preserve"> r., także w oparciu o miarę syntetyczną.</w:t>
      </w:r>
    </w:p>
    <w:p w:rsidR="006D51E9" w:rsidRPr="009552CB" w:rsidRDefault="006D51E9" w:rsidP="006D51E9">
      <w:pPr>
        <w:spacing w:line="360" w:lineRule="auto"/>
        <w:jc w:val="both"/>
        <w:rPr>
          <w:rFonts w:ascii="Times New Roman" w:hAnsi="Times New Roman"/>
          <w:spacing w:val="-2"/>
          <w:sz w:val="24"/>
        </w:rPr>
      </w:pPr>
      <w:r w:rsidRPr="009552CB">
        <w:rPr>
          <w:rFonts w:ascii="Times New Roman" w:hAnsi="Times New Roman"/>
          <w:b/>
          <w:spacing w:val="-2"/>
          <w:sz w:val="24"/>
        </w:rPr>
        <w:t>Nazwa spółdzielni (kol. 3) –</w:t>
      </w:r>
      <w:r w:rsidRPr="009552CB">
        <w:rPr>
          <w:rFonts w:ascii="Times New Roman" w:hAnsi="Times New Roman"/>
          <w:spacing w:val="-2"/>
          <w:sz w:val="24"/>
        </w:rPr>
        <w:t xml:space="preserve"> skrócona nazwa spółdzielni wraz z jej siedzibą i skróconą nazwą województwa.</w:t>
      </w:r>
    </w:p>
    <w:p w:rsidR="006D51E9" w:rsidRPr="009D120E" w:rsidRDefault="006D51E9" w:rsidP="006D51E9">
      <w:pPr>
        <w:pStyle w:val="Tekstpodstawowy2"/>
        <w:spacing w:line="360" w:lineRule="auto"/>
        <w:rPr>
          <w:rFonts w:ascii="Times New Roman" w:hAnsi="Times New Roman"/>
          <w:sz w:val="24"/>
          <w:szCs w:val="24"/>
        </w:rPr>
      </w:pPr>
      <w:r w:rsidRPr="009D120E">
        <w:rPr>
          <w:rFonts w:ascii="Times New Roman" w:hAnsi="Times New Roman"/>
          <w:b/>
          <w:sz w:val="24"/>
          <w:szCs w:val="24"/>
        </w:rPr>
        <w:t xml:space="preserve">Ukierunkowanie produkcji (kol. 4) </w:t>
      </w:r>
      <w:r w:rsidRPr="009D120E">
        <w:rPr>
          <w:rFonts w:ascii="Times New Roman" w:hAnsi="Times New Roman"/>
          <w:sz w:val="24"/>
          <w:szCs w:val="24"/>
        </w:rPr>
        <w:t>– określone zostało samodzielnie przez uczestników rankingu na podstawie przeważającego udziału sprzedaży określonych rodzajów produktów w sprzedaży ogółem. Wyróżniono cztery typy ukierunkowania: I – inne niż produkcja rolnicza; M – mieszane, a więc takie, w którym występowała mniej więcej równowaga produkcji roślinnej i zwierzęcej; R – roślinne, tzn. takie, w którym miała miejsce zdecydowana przewaga produkcji roślinnej nad zwierzęcą; Z – zwierzęce, tj. te, w którym  przeważała produkcja zwierzęca nad roślinną.</w:t>
      </w:r>
    </w:p>
    <w:p w:rsidR="006D51E9" w:rsidRPr="009552CB" w:rsidRDefault="006D51E9" w:rsidP="006D51E9">
      <w:pPr>
        <w:spacing w:line="360" w:lineRule="auto"/>
        <w:jc w:val="both"/>
        <w:rPr>
          <w:rFonts w:ascii="Times New Roman" w:hAnsi="Times New Roman"/>
          <w:sz w:val="24"/>
          <w:szCs w:val="24"/>
        </w:rPr>
      </w:pPr>
      <w:r w:rsidRPr="009552CB">
        <w:rPr>
          <w:rFonts w:ascii="Times New Roman" w:hAnsi="Times New Roman"/>
          <w:b/>
          <w:sz w:val="24"/>
          <w:szCs w:val="24"/>
        </w:rPr>
        <w:t>Wskaźnik dochodowości pracy (kol. 5)</w:t>
      </w:r>
      <w:r w:rsidRPr="009552CB">
        <w:rPr>
          <w:rFonts w:ascii="Times New Roman" w:hAnsi="Times New Roman"/>
          <w:sz w:val="24"/>
          <w:szCs w:val="24"/>
        </w:rPr>
        <w:t xml:space="preserve"> - stosunek dochodu ogólnego (zdefiniowanego w opisie do kol. 18) pomniejszonego o podatek dochodowy od osób prawnych i skorygowanego o dochód wynikły ze sprzedaży majątku do liczby pracujących członków spółdzielni.</w:t>
      </w:r>
    </w:p>
    <w:p w:rsidR="006D51E9" w:rsidRPr="009552CB" w:rsidRDefault="006D51E9" w:rsidP="006D51E9">
      <w:pPr>
        <w:spacing w:line="360" w:lineRule="auto"/>
        <w:jc w:val="both"/>
        <w:rPr>
          <w:rFonts w:ascii="Times New Roman" w:hAnsi="Times New Roman"/>
          <w:sz w:val="24"/>
          <w:szCs w:val="24"/>
        </w:rPr>
      </w:pPr>
      <w:r w:rsidRPr="009552CB">
        <w:rPr>
          <w:rFonts w:ascii="Times New Roman" w:hAnsi="Times New Roman"/>
          <w:b/>
          <w:sz w:val="24"/>
          <w:szCs w:val="24"/>
        </w:rPr>
        <w:t xml:space="preserve">Wskaźnik dochodowości działalności gospodarczej (kol. 7) - </w:t>
      </w:r>
      <w:r w:rsidRPr="009552CB">
        <w:rPr>
          <w:rFonts w:ascii="Times New Roman" w:hAnsi="Times New Roman"/>
          <w:sz w:val="24"/>
          <w:szCs w:val="24"/>
        </w:rPr>
        <w:t>stosunek dochodu ogólnego do sumy przychodów: ze sprzedaży produktów i zrównanych z nimi, pozostałych przychodów operacyjnych oraz przychodów finansowych. Wartość przychodów podano w kol. 16.</w:t>
      </w:r>
    </w:p>
    <w:p w:rsidR="006D51E9" w:rsidRPr="004E1437" w:rsidRDefault="006D51E9" w:rsidP="006D51E9">
      <w:pPr>
        <w:spacing w:line="360" w:lineRule="auto"/>
        <w:jc w:val="both"/>
        <w:rPr>
          <w:rFonts w:ascii="Times New Roman" w:hAnsi="Times New Roman"/>
          <w:sz w:val="24"/>
          <w:szCs w:val="24"/>
        </w:rPr>
      </w:pPr>
      <w:r w:rsidRPr="009552CB">
        <w:rPr>
          <w:rFonts w:ascii="Times New Roman" w:hAnsi="Times New Roman"/>
          <w:b/>
          <w:sz w:val="24"/>
          <w:szCs w:val="24"/>
        </w:rPr>
        <w:t xml:space="preserve">Wskaźnik wartości dodanej (kol. 9) </w:t>
      </w:r>
      <w:r w:rsidRPr="009552CB">
        <w:rPr>
          <w:rFonts w:ascii="Times New Roman" w:hAnsi="Times New Roman"/>
          <w:sz w:val="24"/>
          <w:szCs w:val="24"/>
        </w:rPr>
        <w:t>- stosunek wartości dodanej do przychodów ogółem. Wartość dodaną określono przez dodanie jej składników: dochodu ogólnego, amortyzacji, podatku rolnego i innych podatków obciążających koszty, czynszu dzierżawnego, kosztów kapitału obcego (odsetki), kosztów wynagrodzeń pracowników najemnych wraz ze świadczeniami oraz świadczenia na rzecz członków spółdzielni.</w:t>
      </w:r>
    </w:p>
    <w:p w:rsidR="006D51E9" w:rsidRPr="009552CB" w:rsidRDefault="006D51E9" w:rsidP="006D51E9">
      <w:pPr>
        <w:spacing w:line="336" w:lineRule="auto"/>
        <w:jc w:val="both"/>
        <w:rPr>
          <w:rFonts w:ascii="Times New Roman" w:hAnsi="Times New Roman"/>
          <w:spacing w:val="-6"/>
          <w:sz w:val="24"/>
          <w:szCs w:val="24"/>
        </w:rPr>
      </w:pPr>
      <w:r w:rsidRPr="009552CB">
        <w:rPr>
          <w:rFonts w:ascii="Times New Roman" w:hAnsi="Times New Roman"/>
          <w:b/>
          <w:spacing w:val="-6"/>
          <w:sz w:val="24"/>
          <w:szCs w:val="24"/>
        </w:rPr>
        <w:t>Wskaźnik płynności bieżący (kol. 11) –</w:t>
      </w:r>
      <w:r w:rsidRPr="009552CB">
        <w:rPr>
          <w:rFonts w:ascii="Times New Roman" w:hAnsi="Times New Roman"/>
          <w:spacing w:val="-6"/>
          <w:sz w:val="24"/>
          <w:szCs w:val="24"/>
        </w:rPr>
        <w:t xml:space="preserve"> iloraz aktywów obrotowych, pomniejszonych o krótkoterminowe rozliczenia międzyokresowe, i zobowiązań </w:t>
      </w:r>
      <w:r w:rsidR="00931D2B">
        <w:rPr>
          <w:rFonts w:ascii="Times New Roman" w:hAnsi="Times New Roman"/>
          <w:spacing w:val="-6"/>
          <w:sz w:val="24"/>
          <w:szCs w:val="24"/>
        </w:rPr>
        <w:t>krótkoterminowych na koniec 2011</w:t>
      </w:r>
      <w:r w:rsidRPr="009552CB">
        <w:rPr>
          <w:rFonts w:ascii="Times New Roman" w:hAnsi="Times New Roman"/>
          <w:spacing w:val="-6"/>
          <w:sz w:val="24"/>
          <w:szCs w:val="24"/>
        </w:rPr>
        <w:t xml:space="preserve"> r.</w:t>
      </w:r>
    </w:p>
    <w:p w:rsidR="006D51E9" w:rsidRPr="004E1437" w:rsidRDefault="006D51E9" w:rsidP="006D51E9">
      <w:pPr>
        <w:spacing w:line="336" w:lineRule="auto"/>
        <w:jc w:val="both"/>
        <w:rPr>
          <w:rFonts w:ascii="Times New Roman" w:hAnsi="Times New Roman"/>
          <w:spacing w:val="-8"/>
          <w:sz w:val="24"/>
          <w:szCs w:val="24"/>
        </w:rPr>
      </w:pPr>
      <w:r w:rsidRPr="009552CB">
        <w:rPr>
          <w:rFonts w:ascii="Times New Roman" w:hAnsi="Times New Roman"/>
          <w:b/>
          <w:spacing w:val="-6"/>
          <w:sz w:val="24"/>
          <w:szCs w:val="24"/>
        </w:rPr>
        <w:t>Wskaźnik płynności szybki (kol. 12) –</w:t>
      </w:r>
      <w:r w:rsidRPr="009552CB">
        <w:rPr>
          <w:rFonts w:ascii="Times New Roman" w:hAnsi="Times New Roman"/>
          <w:spacing w:val="-6"/>
          <w:sz w:val="24"/>
          <w:szCs w:val="24"/>
        </w:rPr>
        <w:t xml:space="preserve"> stosunek aktywów obrotowych, pomniejszonych o zapasy i </w:t>
      </w:r>
      <w:r w:rsidRPr="004E1437">
        <w:rPr>
          <w:rFonts w:ascii="Times New Roman" w:hAnsi="Times New Roman"/>
          <w:spacing w:val="-8"/>
          <w:sz w:val="24"/>
          <w:szCs w:val="24"/>
        </w:rPr>
        <w:t xml:space="preserve">krótkoterminowe rozliczenia międzyokresowe, do zobowiązań </w:t>
      </w:r>
      <w:r w:rsidR="00931D2B">
        <w:rPr>
          <w:rFonts w:ascii="Times New Roman" w:hAnsi="Times New Roman"/>
          <w:spacing w:val="-8"/>
          <w:sz w:val="24"/>
          <w:szCs w:val="24"/>
        </w:rPr>
        <w:t>krótkoterminowych na koniec 2011</w:t>
      </w:r>
      <w:r w:rsidRPr="004E1437">
        <w:rPr>
          <w:rFonts w:ascii="Times New Roman" w:hAnsi="Times New Roman"/>
          <w:spacing w:val="-8"/>
          <w:sz w:val="24"/>
          <w:szCs w:val="24"/>
        </w:rPr>
        <w:t xml:space="preserve"> r.</w:t>
      </w:r>
    </w:p>
    <w:p w:rsidR="006D51E9" w:rsidRPr="009552CB" w:rsidRDefault="006D51E9" w:rsidP="006D51E9">
      <w:pPr>
        <w:spacing w:line="360" w:lineRule="auto"/>
        <w:jc w:val="both"/>
        <w:rPr>
          <w:rFonts w:ascii="Times New Roman" w:hAnsi="Times New Roman"/>
          <w:sz w:val="24"/>
          <w:szCs w:val="24"/>
        </w:rPr>
      </w:pPr>
      <w:r w:rsidRPr="009552CB">
        <w:rPr>
          <w:rFonts w:ascii="Times New Roman" w:hAnsi="Times New Roman"/>
          <w:b/>
          <w:spacing w:val="-2"/>
          <w:sz w:val="24"/>
        </w:rPr>
        <w:lastRenderedPageBreak/>
        <w:t>Wskaźnik generowania gotówki operacyjnej (kol. 13) –</w:t>
      </w:r>
      <w:r w:rsidRPr="009552CB">
        <w:rPr>
          <w:rFonts w:ascii="Times New Roman" w:hAnsi="Times New Roman"/>
          <w:spacing w:val="-2"/>
          <w:sz w:val="24"/>
        </w:rPr>
        <w:t xml:space="preserve"> stosunek nadwyżki operacyjnej netto do sumy przychodów ze sprzedaży i zrównanych z nimi, pozostałych przychodów operacyjnych (pomniejszonych o zysk ze zbycia aktywów niefinansowych) i zysków nadzwyczajnych. Nadwyżka operacyjna powstała przez odjęcie od wpływów z działalności operacyjnej wydatków na nią poniesionych. Z kolei wpływy policzono jako sumę przychodów ze sprzedaży i zrównanych z nimi, pozostałych przychodów operacyjnych (pomniejszonych o zyski ze zbycia aktywów niefinansowych) i zysków nadzwyczajnych. Wydatki natomiast uzyskano przez dodanie do k</w:t>
      </w:r>
      <w:r>
        <w:rPr>
          <w:rFonts w:ascii="Times New Roman" w:hAnsi="Times New Roman"/>
          <w:spacing w:val="-2"/>
          <w:sz w:val="24"/>
        </w:rPr>
        <w:t>osztów działalności operacyjnej</w:t>
      </w:r>
      <w:r w:rsidRPr="009552CB">
        <w:rPr>
          <w:rFonts w:ascii="Times New Roman" w:hAnsi="Times New Roman"/>
          <w:spacing w:val="-2"/>
          <w:sz w:val="24"/>
        </w:rPr>
        <w:t xml:space="preserve"> (pomniejszonych jednak o amortyzację) pozostałych kosztów operacyjnych (ale z wyłączeniem straty ze zbycia aktywów niefinansowych), strat nadzwyczajnych i obowiązkowych obciążeń wyniku finansowego.</w:t>
      </w:r>
    </w:p>
    <w:p w:rsidR="006D51E9" w:rsidRPr="009552CB" w:rsidRDefault="006D51E9" w:rsidP="006D51E9">
      <w:pPr>
        <w:spacing w:line="360" w:lineRule="auto"/>
        <w:jc w:val="both"/>
        <w:rPr>
          <w:rFonts w:ascii="Times New Roman" w:hAnsi="Times New Roman"/>
          <w:sz w:val="24"/>
          <w:szCs w:val="24"/>
        </w:rPr>
      </w:pPr>
      <w:r w:rsidRPr="009552CB">
        <w:rPr>
          <w:rFonts w:ascii="Times New Roman" w:hAnsi="Times New Roman"/>
          <w:b/>
          <w:sz w:val="24"/>
          <w:szCs w:val="24"/>
        </w:rPr>
        <w:t xml:space="preserve">Wydajność pracy (kol. 14) </w:t>
      </w:r>
      <w:r w:rsidRPr="009552CB">
        <w:rPr>
          <w:rFonts w:ascii="Times New Roman" w:hAnsi="Times New Roman"/>
          <w:sz w:val="24"/>
          <w:szCs w:val="24"/>
        </w:rPr>
        <w:t>- stosunek wartości dodanej (zdefiniowanej w opisie do kol. 9) do przeciętnego zatrudnienia w 201</w:t>
      </w:r>
      <w:r w:rsidR="00931D2B">
        <w:rPr>
          <w:rFonts w:ascii="Times New Roman" w:hAnsi="Times New Roman"/>
          <w:sz w:val="24"/>
          <w:szCs w:val="24"/>
        </w:rPr>
        <w:t>1</w:t>
      </w:r>
      <w:r w:rsidRPr="009552CB">
        <w:rPr>
          <w:rFonts w:ascii="Times New Roman" w:hAnsi="Times New Roman"/>
          <w:sz w:val="24"/>
          <w:szCs w:val="24"/>
        </w:rPr>
        <w:t xml:space="preserve"> r.</w:t>
      </w:r>
    </w:p>
    <w:p w:rsidR="006D51E9" w:rsidRPr="009552CB" w:rsidRDefault="006D51E9" w:rsidP="006D51E9">
      <w:pPr>
        <w:spacing w:line="336" w:lineRule="auto"/>
        <w:jc w:val="both"/>
        <w:rPr>
          <w:rFonts w:ascii="Times New Roman" w:hAnsi="Times New Roman"/>
          <w:spacing w:val="-2"/>
          <w:sz w:val="24"/>
        </w:rPr>
      </w:pPr>
      <w:r w:rsidRPr="009552CB">
        <w:rPr>
          <w:rFonts w:ascii="Times New Roman" w:hAnsi="Times New Roman"/>
          <w:b/>
          <w:spacing w:val="-2"/>
          <w:sz w:val="24"/>
        </w:rPr>
        <w:t xml:space="preserve">Przychody ogółem (kol. 16) – </w:t>
      </w:r>
      <w:r w:rsidRPr="009552CB">
        <w:rPr>
          <w:rFonts w:ascii="Times New Roman" w:hAnsi="Times New Roman"/>
          <w:spacing w:val="-2"/>
          <w:sz w:val="24"/>
        </w:rPr>
        <w:t xml:space="preserve">suma przychodów ze sprzedaży produktów i zrównanych z nimi, pozostałych przychodów operacyjnych (pomniejszonych o zysk ze zbycia aktywów niefinansowych) i przychodów finansowych. </w:t>
      </w:r>
    </w:p>
    <w:p w:rsidR="006D51E9" w:rsidRPr="009552CB" w:rsidRDefault="006D51E9" w:rsidP="002B0603">
      <w:pPr>
        <w:spacing w:line="360" w:lineRule="auto"/>
        <w:jc w:val="both"/>
        <w:rPr>
          <w:rFonts w:ascii="Times New Roman" w:hAnsi="Times New Roman"/>
          <w:sz w:val="24"/>
          <w:szCs w:val="24"/>
        </w:rPr>
      </w:pPr>
      <w:r w:rsidRPr="009552CB">
        <w:rPr>
          <w:rFonts w:ascii="Times New Roman" w:hAnsi="Times New Roman"/>
          <w:b/>
          <w:sz w:val="24"/>
          <w:szCs w:val="24"/>
        </w:rPr>
        <w:t>Dochód ogólny (kol. 18)</w:t>
      </w:r>
      <w:r w:rsidRPr="009552CB">
        <w:rPr>
          <w:rFonts w:ascii="Times New Roman" w:hAnsi="Times New Roman"/>
          <w:sz w:val="24"/>
          <w:szCs w:val="24"/>
        </w:rPr>
        <w:t xml:space="preserve"> - przychody ogółem (zdefiniowane w opisie do kol. 16), pomniejszone o sumę kosztów działalności operacyjnej (bez opłaty pracy członków), pozostałych kosztów operacyjnych i kosztów finansowych, skorygowane o wyniki nadzwyczajne (zyski lub straty nadzwyczajne).</w:t>
      </w:r>
    </w:p>
    <w:p w:rsidR="002B0603" w:rsidRPr="002B0603" w:rsidRDefault="006D51E9" w:rsidP="002B0603">
      <w:pPr>
        <w:spacing w:line="360" w:lineRule="auto"/>
        <w:jc w:val="both"/>
        <w:rPr>
          <w:rFonts w:ascii="Times New Roman" w:hAnsi="Times New Roman"/>
          <w:sz w:val="24"/>
          <w:szCs w:val="24"/>
        </w:rPr>
      </w:pPr>
      <w:r w:rsidRPr="009552CB">
        <w:rPr>
          <w:rFonts w:ascii="Times New Roman" w:hAnsi="Times New Roman"/>
          <w:b/>
          <w:spacing w:val="-6"/>
          <w:sz w:val="24"/>
          <w:szCs w:val="24"/>
        </w:rPr>
        <w:t>Indeks tworzenia wartości (kol. 20)</w:t>
      </w:r>
      <w:r w:rsidRPr="009552CB">
        <w:rPr>
          <w:rFonts w:ascii="Times New Roman" w:hAnsi="Times New Roman"/>
          <w:spacing w:val="-6"/>
          <w:sz w:val="24"/>
          <w:szCs w:val="24"/>
        </w:rPr>
        <w:t xml:space="preserve"> – </w:t>
      </w:r>
      <w:r w:rsidRPr="002B0603">
        <w:rPr>
          <w:rFonts w:ascii="Times New Roman" w:hAnsi="Times New Roman"/>
          <w:sz w:val="24"/>
          <w:szCs w:val="24"/>
        </w:rPr>
        <w:t xml:space="preserve">iloraz rentowności (dochodowości netto) kapitału własnego </w:t>
      </w:r>
      <w:r w:rsidR="00931D2B">
        <w:rPr>
          <w:rFonts w:ascii="Times New Roman" w:hAnsi="Times New Roman"/>
          <w:sz w:val="24"/>
          <w:szCs w:val="24"/>
        </w:rPr>
        <w:t>na koniec roku 2011</w:t>
      </w:r>
      <w:r w:rsidRPr="00995BD7">
        <w:rPr>
          <w:rFonts w:ascii="Times New Roman" w:hAnsi="Times New Roman"/>
          <w:sz w:val="24"/>
          <w:szCs w:val="24"/>
        </w:rPr>
        <w:t xml:space="preserve"> oraz </w:t>
      </w:r>
      <w:r w:rsidR="00213581">
        <w:rPr>
          <w:rFonts w:ascii="Times New Roman" w:hAnsi="Times New Roman"/>
          <w:sz w:val="24"/>
          <w:szCs w:val="24"/>
        </w:rPr>
        <w:t xml:space="preserve">jego </w:t>
      </w:r>
      <w:r w:rsidRPr="00995BD7">
        <w:rPr>
          <w:rFonts w:ascii="Times New Roman" w:hAnsi="Times New Roman"/>
          <w:sz w:val="24"/>
          <w:szCs w:val="24"/>
        </w:rPr>
        <w:t>kosztu. Ten ostatni ustalono jako sumę rentowności aktywów bez ryzyka oraz premii za ryzyko finansowe. Jako aktywa bez ryzyka przyjęto średnie oprocentowanie lokat bankowych złożonych na ok</w:t>
      </w:r>
      <w:r w:rsidR="007A0CA3">
        <w:rPr>
          <w:rFonts w:ascii="Times New Roman" w:hAnsi="Times New Roman"/>
          <w:sz w:val="24"/>
          <w:szCs w:val="24"/>
        </w:rPr>
        <w:t>res do dwóch lat włącznie w 2011</w:t>
      </w:r>
      <w:r w:rsidRPr="00995BD7">
        <w:rPr>
          <w:rFonts w:ascii="Times New Roman" w:hAnsi="Times New Roman"/>
          <w:sz w:val="24"/>
          <w:szCs w:val="24"/>
        </w:rPr>
        <w:t xml:space="preserve"> r. </w:t>
      </w:r>
      <w:r w:rsidR="002B0603" w:rsidRPr="002B0603">
        <w:rPr>
          <w:rFonts w:ascii="Times New Roman" w:hAnsi="Times New Roman"/>
          <w:sz w:val="24"/>
          <w:szCs w:val="24"/>
        </w:rPr>
        <w:t>Wyniosło ono 5,00 % w stosunku rocznym i było jednakowe dla wszystkich gospodarstw. Premię za ryzyko określono z kolei jako iloczyn różnicy między ww. rentownością lokat bankowych (5,00 %) a oprocentowaniem długu każdego gospodarstwa (stosunek zapłaconych odsetek w 2011 r. do sumy zobowiązań długo- i krótkoterminowych na koniec 2011 r.) i stopnia zadłużenia kapitału własnego (ww. sumę zobowiązań długo- i krótkoterminowych podzielono przez wartość kapitału własnego na koniec 2011 r.).  Tylko indeks wyższy od jedności świadczy o powiększaniu wartości gospodarstwa dla jego właścicieli.</w:t>
      </w:r>
    </w:p>
    <w:p w:rsidR="006D51E9" w:rsidRPr="009552CB" w:rsidRDefault="006D51E9" w:rsidP="002B0603">
      <w:pPr>
        <w:spacing w:line="336" w:lineRule="auto"/>
        <w:jc w:val="both"/>
        <w:rPr>
          <w:rFonts w:ascii="Times New Roman" w:hAnsi="Times New Roman"/>
          <w:sz w:val="24"/>
          <w:szCs w:val="24"/>
        </w:rPr>
      </w:pPr>
      <w:r w:rsidRPr="009552CB">
        <w:rPr>
          <w:rFonts w:ascii="Times New Roman" w:hAnsi="Times New Roman"/>
          <w:b/>
          <w:sz w:val="24"/>
          <w:szCs w:val="24"/>
        </w:rPr>
        <w:t xml:space="preserve">Pracujący przeciętnie w roku (kol. 22) - </w:t>
      </w:r>
      <w:r w:rsidRPr="009552CB">
        <w:rPr>
          <w:rFonts w:ascii="Times New Roman" w:hAnsi="Times New Roman"/>
          <w:sz w:val="24"/>
          <w:szCs w:val="24"/>
        </w:rPr>
        <w:t xml:space="preserve">przeciętna </w:t>
      </w:r>
      <w:r w:rsidR="00931D2B">
        <w:rPr>
          <w:rFonts w:ascii="Times New Roman" w:hAnsi="Times New Roman"/>
          <w:sz w:val="24"/>
          <w:szCs w:val="24"/>
        </w:rPr>
        <w:t>liczba osób zatrudnionych w 2011</w:t>
      </w:r>
      <w:r w:rsidRPr="009552CB">
        <w:rPr>
          <w:rFonts w:ascii="Times New Roman" w:hAnsi="Times New Roman"/>
          <w:sz w:val="24"/>
          <w:szCs w:val="24"/>
        </w:rPr>
        <w:t xml:space="preserve"> r. (członków spółdzielni i pracowników najemnych), w tym członkowie (kol. 23).</w:t>
      </w:r>
    </w:p>
    <w:p w:rsidR="006D51E9" w:rsidRPr="009552CB" w:rsidRDefault="006D51E9" w:rsidP="006D51E9">
      <w:pPr>
        <w:spacing w:line="360" w:lineRule="auto"/>
        <w:jc w:val="both"/>
        <w:rPr>
          <w:rFonts w:ascii="Times New Roman" w:hAnsi="Times New Roman"/>
          <w:sz w:val="24"/>
          <w:szCs w:val="24"/>
        </w:rPr>
      </w:pPr>
      <w:r w:rsidRPr="009552CB">
        <w:rPr>
          <w:rFonts w:ascii="Times New Roman" w:hAnsi="Times New Roman"/>
          <w:b/>
          <w:sz w:val="24"/>
          <w:szCs w:val="24"/>
        </w:rPr>
        <w:lastRenderedPageBreak/>
        <w:t>Powierzchnia użytków rolnych (kol. 24)</w:t>
      </w:r>
      <w:r w:rsidRPr="009552CB">
        <w:rPr>
          <w:rFonts w:ascii="Times New Roman" w:hAnsi="Times New Roman"/>
          <w:sz w:val="24"/>
          <w:szCs w:val="24"/>
        </w:rPr>
        <w:t xml:space="preserve"> - obszar gruntów przeznaczonych do działalności rolniczej. Obejmuje on grunty orne, trwałe użytki zielone i plantacje trwałe.</w:t>
      </w:r>
    </w:p>
    <w:p w:rsidR="006D51E9" w:rsidRPr="009552CB" w:rsidRDefault="006D51E9" w:rsidP="006D51E9">
      <w:pPr>
        <w:spacing w:line="360" w:lineRule="auto"/>
        <w:jc w:val="both"/>
        <w:rPr>
          <w:rFonts w:ascii="Times New Roman" w:hAnsi="Times New Roman"/>
          <w:spacing w:val="-2"/>
          <w:sz w:val="24"/>
        </w:rPr>
      </w:pPr>
      <w:r w:rsidRPr="009552CB">
        <w:rPr>
          <w:rFonts w:ascii="Times New Roman" w:hAnsi="Times New Roman"/>
          <w:b/>
          <w:spacing w:val="-2"/>
          <w:sz w:val="24"/>
        </w:rPr>
        <w:t>Wskaźnik bonitacji gleb (kol. 25) –</w:t>
      </w:r>
      <w:r w:rsidRPr="009552CB">
        <w:rPr>
          <w:rFonts w:ascii="Times New Roman" w:hAnsi="Times New Roman"/>
          <w:spacing w:val="-2"/>
          <w:sz w:val="24"/>
        </w:rPr>
        <w:t xml:space="preserve"> syntetyczna miara jakości użytków rolnych obliczona jako stosunek powierzchni przeliczeniowej do fizycznej powierzchni tych użytków. Wskaźnik ten ustalono na podstawie „Deklaracji w sprawie podatku rolnego” oraz informacji dodatkowych o użytkach V i VI klasy.</w:t>
      </w:r>
    </w:p>
    <w:p w:rsidR="006D51E9" w:rsidRPr="001D161F" w:rsidRDefault="006D51E9" w:rsidP="006D51E9">
      <w:pPr>
        <w:spacing w:line="360" w:lineRule="auto"/>
        <w:jc w:val="both"/>
        <w:rPr>
          <w:rFonts w:ascii="Times New Roman" w:hAnsi="Times New Roman"/>
          <w:spacing w:val="-6"/>
          <w:sz w:val="24"/>
          <w:szCs w:val="24"/>
        </w:rPr>
      </w:pPr>
      <w:r w:rsidRPr="009552CB">
        <w:rPr>
          <w:rFonts w:ascii="Times New Roman" w:hAnsi="Times New Roman"/>
          <w:b/>
          <w:sz w:val="24"/>
          <w:szCs w:val="24"/>
        </w:rPr>
        <w:t xml:space="preserve">Miernik syntetyczny (kol. 26) </w:t>
      </w:r>
      <w:r w:rsidRPr="009552CB">
        <w:rPr>
          <w:rFonts w:ascii="Times New Roman" w:hAnsi="Times New Roman"/>
          <w:sz w:val="24"/>
          <w:szCs w:val="24"/>
        </w:rPr>
        <w:t xml:space="preserve">- </w:t>
      </w:r>
      <w:r w:rsidRPr="001D161F">
        <w:rPr>
          <w:rFonts w:ascii="Times New Roman" w:hAnsi="Times New Roman"/>
          <w:spacing w:val="-6"/>
          <w:sz w:val="24"/>
          <w:szCs w:val="24"/>
        </w:rPr>
        <w:t>suma pozycji z kolumn 6, 8, 15, 17, 21 (opis metody w tekście).</w:t>
      </w:r>
    </w:p>
    <w:p w:rsidR="006D51E9" w:rsidRPr="00995BD7" w:rsidRDefault="006D51E9" w:rsidP="006D51E9">
      <w:pPr>
        <w:pStyle w:val="Nagwek1"/>
        <w:spacing w:before="120" w:after="120" w:line="360" w:lineRule="auto"/>
        <w:rPr>
          <w:rFonts w:ascii="Times New Roman" w:hAnsi="Times New Roman"/>
          <w:sz w:val="24"/>
          <w:szCs w:val="24"/>
        </w:rPr>
      </w:pPr>
      <w:r w:rsidRPr="00995BD7">
        <w:rPr>
          <w:rFonts w:ascii="Times New Roman" w:hAnsi="Times New Roman"/>
          <w:sz w:val="24"/>
          <w:szCs w:val="24"/>
        </w:rPr>
        <w:t>OBJAŚNIENIE SYMBOLI</w:t>
      </w:r>
    </w:p>
    <w:p w:rsidR="006D51E9" w:rsidRPr="009552CB" w:rsidRDefault="006D51E9" w:rsidP="006D51E9">
      <w:pPr>
        <w:tabs>
          <w:tab w:val="center" w:pos="426"/>
          <w:tab w:val="left" w:pos="709"/>
        </w:tabs>
        <w:spacing w:line="360" w:lineRule="auto"/>
        <w:rPr>
          <w:rFonts w:ascii="Times New Roman" w:hAnsi="Times New Roman"/>
          <w:sz w:val="24"/>
        </w:rPr>
      </w:pPr>
      <w:r w:rsidRPr="009552CB">
        <w:rPr>
          <w:rFonts w:ascii="Times New Roman" w:hAnsi="Times New Roman"/>
          <w:sz w:val="24"/>
        </w:rPr>
        <w:t>–</w:t>
      </w:r>
      <w:r w:rsidRPr="009552CB">
        <w:rPr>
          <w:rFonts w:ascii="Times New Roman" w:hAnsi="Times New Roman"/>
          <w:sz w:val="24"/>
        </w:rPr>
        <w:tab/>
        <w:t>-</w:t>
      </w:r>
      <w:r w:rsidRPr="009552CB">
        <w:rPr>
          <w:rFonts w:ascii="Times New Roman" w:hAnsi="Times New Roman"/>
          <w:sz w:val="24"/>
        </w:rPr>
        <w:tab/>
        <w:t>zjawisko nie występuje lub nie ma treści merytorycznej;</w:t>
      </w:r>
    </w:p>
    <w:p w:rsidR="006D51E9" w:rsidRPr="009552CB" w:rsidRDefault="006D51E9" w:rsidP="006D51E9">
      <w:pPr>
        <w:tabs>
          <w:tab w:val="center" w:pos="426"/>
          <w:tab w:val="left" w:pos="709"/>
        </w:tabs>
        <w:spacing w:line="360" w:lineRule="auto"/>
        <w:rPr>
          <w:rFonts w:ascii="Times New Roman" w:hAnsi="Times New Roman"/>
          <w:sz w:val="24"/>
        </w:rPr>
      </w:pPr>
      <w:proofErr w:type="spellStart"/>
      <w:r w:rsidRPr="009552CB">
        <w:rPr>
          <w:rFonts w:ascii="Times New Roman" w:hAnsi="Times New Roman"/>
          <w:sz w:val="24"/>
        </w:rPr>
        <w:t>ln</w:t>
      </w:r>
      <w:proofErr w:type="spellEnd"/>
      <w:r w:rsidRPr="009552CB">
        <w:rPr>
          <w:rFonts w:ascii="Times New Roman" w:hAnsi="Times New Roman"/>
          <w:sz w:val="24"/>
        </w:rPr>
        <w:tab/>
        <w:t>-</w:t>
      </w:r>
      <w:r w:rsidRPr="009552CB">
        <w:rPr>
          <w:rFonts w:ascii="Times New Roman" w:hAnsi="Times New Roman"/>
          <w:sz w:val="24"/>
        </w:rPr>
        <w:tab/>
        <w:t>liczba niemianowana;</w:t>
      </w:r>
    </w:p>
    <w:p w:rsidR="006D51E9" w:rsidRPr="00CA4FFE" w:rsidRDefault="006D51E9" w:rsidP="006D51E9">
      <w:pPr>
        <w:tabs>
          <w:tab w:val="center" w:pos="426"/>
          <w:tab w:val="left" w:pos="709"/>
        </w:tabs>
        <w:spacing w:line="360" w:lineRule="auto"/>
        <w:rPr>
          <w:rFonts w:ascii="Times New Roman" w:hAnsi="Times New Roman"/>
          <w:sz w:val="24"/>
        </w:rPr>
      </w:pPr>
      <w:r w:rsidRPr="009552CB">
        <w:rPr>
          <w:rFonts w:ascii="Times New Roman" w:hAnsi="Times New Roman"/>
          <w:sz w:val="24"/>
        </w:rPr>
        <w:t>-</w:t>
      </w:r>
      <w:r w:rsidRPr="009552CB">
        <w:rPr>
          <w:rFonts w:ascii="Times New Roman" w:hAnsi="Times New Roman"/>
          <w:b/>
          <w:i/>
          <w:sz w:val="24"/>
        </w:rPr>
        <w:tab/>
      </w:r>
      <w:r w:rsidRPr="009552CB">
        <w:rPr>
          <w:rFonts w:ascii="Times New Roman" w:hAnsi="Times New Roman"/>
          <w:sz w:val="24"/>
        </w:rPr>
        <w:t>-</w:t>
      </w:r>
      <w:r w:rsidRPr="009552CB">
        <w:rPr>
          <w:rFonts w:ascii="Times New Roman" w:hAnsi="Times New Roman"/>
          <w:sz w:val="24"/>
        </w:rPr>
        <w:tab/>
        <w:t>brak zgody na podanie nazwy przedsiębiorstwa.</w:t>
      </w:r>
    </w:p>
    <w:p w:rsidR="006D51E9" w:rsidRPr="009552CB" w:rsidRDefault="006D51E9" w:rsidP="006D51E9">
      <w:pPr>
        <w:pStyle w:val="Tekstpodstawowy"/>
        <w:spacing w:after="240"/>
      </w:pPr>
      <w:r w:rsidRPr="009552CB">
        <w:t>Ranking przygotował zespół pracowników Instytutu Ekonomiki Rolnictwa i Gospodarki Żywnościowej - PIB w składzie:</w:t>
      </w:r>
    </w:p>
    <w:p w:rsidR="006D51E9" w:rsidRPr="001D161F" w:rsidRDefault="006D51E9" w:rsidP="006D51E9">
      <w:pPr>
        <w:tabs>
          <w:tab w:val="left" w:pos="2340"/>
        </w:tabs>
        <w:jc w:val="both"/>
        <w:rPr>
          <w:rFonts w:ascii="Times New Roman" w:hAnsi="Times New Roman"/>
          <w:sz w:val="24"/>
          <w:szCs w:val="24"/>
        </w:rPr>
      </w:pPr>
      <w:r w:rsidRPr="009552CB">
        <w:rPr>
          <w:rFonts w:ascii="Times New Roman" w:hAnsi="Times New Roman"/>
        </w:rPr>
        <w:tab/>
      </w:r>
      <w:r w:rsidRPr="001D161F">
        <w:rPr>
          <w:rFonts w:ascii="Times New Roman" w:hAnsi="Times New Roman"/>
          <w:sz w:val="24"/>
          <w:szCs w:val="24"/>
        </w:rPr>
        <w:t xml:space="preserve">Mgr </w:t>
      </w:r>
      <w:r>
        <w:rPr>
          <w:rFonts w:ascii="Times New Roman" w:hAnsi="Times New Roman"/>
          <w:sz w:val="24"/>
          <w:szCs w:val="24"/>
        </w:rPr>
        <w:t>inż.</w:t>
      </w:r>
      <w:r w:rsidRPr="001D161F">
        <w:rPr>
          <w:rFonts w:ascii="Times New Roman" w:hAnsi="Times New Roman"/>
          <w:sz w:val="24"/>
          <w:szCs w:val="24"/>
        </w:rPr>
        <w:t xml:space="preserve"> Marcin Adamski </w:t>
      </w:r>
    </w:p>
    <w:p w:rsidR="006D51E9" w:rsidRPr="001D161F" w:rsidRDefault="006D51E9" w:rsidP="006D51E9">
      <w:pPr>
        <w:tabs>
          <w:tab w:val="left" w:pos="2340"/>
        </w:tabs>
        <w:jc w:val="both"/>
        <w:rPr>
          <w:rFonts w:ascii="Times New Roman" w:hAnsi="Times New Roman"/>
          <w:sz w:val="24"/>
          <w:szCs w:val="24"/>
        </w:rPr>
      </w:pPr>
      <w:r w:rsidRPr="001D161F">
        <w:rPr>
          <w:rFonts w:ascii="Times New Roman" w:hAnsi="Times New Roman"/>
          <w:sz w:val="24"/>
          <w:szCs w:val="24"/>
        </w:rPr>
        <w:tab/>
        <w:t xml:space="preserve">Mgr </w:t>
      </w:r>
      <w:r w:rsidRPr="009552CB">
        <w:rPr>
          <w:rFonts w:ascii="Times New Roman" w:hAnsi="Times New Roman"/>
          <w:sz w:val="24"/>
          <w:szCs w:val="24"/>
        </w:rPr>
        <w:t>inż.</w:t>
      </w:r>
      <w:r>
        <w:rPr>
          <w:rFonts w:ascii="Times New Roman" w:hAnsi="Times New Roman"/>
          <w:sz w:val="24"/>
          <w:szCs w:val="24"/>
        </w:rPr>
        <w:t xml:space="preserve"> Adam Kagan</w:t>
      </w:r>
    </w:p>
    <w:p w:rsidR="006D51E9" w:rsidRPr="009552CB" w:rsidRDefault="006D51E9" w:rsidP="006D51E9">
      <w:pPr>
        <w:tabs>
          <w:tab w:val="left" w:pos="2340"/>
        </w:tabs>
        <w:ind w:firstLine="708"/>
        <w:jc w:val="both"/>
        <w:rPr>
          <w:rFonts w:ascii="Times New Roman" w:hAnsi="Times New Roman"/>
          <w:sz w:val="24"/>
          <w:szCs w:val="24"/>
        </w:rPr>
      </w:pPr>
      <w:r w:rsidRPr="001D161F">
        <w:rPr>
          <w:rFonts w:ascii="Times New Roman" w:hAnsi="Times New Roman"/>
          <w:sz w:val="24"/>
          <w:szCs w:val="24"/>
        </w:rPr>
        <w:tab/>
        <w:t xml:space="preserve">Prof. dr hab. </w:t>
      </w:r>
      <w:smartTag w:uri="urn:schemas-microsoft-com:office:smarttags" w:element="PersonName">
        <w:smartTagPr>
          <w:attr w:name="ProductID" w:val="Jacek Kulawik"/>
        </w:smartTagPr>
        <w:r w:rsidRPr="009552CB">
          <w:rPr>
            <w:rFonts w:ascii="Times New Roman" w:hAnsi="Times New Roman"/>
            <w:sz w:val="24"/>
            <w:szCs w:val="24"/>
          </w:rPr>
          <w:t>Jacek Kulawik</w:t>
        </w:r>
      </w:smartTag>
    </w:p>
    <w:p w:rsidR="006D51E9" w:rsidRPr="009552CB" w:rsidRDefault="006D51E9" w:rsidP="006D51E9">
      <w:pPr>
        <w:tabs>
          <w:tab w:val="left" w:pos="2340"/>
        </w:tabs>
        <w:jc w:val="both"/>
        <w:rPr>
          <w:rFonts w:ascii="Times New Roman" w:hAnsi="Times New Roman"/>
          <w:sz w:val="24"/>
          <w:szCs w:val="24"/>
        </w:rPr>
      </w:pPr>
      <w:r w:rsidRPr="009552CB">
        <w:rPr>
          <w:rFonts w:ascii="Times New Roman" w:hAnsi="Times New Roman"/>
          <w:sz w:val="24"/>
          <w:szCs w:val="24"/>
        </w:rPr>
        <w:tab/>
        <w:t>Dr Dariusz Osuch</w:t>
      </w:r>
    </w:p>
    <w:p w:rsidR="006E265E" w:rsidRPr="009D120E" w:rsidRDefault="006D51E9" w:rsidP="009D120E">
      <w:pPr>
        <w:tabs>
          <w:tab w:val="left" w:pos="2340"/>
        </w:tabs>
        <w:jc w:val="both"/>
        <w:rPr>
          <w:rFonts w:ascii="Times New Roman" w:hAnsi="Times New Roman"/>
          <w:sz w:val="24"/>
          <w:szCs w:val="24"/>
        </w:rPr>
      </w:pPr>
      <w:r w:rsidRPr="009552CB">
        <w:rPr>
          <w:rFonts w:ascii="Times New Roman" w:hAnsi="Times New Roman"/>
          <w:sz w:val="24"/>
          <w:szCs w:val="24"/>
        </w:rPr>
        <w:tab/>
        <w:t>Mgr inż. Maria Zdzieborska</w:t>
      </w:r>
    </w:p>
    <w:p w:rsidR="005710EB" w:rsidRDefault="005710EB" w:rsidP="00C90BB2">
      <w:pPr>
        <w:spacing w:after="120"/>
        <w:ind w:firstLine="709"/>
        <w:jc w:val="both"/>
        <w:rPr>
          <w:rFonts w:ascii="Times New Roman" w:hAnsi="Times New Roman" w:cs="Times New Roman"/>
          <w:sz w:val="24"/>
          <w:szCs w:val="24"/>
        </w:rPr>
      </w:pPr>
      <w:r>
        <w:rPr>
          <w:rFonts w:ascii="Times New Roman" w:hAnsi="Times New Roman" w:cs="Times New Roman"/>
          <w:sz w:val="24"/>
          <w:szCs w:val="24"/>
        </w:rPr>
        <w:t>Literatura:</w:t>
      </w:r>
    </w:p>
    <w:p w:rsidR="005710EB" w:rsidRDefault="005710EB" w:rsidP="005710EB">
      <w:pPr>
        <w:spacing w:after="120"/>
        <w:ind w:firstLine="709"/>
        <w:jc w:val="both"/>
        <w:rPr>
          <w:rFonts w:ascii="Times New Roman" w:hAnsi="Times New Roman" w:cs="Times New Roman"/>
          <w:sz w:val="24"/>
          <w:szCs w:val="24"/>
        </w:rPr>
      </w:pPr>
      <w:r w:rsidRPr="005710EB">
        <w:rPr>
          <w:rFonts w:ascii="Times New Roman" w:hAnsi="Times New Roman" w:cs="Times New Roman"/>
          <w:sz w:val="24"/>
          <w:szCs w:val="24"/>
        </w:rPr>
        <w:t xml:space="preserve">Rynek </w:t>
      </w:r>
      <w:r>
        <w:rPr>
          <w:rFonts w:ascii="Times New Roman" w:hAnsi="Times New Roman" w:cs="Times New Roman"/>
          <w:sz w:val="24"/>
          <w:szCs w:val="24"/>
        </w:rPr>
        <w:t>zbóż</w:t>
      </w:r>
      <w:r w:rsidRPr="005710EB">
        <w:rPr>
          <w:rFonts w:ascii="Times New Roman" w:hAnsi="Times New Roman" w:cs="Times New Roman"/>
          <w:sz w:val="24"/>
          <w:szCs w:val="24"/>
        </w:rPr>
        <w:t>, stan i perspektywy. [20</w:t>
      </w:r>
      <w:r>
        <w:rPr>
          <w:rFonts w:ascii="Times New Roman" w:hAnsi="Times New Roman" w:cs="Times New Roman"/>
          <w:sz w:val="24"/>
          <w:szCs w:val="24"/>
        </w:rPr>
        <w:t>12</w:t>
      </w:r>
      <w:r w:rsidRPr="005710EB">
        <w:rPr>
          <w:rFonts w:ascii="Times New Roman" w:hAnsi="Times New Roman" w:cs="Times New Roman"/>
          <w:sz w:val="24"/>
          <w:szCs w:val="24"/>
        </w:rPr>
        <w:t>]. Analizy rynkowe, IERiG</w:t>
      </w:r>
      <w:r>
        <w:rPr>
          <w:rFonts w:ascii="Times New Roman" w:hAnsi="Times New Roman" w:cs="Times New Roman"/>
          <w:sz w:val="24"/>
          <w:szCs w:val="24"/>
        </w:rPr>
        <w:t>Ż</w:t>
      </w:r>
      <w:r w:rsidRPr="005710EB">
        <w:rPr>
          <w:rFonts w:ascii="Times New Roman" w:hAnsi="Times New Roman" w:cs="Times New Roman"/>
          <w:sz w:val="24"/>
          <w:szCs w:val="24"/>
        </w:rPr>
        <w:t xml:space="preserve"> PIB, Warszawa.</w:t>
      </w:r>
    </w:p>
    <w:p w:rsidR="005710EB" w:rsidRDefault="005710EB" w:rsidP="001F0104">
      <w:pPr>
        <w:spacing w:after="120"/>
        <w:ind w:left="709"/>
        <w:jc w:val="both"/>
        <w:rPr>
          <w:rFonts w:ascii="Times New Roman" w:hAnsi="Times New Roman" w:cs="Times New Roman"/>
          <w:sz w:val="24"/>
          <w:szCs w:val="24"/>
        </w:rPr>
      </w:pPr>
      <w:r w:rsidRPr="005710EB">
        <w:rPr>
          <w:rFonts w:ascii="Times New Roman" w:hAnsi="Times New Roman" w:cs="Times New Roman"/>
          <w:sz w:val="24"/>
          <w:szCs w:val="24"/>
        </w:rPr>
        <w:t xml:space="preserve">Rynek </w:t>
      </w:r>
      <w:r>
        <w:rPr>
          <w:rFonts w:ascii="Times New Roman" w:hAnsi="Times New Roman" w:cs="Times New Roman"/>
          <w:sz w:val="24"/>
          <w:szCs w:val="24"/>
        </w:rPr>
        <w:t>środków produkcji dla rolnictwa</w:t>
      </w:r>
      <w:r w:rsidRPr="005710EB">
        <w:rPr>
          <w:rFonts w:ascii="Times New Roman" w:hAnsi="Times New Roman" w:cs="Times New Roman"/>
          <w:sz w:val="24"/>
          <w:szCs w:val="24"/>
        </w:rPr>
        <w:t>, stan i perspektywy. [20</w:t>
      </w:r>
      <w:r>
        <w:rPr>
          <w:rFonts w:ascii="Times New Roman" w:hAnsi="Times New Roman" w:cs="Times New Roman"/>
          <w:sz w:val="24"/>
          <w:szCs w:val="24"/>
        </w:rPr>
        <w:t>12</w:t>
      </w:r>
      <w:r w:rsidRPr="005710EB">
        <w:rPr>
          <w:rFonts w:ascii="Times New Roman" w:hAnsi="Times New Roman" w:cs="Times New Roman"/>
          <w:sz w:val="24"/>
          <w:szCs w:val="24"/>
        </w:rPr>
        <w:t>]. Analizy rynkowe, IERiG</w:t>
      </w:r>
      <w:r>
        <w:rPr>
          <w:rFonts w:ascii="Times New Roman" w:hAnsi="Times New Roman" w:cs="Times New Roman"/>
          <w:sz w:val="24"/>
          <w:szCs w:val="24"/>
        </w:rPr>
        <w:t>Ż</w:t>
      </w:r>
      <w:r w:rsidRPr="005710EB">
        <w:rPr>
          <w:rFonts w:ascii="Times New Roman" w:hAnsi="Times New Roman" w:cs="Times New Roman"/>
          <w:sz w:val="24"/>
          <w:szCs w:val="24"/>
        </w:rPr>
        <w:t xml:space="preserve"> PIB, Warszawa.</w:t>
      </w:r>
    </w:p>
    <w:p w:rsidR="005710EB" w:rsidRDefault="005710EB" w:rsidP="005710EB">
      <w:pPr>
        <w:spacing w:after="120"/>
        <w:ind w:firstLine="709"/>
        <w:jc w:val="both"/>
        <w:rPr>
          <w:rFonts w:ascii="Times New Roman" w:hAnsi="Times New Roman" w:cs="Times New Roman"/>
          <w:sz w:val="24"/>
          <w:szCs w:val="24"/>
        </w:rPr>
      </w:pPr>
      <w:r>
        <w:rPr>
          <w:rFonts w:ascii="Times New Roman" w:hAnsi="Times New Roman" w:cs="Times New Roman"/>
          <w:sz w:val="24"/>
          <w:szCs w:val="24"/>
        </w:rPr>
        <w:t>Rynek Rolny nr 2 (252) 2012</w:t>
      </w:r>
      <w:r w:rsidR="00CD3FE1">
        <w:rPr>
          <w:rFonts w:ascii="Times New Roman" w:hAnsi="Times New Roman" w:cs="Times New Roman"/>
          <w:sz w:val="24"/>
          <w:szCs w:val="24"/>
        </w:rPr>
        <w:t>.</w:t>
      </w:r>
      <w:r>
        <w:rPr>
          <w:rFonts w:ascii="Times New Roman" w:hAnsi="Times New Roman" w:cs="Times New Roman"/>
          <w:sz w:val="24"/>
          <w:szCs w:val="24"/>
        </w:rPr>
        <w:t xml:space="preserve"> </w:t>
      </w:r>
      <w:r w:rsidRPr="005710EB">
        <w:rPr>
          <w:rFonts w:ascii="Times New Roman" w:hAnsi="Times New Roman" w:cs="Times New Roman"/>
          <w:sz w:val="24"/>
          <w:szCs w:val="24"/>
        </w:rPr>
        <w:t xml:space="preserve">Analizy rynkowe, </w:t>
      </w:r>
      <w:proofErr w:type="spellStart"/>
      <w:r w:rsidRPr="005710EB">
        <w:rPr>
          <w:rFonts w:ascii="Times New Roman" w:hAnsi="Times New Roman" w:cs="Times New Roman"/>
          <w:sz w:val="24"/>
          <w:szCs w:val="24"/>
        </w:rPr>
        <w:t>IERiG</w:t>
      </w:r>
      <w:r>
        <w:rPr>
          <w:rFonts w:ascii="Times New Roman" w:hAnsi="Times New Roman" w:cs="Times New Roman"/>
          <w:sz w:val="24"/>
          <w:szCs w:val="24"/>
        </w:rPr>
        <w:t>Ż</w:t>
      </w:r>
      <w:proofErr w:type="spellEnd"/>
      <w:r w:rsidRPr="005710EB">
        <w:rPr>
          <w:rFonts w:ascii="Times New Roman" w:hAnsi="Times New Roman" w:cs="Times New Roman"/>
          <w:sz w:val="24"/>
          <w:szCs w:val="24"/>
        </w:rPr>
        <w:t xml:space="preserve"> PIB, Warszawa.</w:t>
      </w:r>
    </w:p>
    <w:p w:rsidR="001F0104" w:rsidRDefault="001F0104" w:rsidP="001F0104">
      <w:pPr>
        <w:spacing w:after="120"/>
        <w:ind w:left="709"/>
        <w:jc w:val="both"/>
        <w:rPr>
          <w:rFonts w:ascii="Times New Roman" w:hAnsi="Times New Roman" w:cs="Times New Roman"/>
          <w:sz w:val="24"/>
          <w:szCs w:val="24"/>
        </w:rPr>
      </w:pPr>
      <w:r w:rsidRPr="001F0104">
        <w:rPr>
          <w:rFonts w:ascii="Times New Roman" w:hAnsi="Times New Roman" w:cs="Times New Roman"/>
          <w:sz w:val="24"/>
          <w:szCs w:val="24"/>
        </w:rPr>
        <w:t>Makowska</w:t>
      </w:r>
      <w:r>
        <w:rPr>
          <w:rFonts w:ascii="Times New Roman" w:hAnsi="Times New Roman" w:cs="Times New Roman"/>
          <w:sz w:val="24"/>
          <w:szCs w:val="24"/>
        </w:rPr>
        <w:t xml:space="preserve"> G.</w:t>
      </w:r>
      <w:r w:rsidRPr="001F0104">
        <w:rPr>
          <w:rFonts w:ascii="Times New Roman" w:hAnsi="Times New Roman" w:cs="Times New Roman"/>
          <w:sz w:val="24"/>
          <w:szCs w:val="24"/>
        </w:rPr>
        <w:t xml:space="preserve"> i in., „Skup i ceny produktów rolnych w 2011 r.”, GUS, Warszawa 2012.</w:t>
      </w:r>
    </w:p>
    <w:sectPr w:rsidR="001F0104" w:rsidSect="00FF48F4">
      <w:headerReference w:type="even" r:id="rId14"/>
      <w:headerReference w:type="default" r:id="rId15"/>
      <w:footerReference w:type="even" r:id="rId16"/>
      <w:footerReference w:type="default" r:id="rId17"/>
      <w:headerReference w:type="first" r:id="rId18"/>
      <w:footerReference w:type="firs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3FE1" w:rsidRDefault="00CD3FE1" w:rsidP="00CD3FE1">
      <w:pPr>
        <w:spacing w:after="0" w:line="240" w:lineRule="auto"/>
      </w:pPr>
      <w:r>
        <w:separator/>
      </w:r>
    </w:p>
  </w:endnote>
  <w:endnote w:type="continuationSeparator" w:id="0">
    <w:p w:rsidR="00CD3FE1" w:rsidRDefault="00CD3FE1" w:rsidP="00CD3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21" w:rsidRDefault="008B722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0981013"/>
      <w:docPartObj>
        <w:docPartGallery w:val="Page Numbers (Bottom of Page)"/>
        <w:docPartUnique/>
      </w:docPartObj>
    </w:sdtPr>
    <w:sdtContent>
      <w:bookmarkStart w:id="0" w:name="_GoBack" w:displacedByCustomXml="prev"/>
      <w:bookmarkEnd w:id="0" w:displacedByCustomXml="prev"/>
      <w:p w:rsidR="008B7221" w:rsidRDefault="008B7221">
        <w:pPr>
          <w:pStyle w:val="Stopka"/>
          <w:jc w:val="center"/>
        </w:pPr>
        <w:r>
          <w:fldChar w:fldCharType="begin"/>
        </w:r>
        <w:r>
          <w:instrText>PAGE   \* MERGEFORMAT</w:instrText>
        </w:r>
        <w:r>
          <w:fldChar w:fldCharType="separate"/>
        </w:r>
        <w:r>
          <w:rPr>
            <w:noProof/>
          </w:rPr>
          <w:t>15</w:t>
        </w:r>
        <w:r>
          <w:fldChar w:fldCharType="end"/>
        </w:r>
      </w:p>
    </w:sdtContent>
  </w:sdt>
  <w:p w:rsidR="008B7221" w:rsidRDefault="008B722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21" w:rsidRDefault="008B722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3FE1" w:rsidRDefault="00CD3FE1" w:rsidP="00CD3FE1">
      <w:pPr>
        <w:spacing w:after="0" w:line="240" w:lineRule="auto"/>
      </w:pPr>
      <w:r>
        <w:separator/>
      </w:r>
    </w:p>
  </w:footnote>
  <w:footnote w:type="continuationSeparator" w:id="0">
    <w:p w:rsidR="00CD3FE1" w:rsidRDefault="00CD3FE1" w:rsidP="00CD3F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21" w:rsidRDefault="008B722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21" w:rsidRDefault="008B722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221" w:rsidRDefault="008B7221">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E8C"/>
    <w:rsid w:val="00005FC4"/>
    <w:rsid w:val="000064F1"/>
    <w:rsid w:val="000B0A47"/>
    <w:rsid w:val="000C407F"/>
    <w:rsid w:val="000E2581"/>
    <w:rsid w:val="00103E7F"/>
    <w:rsid w:val="0011247C"/>
    <w:rsid w:val="00161B8E"/>
    <w:rsid w:val="00162F20"/>
    <w:rsid w:val="00164441"/>
    <w:rsid w:val="0017074E"/>
    <w:rsid w:val="0017186B"/>
    <w:rsid w:val="0018361F"/>
    <w:rsid w:val="0019071D"/>
    <w:rsid w:val="001A0E76"/>
    <w:rsid w:val="001A56C9"/>
    <w:rsid w:val="001B13AC"/>
    <w:rsid w:val="001C0475"/>
    <w:rsid w:val="001C684B"/>
    <w:rsid w:val="001D0E19"/>
    <w:rsid w:val="001D6AD1"/>
    <w:rsid w:val="001D70ED"/>
    <w:rsid w:val="001E5940"/>
    <w:rsid w:val="001F0104"/>
    <w:rsid w:val="001F1FF3"/>
    <w:rsid w:val="001F5E5A"/>
    <w:rsid w:val="00213581"/>
    <w:rsid w:val="00215A3F"/>
    <w:rsid w:val="0021651F"/>
    <w:rsid w:val="002301E5"/>
    <w:rsid w:val="00284308"/>
    <w:rsid w:val="002931F1"/>
    <w:rsid w:val="00294760"/>
    <w:rsid w:val="002A1C9E"/>
    <w:rsid w:val="002B0603"/>
    <w:rsid w:val="002B183C"/>
    <w:rsid w:val="002B2DCA"/>
    <w:rsid w:val="002B33BA"/>
    <w:rsid w:val="002B567F"/>
    <w:rsid w:val="002F7254"/>
    <w:rsid w:val="00324213"/>
    <w:rsid w:val="003323C8"/>
    <w:rsid w:val="00332483"/>
    <w:rsid w:val="003C2E95"/>
    <w:rsid w:val="003C4D1E"/>
    <w:rsid w:val="003E0CF5"/>
    <w:rsid w:val="00430FF7"/>
    <w:rsid w:val="004336A3"/>
    <w:rsid w:val="00445629"/>
    <w:rsid w:val="00451511"/>
    <w:rsid w:val="00460122"/>
    <w:rsid w:val="004604F5"/>
    <w:rsid w:val="00481672"/>
    <w:rsid w:val="00485BDE"/>
    <w:rsid w:val="00496BF9"/>
    <w:rsid w:val="004A43E4"/>
    <w:rsid w:val="004B6B4B"/>
    <w:rsid w:val="004B7D92"/>
    <w:rsid w:val="004E1A0D"/>
    <w:rsid w:val="004E3AE8"/>
    <w:rsid w:val="004E3FF2"/>
    <w:rsid w:val="005107E3"/>
    <w:rsid w:val="005136BF"/>
    <w:rsid w:val="00547F66"/>
    <w:rsid w:val="005710EB"/>
    <w:rsid w:val="0061071A"/>
    <w:rsid w:val="00613B56"/>
    <w:rsid w:val="006300DF"/>
    <w:rsid w:val="00670635"/>
    <w:rsid w:val="00674AD4"/>
    <w:rsid w:val="00677F4C"/>
    <w:rsid w:val="00694571"/>
    <w:rsid w:val="006A3EFC"/>
    <w:rsid w:val="006A64B7"/>
    <w:rsid w:val="006B6356"/>
    <w:rsid w:val="006D51E9"/>
    <w:rsid w:val="006E139D"/>
    <w:rsid w:val="006E265E"/>
    <w:rsid w:val="006F4753"/>
    <w:rsid w:val="006F5D81"/>
    <w:rsid w:val="007108A8"/>
    <w:rsid w:val="00716850"/>
    <w:rsid w:val="00727E9E"/>
    <w:rsid w:val="0074064B"/>
    <w:rsid w:val="00743081"/>
    <w:rsid w:val="00750607"/>
    <w:rsid w:val="007574FC"/>
    <w:rsid w:val="00780AE9"/>
    <w:rsid w:val="007A0CA3"/>
    <w:rsid w:val="007C4E34"/>
    <w:rsid w:val="007D2ED2"/>
    <w:rsid w:val="007F28E8"/>
    <w:rsid w:val="0082507E"/>
    <w:rsid w:val="00837EFE"/>
    <w:rsid w:val="008813EE"/>
    <w:rsid w:val="008976C4"/>
    <w:rsid w:val="008B7221"/>
    <w:rsid w:val="008C10E7"/>
    <w:rsid w:val="008C2BB1"/>
    <w:rsid w:val="008D1372"/>
    <w:rsid w:val="008D2F88"/>
    <w:rsid w:val="00931995"/>
    <w:rsid w:val="00931D2B"/>
    <w:rsid w:val="00974550"/>
    <w:rsid w:val="009C76F4"/>
    <w:rsid w:val="009D11A6"/>
    <w:rsid w:val="009D120E"/>
    <w:rsid w:val="009D69D6"/>
    <w:rsid w:val="009E27C4"/>
    <w:rsid w:val="00A43AC2"/>
    <w:rsid w:val="00A605F3"/>
    <w:rsid w:val="00A65AFD"/>
    <w:rsid w:val="00A84EAD"/>
    <w:rsid w:val="00A8762E"/>
    <w:rsid w:val="00A93EDC"/>
    <w:rsid w:val="00AA538A"/>
    <w:rsid w:val="00AB04CA"/>
    <w:rsid w:val="00AB25F6"/>
    <w:rsid w:val="00AB31A3"/>
    <w:rsid w:val="00AC4CBF"/>
    <w:rsid w:val="00AD587D"/>
    <w:rsid w:val="00AD6139"/>
    <w:rsid w:val="00AE0C6A"/>
    <w:rsid w:val="00AE4AAA"/>
    <w:rsid w:val="00AE5067"/>
    <w:rsid w:val="00AE5FCA"/>
    <w:rsid w:val="00AF4623"/>
    <w:rsid w:val="00B0005C"/>
    <w:rsid w:val="00B144AD"/>
    <w:rsid w:val="00B451A6"/>
    <w:rsid w:val="00B514EA"/>
    <w:rsid w:val="00B563AD"/>
    <w:rsid w:val="00B60CBD"/>
    <w:rsid w:val="00B675BA"/>
    <w:rsid w:val="00B75A7F"/>
    <w:rsid w:val="00B84FE5"/>
    <w:rsid w:val="00B85355"/>
    <w:rsid w:val="00B865B4"/>
    <w:rsid w:val="00B90E3E"/>
    <w:rsid w:val="00BB4E63"/>
    <w:rsid w:val="00BB6836"/>
    <w:rsid w:val="00BB7C62"/>
    <w:rsid w:val="00BC1477"/>
    <w:rsid w:val="00BD48F0"/>
    <w:rsid w:val="00C13334"/>
    <w:rsid w:val="00C16F6F"/>
    <w:rsid w:val="00C23A0C"/>
    <w:rsid w:val="00C535A2"/>
    <w:rsid w:val="00C64DAD"/>
    <w:rsid w:val="00C8798E"/>
    <w:rsid w:val="00C901D2"/>
    <w:rsid w:val="00C90BB2"/>
    <w:rsid w:val="00C93439"/>
    <w:rsid w:val="00CC02C6"/>
    <w:rsid w:val="00CC35C7"/>
    <w:rsid w:val="00CD3FE1"/>
    <w:rsid w:val="00CE24D0"/>
    <w:rsid w:val="00CE4214"/>
    <w:rsid w:val="00CF6BA3"/>
    <w:rsid w:val="00D364EE"/>
    <w:rsid w:val="00D37578"/>
    <w:rsid w:val="00D53D05"/>
    <w:rsid w:val="00D53F97"/>
    <w:rsid w:val="00D55DAA"/>
    <w:rsid w:val="00D637C4"/>
    <w:rsid w:val="00D76E1C"/>
    <w:rsid w:val="00DC292C"/>
    <w:rsid w:val="00DD32E3"/>
    <w:rsid w:val="00DD6EC8"/>
    <w:rsid w:val="00DE0C48"/>
    <w:rsid w:val="00DF3F96"/>
    <w:rsid w:val="00E019DF"/>
    <w:rsid w:val="00E04039"/>
    <w:rsid w:val="00E3413E"/>
    <w:rsid w:val="00E56CAC"/>
    <w:rsid w:val="00E773B3"/>
    <w:rsid w:val="00E80C4F"/>
    <w:rsid w:val="00E916BF"/>
    <w:rsid w:val="00E95584"/>
    <w:rsid w:val="00EA5C1E"/>
    <w:rsid w:val="00ED0D97"/>
    <w:rsid w:val="00ED6A53"/>
    <w:rsid w:val="00F06A12"/>
    <w:rsid w:val="00F73E8C"/>
    <w:rsid w:val="00FB2DE2"/>
    <w:rsid w:val="00FD73EC"/>
    <w:rsid w:val="00FE4D1F"/>
    <w:rsid w:val="00FF48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0475"/>
  </w:style>
  <w:style w:type="paragraph" w:styleId="Nagwek1">
    <w:name w:val="heading 1"/>
    <w:basedOn w:val="Normalny"/>
    <w:next w:val="Normalny"/>
    <w:link w:val="Nagwek1Znak"/>
    <w:uiPriority w:val="9"/>
    <w:qFormat/>
    <w:rsid w:val="006D51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8D2F88"/>
    <w:pPr>
      <w:keepNext/>
      <w:spacing w:after="0" w:line="240" w:lineRule="auto"/>
      <w:ind w:right="-828"/>
      <w:jc w:val="both"/>
      <w:outlineLvl w:val="1"/>
    </w:pPr>
    <w:rPr>
      <w:rFonts w:ascii="Times New Roman" w:eastAsia="Times New Roman" w:hAnsi="Times New Roman" w:cs="Times New Roman"/>
      <w:i/>
      <w:iCs/>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D2F88"/>
    <w:rPr>
      <w:rFonts w:ascii="Times New Roman" w:eastAsia="Times New Roman" w:hAnsi="Times New Roman" w:cs="Times New Roman"/>
      <w:i/>
      <w:iCs/>
      <w:sz w:val="20"/>
      <w:lang w:eastAsia="pl-PL"/>
    </w:rPr>
  </w:style>
  <w:style w:type="paragraph" w:styleId="Tekstpodstawowywcity3">
    <w:name w:val="Body Text Indent 3"/>
    <w:basedOn w:val="Normalny"/>
    <w:link w:val="Tekstpodstawowywcity3Znak"/>
    <w:rsid w:val="008D2F88"/>
    <w:pPr>
      <w:spacing w:after="0" w:line="360" w:lineRule="auto"/>
      <w:ind w:left="360"/>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8D2F88"/>
    <w:rPr>
      <w:rFonts w:ascii="Times New Roman" w:eastAsia="Times New Roman" w:hAnsi="Times New Roman" w:cs="Times New Roman"/>
      <w:sz w:val="24"/>
      <w:szCs w:val="24"/>
      <w:lang w:eastAsia="pl-PL"/>
    </w:rPr>
  </w:style>
  <w:style w:type="paragraph" w:styleId="Legenda">
    <w:name w:val="caption"/>
    <w:basedOn w:val="Normalny"/>
    <w:next w:val="Normalny"/>
    <w:qFormat/>
    <w:rsid w:val="008D2F88"/>
    <w:pPr>
      <w:spacing w:after="0" w:line="240" w:lineRule="auto"/>
    </w:pPr>
    <w:rPr>
      <w:rFonts w:ascii="Times New Roman" w:eastAsia="Times New Roman" w:hAnsi="Times New Roman" w:cs="Times New Roman"/>
      <w:b/>
      <w:bCs/>
      <w:sz w:val="20"/>
      <w:szCs w:val="20"/>
      <w:lang w:eastAsia="pl-PL"/>
    </w:rPr>
  </w:style>
  <w:style w:type="paragraph" w:styleId="Stopka">
    <w:name w:val="footer"/>
    <w:basedOn w:val="Normalny"/>
    <w:link w:val="StopkaZnak"/>
    <w:uiPriority w:val="99"/>
    <w:rsid w:val="008D2F8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8D2F88"/>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D2F8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D2F88"/>
    <w:rPr>
      <w:rFonts w:ascii="Tahoma" w:hAnsi="Tahoma" w:cs="Tahoma"/>
      <w:sz w:val="16"/>
      <w:szCs w:val="16"/>
    </w:rPr>
  </w:style>
  <w:style w:type="paragraph" w:styleId="Tekstpodstawowy2">
    <w:name w:val="Body Text 2"/>
    <w:basedOn w:val="Normalny"/>
    <w:link w:val="Tekstpodstawowy2Znak"/>
    <w:uiPriority w:val="99"/>
    <w:unhideWhenUsed/>
    <w:rsid w:val="006A64B7"/>
    <w:pPr>
      <w:spacing w:after="120" w:line="480" w:lineRule="auto"/>
    </w:pPr>
  </w:style>
  <w:style w:type="character" w:customStyle="1" w:styleId="Tekstpodstawowy2Znak">
    <w:name w:val="Tekst podstawowy 2 Znak"/>
    <w:basedOn w:val="Domylnaczcionkaakapitu"/>
    <w:link w:val="Tekstpodstawowy2"/>
    <w:uiPriority w:val="99"/>
    <w:rsid w:val="006A64B7"/>
  </w:style>
  <w:style w:type="paragraph" w:styleId="Tekstpodstawowy">
    <w:name w:val="Body Text"/>
    <w:basedOn w:val="Normalny"/>
    <w:link w:val="TekstpodstawowyZnak"/>
    <w:uiPriority w:val="99"/>
    <w:unhideWhenUsed/>
    <w:rsid w:val="006A64B7"/>
    <w:pPr>
      <w:spacing w:after="120"/>
    </w:pPr>
  </w:style>
  <w:style w:type="character" w:customStyle="1" w:styleId="TekstpodstawowyZnak">
    <w:name w:val="Tekst podstawowy Znak"/>
    <w:basedOn w:val="Domylnaczcionkaakapitu"/>
    <w:link w:val="Tekstpodstawowy"/>
    <w:uiPriority w:val="99"/>
    <w:rsid w:val="006A64B7"/>
  </w:style>
  <w:style w:type="paragraph" w:styleId="Akapitzlist">
    <w:name w:val="List Paragraph"/>
    <w:basedOn w:val="Normalny"/>
    <w:uiPriority w:val="34"/>
    <w:qFormat/>
    <w:rsid w:val="00C90BB2"/>
    <w:pPr>
      <w:ind w:left="720"/>
      <w:contextualSpacing/>
    </w:pPr>
  </w:style>
  <w:style w:type="paragraph" w:styleId="Tytu">
    <w:name w:val="Title"/>
    <w:basedOn w:val="Normalny"/>
    <w:link w:val="TytuZnak"/>
    <w:qFormat/>
    <w:rsid w:val="00D53D05"/>
    <w:pPr>
      <w:spacing w:after="0" w:line="360" w:lineRule="auto"/>
      <w:ind w:firstLine="708"/>
      <w:jc w:val="center"/>
    </w:pPr>
    <w:rPr>
      <w:rFonts w:ascii="Times New Roman" w:eastAsia="Calibri" w:hAnsi="Times New Roman" w:cs="Times New Roman"/>
      <w:b/>
      <w:bCs/>
      <w:sz w:val="24"/>
      <w:szCs w:val="24"/>
      <w:lang w:eastAsia="pl-PL"/>
    </w:rPr>
  </w:style>
  <w:style w:type="character" w:customStyle="1" w:styleId="TytuZnak">
    <w:name w:val="Tytuł Znak"/>
    <w:basedOn w:val="Domylnaczcionkaakapitu"/>
    <w:link w:val="Tytu"/>
    <w:rsid w:val="00D53D05"/>
    <w:rPr>
      <w:rFonts w:ascii="Times New Roman" w:eastAsia="Calibri" w:hAnsi="Times New Roman" w:cs="Times New Roman"/>
      <w:b/>
      <w:bCs/>
      <w:sz w:val="24"/>
      <w:szCs w:val="24"/>
      <w:lang w:eastAsia="pl-PL"/>
    </w:rPr>
  </w:style>
  <w:style w:type="character" w:customStyle="1" w:styleId="Nagwek1Znak">
    <w:name w:val="Nagłówek 1 Znak"/>
    <w:basedOn w:val="Domylnaczcionkaakapitu"/>
    <w:link w:val="Nagwek1"/>
    <w:uiPriority w:val="9"/>
    <w:rsid w:val="006D51E9"/>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CD3F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3F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C0475"/>
  </w:style>
  <w:style w:type="paragraph" w:styleId="Nagwek1">
    <w:name w:val="heading 1"/>
    <w:basedOn w:val="Normalny"/>
    <w:next w:val="Normalny"/>
    <w:link w:val="Nagwek1Znak"/>
    <w:uiPriority w:val="9"/>
    <w:qFormat/>
    <w:rsid w:val="006D51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8D2F88"/>
    <w:pPr>
      <w:keepNext/>
      <w:spacing w:after="0" w:line="240" w:lineRule="auto"/>
      <w:ind w:right="-828"/>
      <w:jc w:val="both"/>
      <w:outlineLvl w:val="1"/>
    </w:pPr>
    <w:rPr>
      <w:rFonts w:ascii="Times New Roman" w:eastAsia="Times New Roman" w:hAnsi="Times New Roman" w:cs="Times New Roman"/>
      <w:i/>
      <w:iCs/>
      <w:sz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8D2F88"/>
    <w:rPr>
      <w:rFonts w:ascii="Times New Roman" w:eastAsia="Times New Roman" w:hAnsi="Times New Roman" w:cs="Times New Roman"/>
      <w:i/>
      <w:iCs/>
      <w:sz w:val="20"/>
      <w:lang w:eastAsia="pl-PL"/>
    </w:rPr>
  </w:style>
  <w:style w:type="paragraph" w:styleId="Tekstpodstawowywcity3">
    <w:name w:val="Body Text Indent 3"/>
    <w:basedOn w:val="Normalny"/>
    <w:link w:val="Tekstpodstawowywcity3Znak"/>
    <w:rsid w:val="008D2F88"/>
    <w:pPr>
      <w:spacing w:after="0" w:line="360" w:lineRule="auto"/>
      <w:ind w:left="360"/>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rsid w:val="008D2F88"/>
    <w:rPr>
      <w:rFonts w:ascii="Times New Roman" w:eastAsia="Times New Roman" w:hAnsi="Times New Roman" w:cs="Times New Roman"/>
      <w:sz w:val="24"/>
      <w:szCs w:val="24"/>
      <w:lang w:eastAsia="pl-PL"/>
    </w:rPr>
  </w:style>
  <w:style w:type="paragraph" w:styleId="Legenda">
    <w:name w:val="caption"/>
    <w:basedOn w:val="Normalny"/>
    <w:next w:val="Normalny"/>
    <w:qFormat/>
    <w:rsid w:val="008D2F88"/>
    <w:pPr>
      <w:spacing w:after="0" w:line="240" w:lineRule="auto"/>
    </w:pPr>
    <w:rPr>
      <w:rFonts w:ascii="Times New Roman" w:eastAsia="Times New Roman" w:hAnsi="Times New Roman" w:cs="Times New Roman"/>
      <w:b/>
      <w:bCs/>
      <w:sz w:val="20"/>
      <w:szCs w:val="20"/>
      <w:lang w:eastAsia="pl-PL"/>
    </w:rPr>
  </w:style>
  <w:style w:type="paragraph" w:styleId="Stopka">
    <w:name w:val="footer"/>
    <w:basedOn w:val="Normalny"/>
    <w:link w:val="StopkaZnak"/>
    <w:uiPriority w:val="99"/>
    <w:rsid w:val="008D2F8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8D2F88"/>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8D2F8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D2F88"/>
    <w:rPr>
      <w:rFonts w:ascii="Tahoma" w:hAnsi="Tahoma" w:cs="Tahoma"/>
      <w:sz w:val="16"/>
      <w:szCs w:val="16"/>
    </w:rPr>
  </w:style>
  <w:style w:type="paragraph" w:styleId="Tekstpodstawowy2">
    <w:name w:val="Body Text 2"/>
    <w:basedOn w:val="Normalny"/>
    <w:link w:val="Tekstpodstawowy2Znak"/>
    <w:uiPriority w:val="99"/>
    <w:unhideWhenUsed/>
    <w:rsid w:val="006A64B7"/>
    <w:pPr>
      <w:spacing w:after="120" w:line="480" w:lineRule="auto"/>
    </w:pPr>
  </w:style>
  <w:style w:type="character" w:customStyle="1" w:styleId="Tekstpodstawowy2Znak">
    <w:name w:val="Tekst podstawowy 2 Znak"/>
    <w:basedOn w:val="Domylnaczcionkaakapitu"/>
    <w:link w:val="Tekstpodstawowy2"/>
    <w:uiPriority w:val="99"/>
    <w:rsid w:val="006A64B7"/>
  </w:style>
  <w:style w:type="paragraph" w:styleId="Tekstpodstawowy">
    <w:name w:val="Body Text"/>
    <w:basedOn w:val="Normalny"/>
    <w:link w:val="TekstpodstawowyZnak"/>
    <w:uiPriority w:val="99"/>
    <w:unhideWhenUsed/>
    <w:rsid w:val="006A64B7"/>
    <w:pPr>
      <w:spacing w:after="120"/>
    </w:pPr>
  </w:style>
  <w:style w:type="character" w:customStyle="1" w:styleId="TekstpodstawowyZnak">
    <w:name w:val="Tekst podstawowy Znak"/>
    <w:basedOn w:val="Domylnaczcionkaakapitu"/>
    <w:link w:val="Tekstpodstawowy"/>
    <w:uiPriority w:val="99"/>
    <w:rsid w:val="006A64B7"/>
  </w:style>
  <w:style w:type="paragraph" w:styleId="Akapitzlist">
    <w:name w:val="List Paragraph"/>
    <w:basedOn w:val="Normalny"/>
    <w:uiPriority w:val="34"/>
    <w:qFormat/>
    <w:rsid w:val="00C90BB2"/>
    <w:pPr>
      <w:ind w:left="720"/>
      <w:contextualSpacing/>
    </w:pPr>
  </w:style>
  <w:style w:type="paragraph" w:styleId="Tytu">
    <w:name w:val="Title"/>
    <w:basedOn w:val="Normalny"/>
    <w:link w:val="TytuZnak"/>
    <w:qFormat/>
    <w:rsid w:val="00D53D05"/>
    <w:pPr>
      <w:spacing w:after="0" w:line="360" w:lineRule="auto"/>
      <w:ind w:firstLine="708"/>
      <w:jc w:val="center"/>
    </w:pPr>
    <w:rPr>
      <w:rFonts w:ascii="Times New Roman" w:eastAsia="Calibri" w:hAnsi="Times New Roman" w:cs="Times New Roman"/>
      <w:b/>
      <w:bCs/>
      <w:sz w:val="24"/>
      <w:szCs w:val="24"/>
      <w:lang w:eastAsia="pl-PL"/>
    </w:rPr>
  </w:style>
  <w:style w:type="character" w:customStyle="1" w:styleId="TytuZnak">
    <w:name w:val="Tytuł Znak"/>
    <w:basedOn w:val="Domylnaczcionkaakapitu"/>
    <w:link w:val="Tytu"/>
    <w:rsid w:val="00D53D05"/>
    <w:rPr>
      <w:rFonts w:ascii="Times New Roman" w:eastAsia="Calibri" w:hAnsi="Times New Roman" w:cs="Times New Roman"/>
      <w:b/>
      <w:bCs/>
      <w:sz w:val="24"/>
      <w:szCs w:val="24"/>
      <w:lang w:eastAsia="pl-PL"/>
    </w:rPr>
  </w:style>
  <w:style w:type="character" w:customStyle="1" w:styleId="Nagwek1Znak">
    <w:name w:val="Nagłówek 1 Znak"/>
    <w:basedOn w:val="Domylnaczcionkaakapitu"/>
    <w:link w:val="Nagwek1"/>
    <w:uiPriority w:val="9"/>
    <w:rsid w:val="006D51E9"/>
    <w:rPr>
      <w:rFonts w:asciiTheme="majorHAnsi" w:eastAsiaTheme="majorEastAsia" w:hAnsiTheme="majorHAnsi" w:cstheme="majorBidi"/>
      <w:b/>
      <w:bCs/>
      <w:color w:val="365F91" w:themeColor="accent1" w:themeShade="BF"/>
      <w:sz w:val="28"/>
      <w:szCs w:val="28"/>
    </w:rPr>
  </w:style>
  <w:style w:type="paragraph" w:styleId="Nagwek">
    <w:name w:val="header"/>
    <w:basedOn w:val="Normalny"/>
    <w:link w:val="NagwekZnak"/>
    <w:uiPriority w:val="99"/>
    <w:unhideWhenUsed/>
    <w:rsid w:val="00CD3FE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D3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614068">
      <w:bodyDiv w:val="1"/>
      <w:marLeft w:val="0"/>
      <w:marRight w:val="0"/>
      <w:marTop w:val="0"/>
      <w:marBottom w:val="0"/>
      <w:divBdr>
        <w:top w:val="none" w:sz="0" w:space="0" w:color="auto"/>
        <w:left w:val="none" w:sz="0" w:space="0" w:color="auto"/>
        <w:bottom w:val="none" w:sz="0" w:space="0" w:color="auto"/>
        <w:right w:val="none" w:sz="0" w:space="0" w:color="auto"/>
      </w:divBdr>
    </w:div>
    <w:div w:id="1167938381">
      <w:bodyDiv w:val="1"/>
      <w:marLeft w:val="0"/>
      <w:marRight w:val="0"/>
      <w:marTop w:val="0"/>
      <w:marBottom w:val="0"/>
      <w:divBdr>
        <w:top w:val="none" w:sz="0" w:space="0" w:color="auto"/>
        <w:left w:val="none" w:sz="0" w:space="0" w:color="auto"/>
        <w:bottom w:val="none" w:sz="0" w:space="0" w:color="auto"/>
        <w:right w:val="none" w:sz="0" w:space="0" w:color="auto"/>
      </w:divBdr>
    </w:div>
    <w:div w:id="1428114797">
      <w:bodyDiv w:val="1"/>
      <w:marLeft w:val="0"/>
      <w:marRight w:val="0"/>
      <w:marTop w:val="0"/>
      <w:marBottom w:val="0"/>
      <w:divBdr>
        <w:top w:val="none" w:sz="0" w:space="0" w:color="auto"/>
        <w:left w:val="none" w:sz="0" w:space="0" w:color="auto"/>
        <w:bottom w:val="none" w:sz="0" w:space="0" w:color="auto"/>
        <w:right w:val="none" w:sz="0" w:space="0" w:color="auto"/>
      </w:divBdr>
    </w:div>
    <w:div w:id="165664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oleObject" Target="embeddings/oleObject1.bin"/><Relationship Id="rId18" Type="http://schemas.openxmlformats.org/officeDocument/2006/relationships/header" Target="head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Arkusz_programu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Arkusz_programu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Arkusz_programu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Arkusz_programu_Microsoft_Excel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059190031152648"/>
          <c:y val="4.8672566371681415E-2"/>
          <c:w val="0.89719626168224254"/>
          <c:h val="0.61504424778761069"/>
        </c:manualLayout>
      </c:layout>
      <c:lineChart>
        <c:grouping val="standard"/>
        <c:varyColors val="0"/>
        <c:ser>
          <c:idx val="0"/>
          <c:order val="0"/>
          <c:tx>
            <c:strRef>
              <c:f>Sheet1!$B$1</c:f>
              <c:strCache>
                <c:ptCount val="1"/>
                <c:pt idx="0">
                  <c:v>Sto</c:v>
                </c:pt>
              </c:strCache>
            </c:strRef>
          </c:tx>
          <c:spPr>
            <a:ln w="25422">
              <a:solidFill>
                <a:srgbClr val="000000"/>
              </a:solidFill>
              <a:prstDash val="solid"/>
            </a:ln>
          </c:spPr>
          <c:marker>
            <c:symbol val="none"/>
          </c:marker>
          <c:cat>
            <c:strRef>
              <c:f>Sheet1!$A$2:$A$43</c:f>
              <c:strCache>
                <c:ptCount val="42"/>
                <c:pt idx="0">
                  <c:v>VII 08</c:v>
                </c:pt>
                <c:pt idx="1">
                  <c:v>VIII 08</c:v>
                </c:pt>
                <c:pt idx="2">
                  <c:v>IX 08</c:v>
                </c:pt>
                <c:pt idx="3">
                  <c:v>X 09</c:v>
                </c:pt>
                <c:pt idx="4">
                  <c:v>XI 08</c:v>
                </c:pt>
                <c:pt idx="5">
                  <c:v>XII 08</c:v>
                </c:pt>
                <c:pt idx="6">
                  <c:v>I 08</c:v>
                </c:pt>
                <c:pt idx="7">
                  <c:v>II 08</c:v>
                </c:pt>
                <c:pt idx="8">
                  <c:v>III 09</c:v>
                </c:pt>
                <c:pt idx="9">
                  <c:v>IV 09</c:v>
                </c:pt>
                <c:pt idx="10">
                  <c:v>V 09</c:v>
                </c:pt>
                <c:pt idx="11">
                  <c:v>VI 09</c:v>
                </c:pt>
                <c:pt idx="12">
                  <c:v>VII 09</c:v>
                </c:pt>
                <c:pt idx="13">
                  <c:v>VIII 09</c:v>
                </c:pt>
                <c:pt idx="14">
                  <c:v>IX 09</c:v>
                </c:pt>
                <c:pt idx="15">
                  <c:v>X 09</c:v>
                </c:pt>
                <c:pt idx="16">
                  <c:v>XI 09</c:v>
                </c:pt>
                <c:pt idx="17">
                  <c:v>XII 09</c:v>
                </c:pt>
                <c:pt idx="18">
                  <c:v>I 10</c:v>
                </c:pt>
                <c:pt idx="19">
                  <c:v>II 10</c:v>
                </c:pt>
                <c:pt idx="20">
                  <c:v>III 10</c:v>
                </c:pt>
                <c:pt idx="21">
                  <c:v>IV 10</c:v>
                </c:pt>
                <c:pt idx="22">
                  <c:v>V 10</c:v>
                </c:pt>
                <c:pt idx="23">
                  <c:v>VI 10</c:v>
                </c:pt>
                <c:pt idx="24">
                  <c:v>VII 10</c:v>
                </c:pt>
                <c:pt idx="25">
                  <c:v>VIII 10</c:v>
                </c:pt>
                <c:pt idx="26">
                  <c:v>IX 10</c:v>
                </c:pt>
                <c:pt idx="27">
                  <c:v>X 10</c:v>
                </c:pt>
                <c:pt idx="28">
                  <c:v>XI 10</c:v>
                </c:pt>
                <c:pt idx="29">
                  <c:v>XII 10</c:v>
                </c:pt>
                <c:pt idx="30">
                  <c:v>I  11</c:v>
                </c:pt>
                <c:pt idx="31">
                  <c:v>II 11</c:v>
                </c:pt>
                <c:pt idx="32">
                  <c:v>III 11</c:v>
                </c:pt>
                <c:pt idx="33">
                  <c:v>IV 11</c:v>
                </c:pt>
                <c:pt idx="34">
                  <c:v>V 11</c:v>
                </c:pt>
                <c:pt idx="35">
                  <c:v>VI 11</c:v>
                </c:pt>
                <c:pt idx="36">
                  <c:v>VII 11</c:v>
                </c:pt>
                <c:pt idx="37">
                  <c:v>VIII 11</c:v>
                </c:pt>
                <c:pt idx="38">
                  <c:v>IX 11</c:v>
                </c:pt>
                <c:pt idx="39">
                  <c:v>X 11</c:v>
                </c:pt>
                <c:pt idx="40">
                  <c:v>XI 11</c:v>
                </c:pt>
                <c:pt idx="41">
                  <c:v>XII 11</c:v>
                </c:pt>
              </c:strCache>
            </c:strRef>
          </c:cat>
          <c:val>
            <c:numRef>
              <c:f>Sheet1!$B$2:$B$43</c:f>
              <c:numCache>
                <c:formatCode>General</c:formatCode>
                <c:ptCount val="42"/>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pt idx="31">
                  <c:v>100</c:v>
                </c:pt>
                <c:pt idx="32">
                  <c:v>100</c:v>
                </c:pt>
                <c:pt idx="33">
                  <c:v>100</c:v>
                </c:pt>
                <c:pt idx="34">
                  <c:v>100</c:v>
                </c:pt>
                <c:pt idx="35">
                  <c:v>100</c:v>
                </c:pt>
                <c:pt idx="36">
                  <c:v>100</c:v>
                </c:pt>
                <c:pt idx="37">
                  <c:v>100</c:v>
                </c:pt>
                <c:pt idx="38">
                  <c:v>100</c:v>
                </c:pt>
                <c:pt idx="39">
                  <c:v>100</c:v>
                </c:pt>
                <c:pt idx="40">
                  <c:v>100</c:v>
                </c:pt>
                <c:pt idx="41">
                  <c:v>100</c:v>
                </c:pt>
              </c:numCache>
            </c:numRef>
          </c:val>
          <c:smooth val="1"/>
        </c:ser>
        <c:ser>
          <c:idx val="1"/>
          <c:order val="1"/>
          <c:tx>
            <c:strRef>
              <c:f>Sheet1!$C$1</c:f>
              <c:strCache>
                <c:ptCount val="1"/>
                <c:pt idx="0">
                  <c:v>Potencjalny popyt</c:v>
                </c:pt>
              </c:strCache>
            </c:strRef>
          </c:tx>
          <c:spPr>
            <a:ln w="25422">
              <a:solidFill>
                <a:srgbClr val="00FF00"/>
              </a:solidFill>
              <a:prstDash val="solid"/>
            </a:ln>
          </c:spPr>
          <c:marker>
            <c:symbol val="none"/>
          </c:marker>
          <c:cat>
            <c:strRef>
              <c:f>Sheet1!$A$2:$A$43</c:f>
              <c:strCache>
                <c:ptCount val="42"/>
                <c:pt idx="0">
                  <c:v>VII 08</c:v>
                </c:pt>
                <c:pt idx="1">
                  <c:v>VIII 08</c:v>
                </c:pt>
                <c:pt idx="2">
                  <c:v>IX 08</c:v>
                </c:pt>
                <c:pt idx="3">
                  <c:v>X 09</c:v>
                </c:pt>
                <c:pt idx="4">
                  <c:v>XI 08</c:v>
                </c:pt>
                <c:pt idx="5">
                  <c:v>XII 08</c:v>
                </c:pt>
                <c:pt idx="6">
                  <c:v>I 08</c:v>
                </c:pt>
                <c:pt idx="7">
                  <c:v>II 08</c:v>
                </c:pt>
                <c:pt idx="8">
                  <c:v>III 09</c:v>
                </c:pt>
                <c:pt idx="9">
                  <c:v>IV 09</c:v>
                </c:pt>
                <c:pt idx="10">
                  <c:v>V 09</c:v>
                </c:pt>
                <c:pt idx="11">
                  <c:v>VI 09</c:v>
                </c:pt>
                <c:pt idx="12">
                  <c:v>VII 09</c:v>
                </c:pt>
                <c:pt idx="13">
                  <c:v>VIII 09</c:v>
                </c:pt>
                <c:pt idx="14">
                  <c:v>IX 09</c:v>
                </c:pt>
                <c:pt idx="15">
                  <c:v>X 09</c:v>
                </c:pt>
                <c:pt idx="16">
                  <c:v>XI 09</c:v>
                </c:pt>
                <c:pt idx="17">
                  <c:v>XII 09</c:v>
                </c:pt>
                <c:pt idx="18">
                  <c:v>I 10</c:v>
                </c:pt>
                <c:pt idx="19">
                  <c:v>II 10</c:v>
                </c:pt>
                <c:pt idx="20">
                  <c:v>III 10</c:v>
                </c:pt>
                <c:pt idx="21">
                  <c:v>IV 10</c:v>
                </c:pt>
                <c:pt idx="22">
                  <c:v>V 10</c:v>
                </c:pt>
                <c:pt idx="23">
                  <c:v>VI 10</c:v>
                </c:pt>
                <c:pt idx="24">
                  <c:v>VII 10</c:v>
                </c:pt>
                <c:pt idx="25">
                  <c:v>VIII 10</c:v>
                </c:pt>
                <c:pt idx="26">
                  <c:v>IX 10</c:v>
                </c:pt>
                <c:pt idx="27">
                  <c:v>X 10</c:v>
                </c:pt>
                <c:pt idx="28">
                  <c:v>XI 10</c:v>
                </c:pt>
                <c:pt idx="29">
                  <c:v>XII 10</c:v>
                </c:pt>
                <c:pt idx="30">
                  <c:v>I  11</c:v>
                </c:pt>
                <c:pt idx="31">
                  <c:v>II 11</c:v>
                </c:pt>
                <c:pt idx="32">
                  <c:v>III 11</c:v>
                </c:pt>
                <c:pt idx="33">
                  <c:v>IV 11</c:v>
                </c:pt>
                <c:pt idx="34">
                  <c:v>V 11</c:v>
                </c:pt>
                <c:pt idx="35">
                  <c:v>VI 11</c:v>
                </c:pt>
                <c:pt idx="36">
                  <c:v>VII 11</c:v>
                </c:pt>
                <c:pt idx="37">
                  <c:v>VIII 11</c:v>
                </c:pt>
                <c:pt idx="38">
                  <c:v>IX 11</c:v>
                </c:pt>
                <c:pt idx="39">
                  <c:v>X 11</c:v>
                </c:pt>
                <c:pt idx="40">
                  <c:v>XI 11</c:v>
                </c:pt>
                <c:pt idx="41">
                  <c:v>XII 11</c:v>
                </c:pt>
              </c:strCache>
            </c:strRef>
          </c:cat>
          <c:val>
            <c:numRef>
              <c:f>Sheet1!$C$2:$C$43</c:f>
              <c:numCache>
                <c:formatCode>#,#00</c:formatCode>
                <c:ptCount val="42"/>
                <c:pt idx="0">
                  <c:v>101</c:v>
                </c:pt>
                <c:pt idx="1">
                  <c:v>100.9</c:v>
                </c:pt>
                <c:pt idx="2">
                  <c:v>100.3</c:v>
                </c:pt>
                <c:pt idx="3">
                  <c:v>100.6</c:v>
                </c:pt>
                <c:pt idx="4">
                  <c:v>101</c:v>
                </c:pt>
                <c:pt idx="5">
                  <c:v>100.7</c:v>
                </c:pt>
                <c:pt idx="6">
                  <c:v>99.9</c:v>
                </c:pt>
                <c:pt idx="7">
                  <c:v>99.8</c:v>
                </c:pt>
                <c:pt idx="8">
                  <c:v>100.7</c:v>
                </c:pt>
                <c:pt idx="9">
                  <c:v>101.7</c:v>
                </c:pt>
                <c:pt idx="10">
                  <c:v>100.1</c:v>
                </c:pt>
                <c:pt idx="11">
                  <c:v>100.4</c:v>
                </c:pt>
                <c:pt idx="12">
                  <c:v>101.5</c:v>
                </c:pt>
                <c:pt idx="13">
                  <c:v>101.5</c:v>
                </c:pt>
                <c:pt idx="14">
                  <c:v>100.7</c:v>
                </c:pt>
                <c:pt idx="15">
                  <c:v>99.4</c:v>
                </c:pt>
                <c:pt idx="16">
                  <c:v>100.6</c:v>
                </c:pt>
                <c:pt idx="17" formatCode="General">
                  <c:v>100.9</c:v>
                </c:pt>
                <c:pt idx="18" formatCode="General">
                  <c:v>100</c:v>
                </c:pt>
                <c:pt idx="19" formatCode="General">
                  <c:v>98.9</c:v>
                </c:pt>
                <c:pt idx="20" formatCode="General">
                  <c:v>99.7</c:v>
                </c:pt>
                <c:pt idx="21" formatCode="General">
                  <c:v>101.6</c:v>
                </c:pt>
                <c:pt idx="22" formatCode="General">
                  <c:v>99.8</c:v>
                </c:pt>
                <c:pt idx="23" formatCode="General">
                  <c:v>100.5</c:v>
                </c:pt>
                <c:pt idx="24" formatCode="General">
                  <c:v>101</c:v>
                </c:pt>
                <c:pt idx="25" formatCode="General">
                  <c:v>102.2</c:v>
                </c:pt>
                <c:pt idx="26" formatCode="General">
                  <c:v>102</c:v>
                </c:pt>
                <c:pt idx="27" formatCode="General">
                  <c:v>99.9</c:v>
                </c:pt>
                <c:pt idx="28" formatCode="General">
                  <c:v>101.5</c:v>
                </c:pt>
                <c:pt idx="29" formatCode="General">
                  <c:v>101.2</c:v>
                </c:pt>
                <c:pt idx="30" formatCode="General">
                  <c:v>101</c:v>
                </c:pt>
                <c:pt idx="31" formatCode="General">
                  <c:v>99.5</c:v>
                </c:pt>
                <c:pt idx="32" formatCode="General">
                  <c:v>99.8</c:v>
                </c:pt>
                <c:pt idx="33" formatCode="General">
                  <c:v>101.1</c:v>
                </c:pt>
                <c:pt idx="34" formatCode="General">
                  <c:v>100.5</c:v>
                </c:pt>
                <c:pt idx="35" formatCode="General">
                  <c:v>100.2</c:v>
                </c:pt>
                <c:pt idx="36" formatCode="General">
                  <c:v>100</c:v>
                </c:pt>
                <c:pt idx="37" formatCode="General">
                  <c:v>101.3</c:v>
                </c:pt>
                <c:pt idx="38" formatCode="General">
                  <c:v>101.9</c:v>
                </c:pt>
                <c:pt idx="39" formatCode="General">
                  <c:v>100.8</c:v>
                </c:pt>
                <c:pt idx="40" formatCode="General">
                  <c:v>101.4</c:v>
                </c:pt>
                <c:pt idx="41" formatCode="General">
                  <c:v>101.7</c:v>
                </c:pt>
              </c:numCache>
            </c:numRef>
          </c:val>
          <c:smooth val="1"/>
        </c:ser>
        <c:ser>
          <c:idx val="2"/>
          <c:order val="2"/>
          <c:tx>
            <c:strRef>
              <c:f>Sheet1!$D$1</c:f>
              <c:strCache>
                <c:ptCount val="1"/>
                <c:pt idx="0">
                  <c:v>Nożyce cen</c:v>
                </c:pt>
              </c:strCache>
            </c:strRef>
          </c:tx>
          <c:spPr>
            <a:ln w="25422">
              <a:solidFill>
                <a:srgbClr val="FF0000"/>
              </a:solidFill>
              <a:prstDash val="sysDot"/>
            </a:ln>
          </c:spPr>
          <c:marker>
            <c:symbol val="none"/>
          </c:marker>
          <c:cat>
            <c:strRef>
              <c:f>Sheet1!$A$2:$A$43</c:f>
              <c:strCache>
                <c:ptCount val="42"/>
                <c:pt idx="0">
                  <c:v>VII 08</c:v>
                </c:pt>
                <c:pt idx="1">
                  <c:v>VIII 08</c:v>
                </c:pt>
                <c:pt idx="2">
                  <c:v>IX 08</c:v>
                </c:pt>
                <c:pt idx="3">
                  <c:v>X 09</c:v>
                </c:pt>
                <c:pt idx="4">
                  <c:v>XI 08</c:v>
                </c:pt>
                <c:pt idx="5">
                  <c:v>XII 08</c:v>
                </c:pt>
                <c:pt idx="6">
                  <c:v>I 08</c:v>
                </c:pt>
                <c:pt idx="7">
                  <c:v>II 08</c:v>
                </c:pt>
                <c:pt idx="8">
                  <c:v>III 09</c:v>
                </c:pt>
                <c:pt idx="9">
                  <c:v>IV 09</c:v>
                </c:pt>
                <c:pt idx="10">
                  <c:v>V 09</c:v>
                </c:pt>
                <c:pt idx="11">
                  <c:v>VI 09</c:v>
                </c:pt>
                <c:pt idx="12">
                  <c:v>VII 09</c:v>
                </c:pt>
                <c:pt idx="13">
                  <c:v>VIII 09</c:v>
                </c:pt>
                <c:pt idx="14">
                  <c:v>IX 09</c:v>
                </c:pt>
                <c:pt idx="15">
                  <c:v>X 09</c:v>
                </c:pt>
                <c:pt idx="16">
                  <c:v>XI 09</c:v>
                </c:pt>
                <c:pt idx="17">
                  <c:v>XII 09</c:v>
                </c:pt>
                <c:pt idx="18">
                  <c:v>I 10</c:v>
                </c:pt>
                <c:pt idx="19">
                  <c:v>II 10</c:v>
                </c:pt>
                <c:pt idx="20">
                  <c:v>III 10</c:v>
                </c:pt>
                <c:pt idx="21">
                  <c:v>IV 10</c:v>
                </c:pt>
                <c:pt idx="22">
                  <c:v>V 10</c:v>
                </c:pt>
                <c:pt idx="23">
                  <c:v>VI 10</c:v>
                </c:pt>
                <c:pt idx="24">
                  <c:v>VII 10</c:v>
                </c:pt>
                <c:pt idx="25">
                  <c:v>VIII 10</c:v>
                </c:pt>
                <c:pt idx="26">
                  <c:v>IX 10</c:v>
                </c:pt>
                <c:pt idx="27">
                  <c:v>X 10</c:v>
                </c:pt>
                <c:pt idx="28">
                  <c:v>XI 10</c:v>
                </c:pt>
                <c:pt idx="29">
                  <c:v>XII 10</c:v>
                </c:pt>
                <c:pt idx="30">
                  <c:v>I  11</c:v>
                </c:pt>
                <c:pt idx="31">
                  <c:v>II 11</c:v>
                </c:pt>
                <c:pt idx="32">
                  <c:v>III 11</c:v>
                </c:pt>
                <c:pt idx="33">
                  <c:v>IV 11</c:v>
                </c:pt>
                <c:pt idx="34">
                  <c:v>V 11</c:v>
                </c:pt>
                <c:pt idx="35">
                  <c:v>VI 11</c:v>
                </c:pt>
                <c:pt idx="36">
                  <c:v>VII 11</c:v>
                </c:pt>
                <c:pt idx="37">
                  <c:v>VIII 11</c:v>
                </c:pt>
                <c:pt idx="38">
                  <c:v>IX 11</c:v>
                </c:pt>
                <c:pt idx="39">
                  <c:v>X 11</c:v>
                </c:pt>
                <c:pt idx="40">
                  <c:v>XI 11</c:v>
                </c:pt>
                <c:pt idx="41">
                  <c:v>XII 11</c:v>
                </c:pt>
              </c:strCache>
            </c:strRef>
          </c:cat>
          <c:val>
            <c:numRef>
              <c:f>Sheet1!$D$2:$D$43</c:f>
              <c:numCache>
                <c:formatCode>#,#00</c:formatCode>
                <c:ptCount val="42"/>
                <c:pt idx="0">
                  <c:v>98</c:v>
                </c:pt>
                <c:pt idx="1">
                  <c:v>98</c:v>
                </c:pt>
                <c:pt idx="2">
                  <c:v>97.7</c:v>
                </c:pt>
                <c:pt idx="3">
                  <c:v>97</c:v>
                </c:pt>
                <c:pt idx="4">
                  <c:v>96.7</c:v>
                </c:pt>
                <c:pt idx="5">
                  <c:v>96.8</c:v>
                </c:pt>
                <c:pt idx="6">
                  <c:v>97.2</c:v>
                </c:pt>
                <c:pt idx="7">
                  <c:v>97.8</c:v>
                </c:pt>
                <c:pt idx="8">
                  <c:v>99</c:v>
                </c:pt>
                <c:pt idx="9">
                  <c:v>100</c:v>
                </c:pt>
                <c:pt idx="10">
                  <c:v>101.4</c:v>
                </c:pt>
                <c:pt idx="11">
                  <c:v>101.3</c:v>
                </c:pt>
                <c:pt idx="12">
                  <c:v>101.7</c:v>
                </c:pt>
                <c:pt idx="13">
                  <c:v>101.4</c:v>
                </c:pt>
                <c:pt idx="14">
                  <c:v>100.6</c:v>
                </c:pt>
                <c:pt idx="15">
                  <c:v>100</c:v>
                </c:pt>
                <c:pt idx="16">
                  <c:v>99.4</c:v>
                </c:pt>
                <c:pt idx="17" formatCode="General">
                  <c:v>100.1</c:v>
                </c:pt>
                <c:pt idx="18" formatCode="General">
                  <c:v>99.7</c:v>
                </c:pt>
                <c:pt idx="19" formatCode="General">
                  <c:v>99.6</c:v>
                </c:pt>
                <c:pt idx="20" formatCode="General">
                  <c:v>99.9</c:v>
                </c:pt>
                <c:pt idx="21" formatCode="General">
                  <c:v>100.2</c:v>
                </c:pt>
                <c:pt idx="22" formatCode="General">
                  <c:v>100.2</c:v>
                </c:pt>
                <c:pt idx="23" formatCode="General">
                  <c:v>100.2</c:v>
                </c:pt>
                <c:pt idx="24" formatCode="General">
                  <c:v>100.9</c:v>
                </c:pt>
                <c:pt idx="25" formatCode="General">
                  <c:v>101.2</c:v>
                </c:pt>
                <c:pt idx="26" formatCode="General">
                  <c:v>102.2</c:v>
                </c:pt>
                <c:pt idx="27" formatCode="General">
                  <c:v>102.1</c:v>
                </c:pt>
                <c:pt idx="28" formatCode="General">
                  <c:v>101.7</c:v>
                </c:pt>
                <c:pt idx="29" formatCode="General">
                  <c:v>101.5</c:v>
                </c:pt>
                <c:pt idx="30" formatCode="General">
                  <c:v>100.5</c:v>
                </c:pt>
                <c:pt idx="31" formatCode="General">
                  <c:v>100.5</c:v>
                </c:pt>
                <c:pt idx="32" formatCode="General">
                  <c:v>100.3</c:v>
                </c:pt>
                <c:pt idx="33" formatCode="General">
                  <c:v>100.9</c:v>
                </c:pt>
                <c:pt idx="34" formatCode="General">
                  <c:v>101.7</c:v>
                </c:pt>
                <c:pt idx="35" formatCode="General">
                  <c:v>101.4</c:v>
                </c:pt>
                <c:pt idx="36" formatCode="General">
                  <c:v>101.2</c:v>
                </c:pt>
                <c:pt idx="37" formatCode="General">
                  <c:v>101.5</c:v>
                </c:pt>
                <c:pt idx="38" formatCode="General">
                  <c:v>100.5</c:v>
                </c:pt>
                <c:pt idx="39" formatCode="General">
                  <c:v>100.2</c:v>
                </c:pt>
                <c:pt idx="40" formatCode="General">
                  <c:v>99.7</c:v>
                </c:pt>
                <c:pt idx="41" formatCode="General">
                  <c:v>100</c:v>
                </c:pt>
              </c:numCache>
            </c:numRef>
          </c:val>
          <c:smooth val="1"/>
        </c:ser>
        <c:ser>
          <c:idx val="3"/>
          <c:order val="3"/>
          <c:tx>
            <c:strRef>
              <c:f>Sheet1!$E$1</c:f>
              <c:strCache>
                <c:ptCount val="1"/>
                <c:pt idx="0">
                  <c:v>SWKR</c:v>
                </c:pt>
              </c:strCache>
            </c:strRef>
          </c:tx>
          <c:spPr>
            <a:ln w="25422">
              <a:solidFill>
                <a:srgbClr val="0000FF"/>
              </a:solidFill>
              <a:prstDash val="sysDash"/>
            </a:ln>
          </c:spPr>
          <c:marker>
            <c:symbol val="none"/>
          </c:marker>
          <c:cat>
            <c:strRef>
              <c:f>Sheet1!$A$2:$A$43</c:f>
              <c:strCache>
                <c:ptCount val="42"/>
                <c:pt idx="0">
                  <c:v>VII 08</c:v>
                </c:pt>
                <c:pt idx="1">
                  <c:v>VIII 08</c:v>
                </c:pt>
                <c:pt idx="2">
                  <c:v>IX 08</c:v>
                </c:pt>
                <c:pt idx="3">
                  <c:v>X 09</c:v>
                </c:pt>
                <c:pt idx="4">
                  <c:v>XI 08</c:v>
                </c:pt>
                <c:pt idx="5">
                  <c:v>XII 08</c:v>
                </c:pt>
                <c:pt idx="6">
                  <c:v>I 08</c:v>
                </c:pt>
                <c:pt idx="7">
                  <c:v>II 08</c:v>
                </c:pt>
                <c:pt idx="8">
                  <c:v>III 09</c:v>
                </c:pt>
                <c:pt idx="9">
                  <c:v>IV 09</c:v>
                </c:pt>
                <c:pt idx="10">
                  <c:v>V 09</c:v>
                </c:pt>
                <c:pt idx="11">
                  <c:v>VI 09</c:v>
                </c:pt>
                <c:pt idx="12">
                  <c:v>VII 09</c:v>
                </c:pt>
                <c:pt idx="13">
                  <c:v>VIII 09</c:v>
                </c:pt>
                <c:pt idx="14">
                  <c:v>IX 09</c:v>
                </c:pt>
                <c:pt idx="15">
                  <c:v>X 09</c:v>
                </c:pt>
                <c:pt idx="16">
                  <c:v>XI 09</c:v>
                </c:pt>
                <c:pt idx="17">
                  <c:v>XII 09</c:v>
                </c:pt>
                <c:pt idx="18">
                  <c:v>I 10</c:v>
                </c:pt>
                <c:pt idx="19">
                  <c:v>II 10</c:v>
                </c:pt>
                <c:pt idx="20">
                  <c:v>III 10</c:v>
                </c:pt>
                <c:pt idx="21">
                  <c:v>IV 10</c:v>
                </c:pt>
                <c:pt idx="22">
                  <c:v>V 10</c:v>
                </c:pt>
                <c:pt idx="23">
                  <c:v>VI 10</c:v>
                </c:pt>
                <c:pt idx="24">
                  <c:v>VII 10</c:v>
                </c:pt>
                <c:pt idx="25">
                  <c:v>VIII 10</c:v>
                </c:pt>
                <c:pt idx="26">
                  <c:v>IX 10</c:v>
                </c:pt>
                <c:pt idx="27">
                  <c:v>X 10</c:v>
                </c:pt>
                <c:pt idx="28">
                  <c:v>XI 10</c:v>
                </c:pt>
                <c:pt idx="29">
                  <c:v>XII 10</c:v>
                </c:pt>
                <c:pt idx="30">
                  <c:v>I  11</c:v>
                </c:pt>
                <c:pt idx="31">
                  <c:v>II 11</c:v>
                </c:pt>
                <c:pt idx="32">
                  <c:v>III 11</c:v>
                </c:pt>
                <c:pt idx="33">
                  <c:v>IV 11</c:v>
                </c:pt>
                <c:pt idx="34">
                  <c:v>V 11</c:v>
                </c:pt>
                <c:pt idx="35">
                  <c:v>VI 11</c:v>
                </c:pt>
                <c:pt idx="36">
                  <c:v>VII 11</c:v>
                </c:pt>
                <c:pt idx="37">
                  <c:v>VIII 11</c:v>
                </c:pt>
                <c:pt idx="38">
                  <c:v>IX 11</c:v>
                </c:pt>
                <c:pt idx="39">
                  <c:v>X 11</c:v>
                </c:pt>
                <c:pt idx="40">
                  <c:v>XI 11</c:v>
                </c:pt>
                <c:pt idx="41">
                  <c:v>XII 11</c:v>
                </c:pt>
              </c:strCache>
            </c:strRef>
          </c:cat>
          <c:val>
            <c:numRef>
              <c:f>Sheet1!$E$2:$E$43</c:f>
              <c:numCache>
                <c:formatCode>#,#00</c:formatCode>
                <c:ptCount val="42"/>
                <c:pt idx="0">
                  <c:v>99.5</c:v>
                </c:pt>
                <c:pt idx="1">
                  <c:v>99.4</c:v>
                </c:pt>
                <c:pt idx="2">
                  <c:v>99</c:v>
                </c:pt>
                <c:pt idx="3">
                  <c:v>98.8</c:v>
                </c:pt>
                <c:pt idx="4">
                  <c:v>98.9</c:v>
                </c:pt>
                <c:pt idx="5">
                  <c:v>98.8</c:v>
                </c:pt>
                <c:pt idx="6">
                  <c:v>98.5</c:v>
                </c:pt>
                <c:pt idx="7">
                  <c:v>98.8</c:v>
                </c:pt>
                <c:pt idx="8">
                  <c:v>99.8</c:v>
                </c:pt>
                <c:pt idx="9">
                  <c:v>100.9</c:v>
                </c:pt>
                <c:pt idx="10">
                  <c:v>100.7</c:v>
                </c:pt>
                <c:pt idx="11">
                  <c:v>100.8</c:v>
                </c:pt>
                <c:pt idx="12">
                  <c:v>101.6</c:v>
                </c:pt>
                <c:pt idx="13">
                  <c:v>101.5</c:v>
                </c:pt>
                <c:pt idx="14">
                  <c:v>100.2</c:v>
                </c:pt>
                <c:pt idx="15">
                  <c:v>100.4</c:v>
                </c:pt>
                <c:pt idx="16">
                  <c:v>100.6</c:v>
                </c:pt>
                <c:pt idx="17" formatCode="General">
                  <c:v>100.5</c:v>
                </c:pt>
                <c:pt idx="18" formatCode="General">
                  <c:v>99.9</c:v>
                </c:pt>
                <c:pt idx="19" formatCode="General">
                  <c:v>99.2</c:v>
                </c:pt>
                <c:pt idx="20" formatCode="General">
                  <c:v>99.8</c:v>
                </c:pt>
                <c:pt idx="21" formatCode="General">
                  <c:v>100.9</c:v>
                </c:pt>
                <c:pt idx="22" formatCode="General">
                  <c:v>100</c:v>
                </c:pt>
                <c:pt idx="23" formatCode="General">
                  <c:v>100.3</c:v>
                </c:pt>
                <c:pt idx="24" formatCode="General">
                  <c:v>101</c:v>
                </c:pt>
                <c:pt idx="25" formatCode="General">
                  <c:v>101.7</c:v>
                </c:pt>
                <c:pt idx="26" formatCode="General">
                  <c:v>102.1</c:v>
                </c:pt>
                <c:pt idx="27" formatCode="General">
                  <c:v>101</c:v>
                </c:pt>
                <c:pt idx="28" formatCode="General">
                  <c:v>101.6</c:v>
                </c:pt>
                <c:pt idx="29" formatCode="General">
                  <c:v>101.3</c:v>
                </c:pt>
                <c:pt idx="30" formatCode="General">
                  <c:v>100.7</c:v>
                </c:pt>
                <c:pt idx="31" formatCode="General">
                  <c:v>100</c:v>
                </c:pt>
                <c:pt idx="32" formatCode="General">
                  <c:v>100.1</c:v>
                </c:pt>
                <c:pt idx="33" formatCode="General">
                  <c:v>101</c:v>
                </c:pt>
                <c:pt idx="34" formatCode="General">
                  <c:v>101.1</c:v>
                </c:pt>
                <c:pt idx="35" formatCode="General">
                  <c:v>100.8</c:v>
                </c:pt>
                <c:pt idx="36" formatCode="General">
                  <c:v>100.6</c:v>
                </c:pt>
                <c:pt idx="37" formatCode="General">
                  <c:v>101.4</c:v>
                </c:pt>
                <c:pt idx="38" formatCode="General">
                  <c:v>101.2</c:v>
                </c:pt>
                <c:pt idx="39" formatCode="General">
                  <c:v>100.5</c:v>
                </c:pt>
                <c:pt idx="40" formatCode="General">
                  <c:v>100.6</c:v>
                </c:pt>
                <c:pt idx="41" formatCode="General">
                  <c:v>100.8</c:v>
                </c:pt>
              </c:numCache>
            </c:numRef>
          </c:val>
          <c:smooth val="1"/>
        </c:ser>
        <c:dLbls>
          <c:showLegendKey val="0"/>
          <c:showVal val="0"/>
          <c:showCatName val="0"/>
          <c:showSerName val="0"/>
          <c:showPercent val="0"/>
          <c:showBubbleSize val="0"/>
        </c:dLbls>
        <c:marker val="1"/>
        <c:smooth val="0"/>
        <c:axId val="33899264"/>
        <c:axId val="33900800"/>
      </c:lineChart>
      <c:catAx>
        <c:axId val="33899264"/>
        <c:scaling>
          <c:orientation val="minMax"/>
        </c:scaling>
        <c:delete val="0"/>
        <c:axPos val="b"/>
        <c:numFmt formatCode="General" sourceLinked="1"/>
        <c:majorTickMark val="out"/>
        <c:minorTickMark val="none"/>
        <c:tickLblPos val="nextTo"/>
        <c:spPr>
          <a:ln w="3178">
            <a:solidFill>
              <a:srgbClr val="000000"/>
            </a:solidFill>
            <a:prstDash val="solid"/>
          </a:ln>
        </c:spPr>
        <c:txPr>
          <a:bodyPr rot="0" vert="horz"/>
          <a:lstStyle/>
          <a:p>
            <a:pPr>
              <a:defRPr sz="801" b="1" i="0" u="none" strike="noStrike" baseline="0">
                <a:solidFill>
                  <a:srgbClr val="000000"/>
                </a:solidFill>
                <a:latin typeface="Arial"/>
                <a:ea typeface="Arial"/>
                <a:cs typeface="Arial"/>
              </a:defRPr>
            </a:pPr>
            <a:endParaRPr lang="pl-PL"/>
          </a:p>
        </c:txPr>
        <c:crossAx val="33900800"/>
        <c:crosses val="autoZero"/>
        <c:auto val="1"/>
        <c:lblAlgn val="ctr"/>
        <c:lblOffset val="100"/>
        <c:tickLblSkip val="3"/>
        <c:tickMarkSkip val="4"/>
        <c:noMultiLvlLbl val="0"/>
      </c:catAx>
      <c:valAx>
        <c:axId val="33900800"/>
        <c:scaling>
          <c:orientation val="minMax"/>
          <c:max val="103"/>
          <c:min val="96"/>
        </c:scaling>
        <c:delete val="0"/>
        <c:axPos val="l"/>
        <c:numFmt formatCode="General" sourceLinked="1"/>
        <c:majorTickMark val="out"/>
        <c:minorTickMark val="none"/>
        <c:tickLblPos val="nextTo"/>
        <c:spPr>
          <a:ln w="3178">
            <a:solidFill>
              <a:srgbClr val="000000"/>
            </a:solidFill>
            <a:prstDash val="solid"/>
          </a:ln>
        </c:spPr>
        <c:txPr>
          <a:bodyPr rot="0" vert="horz"/>
          <a:lstStyle/>
          <a:p>
            <a:pPr>
              <a:defRPr sz="801" b="1" i="0" u="none" strike="noStrike" baseline="0">
                <a:solidFill>
                  <a:srgbClr val="000000"/>
                </a:solidFill>
                <a:latin typeface="Arial"/>
                <a:ea typeface="Arial"/>
                <a:cs typeface="Arial"/>
              </a:defRPr>
            </a:pPr>
            <a:endParaRPr lang="pl-PL"/>
          </a:p>
        </c:txPr>
        <c:crossAx val="33899264"/>
        <c:crosses val="autoZero"/>
        <c:crossBetween val="between"/>
        <c:majorUnit val="1"/>
      </c:valAx>
      <c:spPr>
        <a:noFill/>
        <a:ln w="25422">
          <a:noFill/>
        </a:ln>
      </c:spPr>
    </c:plotArea>
    <c:legend>
      <c:legendPos val="b"/>
      <c:layout>
        <c:manualLayout>
          <c:xMode val="edge"/>
          <c:yMode val="edge"/>
          <c:x val="8.7227414330218064E-2"/>
          <c:y val="0.86283185840708099"/>
          <c:w val="0.91277258566978192"/>
          <c:h val="0.12389380530973451"/>
        </c:manualLayout>
      </c:layout>
      <c:overlay val="0"/>
      <c:spPr>
        <a:noFill/>
        <a:ln w="25422">
          <a:noFill/>
        </a:ln>
      </c:spPr>
      <c:txPr>
        <a:bodyPr/>
        <a:lstStyle/>
        <a:p>
          <a:pPr>
            <a:defRPr sz="736" b="1" i="0" u="none" strike="noStrike" baseline="0">
              <a:solidFill>
                <a:srgbClr val="000000"/>
              </a:solidFill>
              <a:latin typeface="Arial"/>
              <a:ea typeface="Arial"/>
              <a:cs typeface="Arial"/>
            </a:defRPr>
          </a:pPr>
          <a:endParaRPr lang="pl-PL"/>
        </a:p>
      </c:txPr>
    </c:legend>
    <c:plotVisOnly val="1"/>
    <c:dispBlanksAs val="gap"/>
    <c:showDLblsOverMax val="0"/>
  </c:chart>
  <c:spPr>
    <a:noFill/>
    <a:ln>
      <a:noFill/>
    </a:ln>
  </c:spPr>
  <c:txPr>
    <a:bodyPr/>
    <a:lstStyle/>
    <a:p>
      <a:pPr>
        <a:defRPr sz="851" b="1" i="0" u="none" strike="noStrike" baseline="0">
          <a:solidFill>
            <a:srgbClr val="000000"/>
          </a:solidFill>
          <a:latin typeface="Arial"/>
          <a:ea typeface="Arial"/>
          <a:cs typeface="Arial"/>
        </a:defRPr>
      </a:pPr>
      <a:endParaRPr lang="pl-PL"/>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9783281733746112E-2"/>
          <c:y val="4.9107142857142912E-2"/>
          <c:w val="0.90402476780185759"/>
          <c:h val="0.6428571428571429"/>
        </c:manualLayout>
      </c:layout>
      <c:lineChart>
        <c:grouping val="standard"/>
        <c:varyColors val="0"/>
        <c:ser>
          <c:idx val="1"/>
          <c:order val="0"/>
          <c:tx>
            <c:strRef>
              <c:f>Sheet1!$B$1</c:f>
              <c:strCache>
                <c:ptCount val="1"/>
                <c:pt idx="0">
                  <c:v>Sto</c:v>
                </c:pt>
              </c:strCache>
            </c:strRef>
          </c:tx>
          <c:spPr>
            <a:ln w="25399">
              <a:solidFill>
                <a:srgbClr val="000000"/>
              </a:solidFill>
              <a:prstDash val="solid"/>
            </a:ln>
          </c:spPr>
          <c:marker>
            <c:symbol val="none"/>
          </c:marker>
          <c:cat>
            <c:strRef>
              <c:f>Sheet1!$A$2:$A$43</c:f>
              <c:strCache>
                <c:ptCount val="42"/>
                <c:pt idx="0">
                  <c:v>VII 08</c:v>
                </c:pt>
                <c:pt idx="1">
                  <c:v>VIII 08</c:v>
                </c:pt>
                <c:pt idx="2">
                  <c:v>IX 08</c:v>
                </c:pt>
                <c:pt idx="3">
                  <c:v>X 08</c:v>
                </c:pt>
                <c:pt idx="4">
                  <c:v>XI 08</c:v>
                </c:pt>
                <c:pt idx="5">
                  <c:v>XII 08</c:v>
                </c:pt>
                <c:pt idx="6">
                  <c:v>I 09</c:v>
                </c:pt>
                <c:pt idx="7">
                  <c:v>II 09</c:v>
                </c:pt>
                <c:pt idx="8">
                  <c:v>III 09</c:v>
                </c:pt>
                <c:pt idx="9">
                  <c:v>IV 09</c:v>
                </c:pt>
                <c:pt idx="10">
                  <c:v>V 09</c:v>
                </c:pt>
                <c:pt idx="11">
                  <c:v>VI 09</c:v>
                </c:pt>
                <c:pt idx="12">
                  <c:v>VII 09</c:v>
                </c:pt>
                <c:pt idx="13">
                  <c:v>VIII 09</c:v>
                </c:pt>
                <c:pt idx="14">
                  <c:v>IX 09</c:v>
                </c:pt>
                <c:pt idx="15">
                  <c:v>X 09</c:v>
                </c:pt>
                <c:pt idx="16">
                  <c:v>XI 09</c:v>
                </c:pt>
                <c:pt idx="17">
                  <c:v>XII 09</c:v>
                </c:pt>
                <c:pt idx="18">
                  <c:v>I 10</c:v>
                </c:pt>
                <c:pt idx="19">
                  <c:v>II 10</c:v>
                </c:pt>
                <c:pt idx="20">
                  <c:v>III 10</c:v>
                </c:pt>
                <c:pt idx="21">
                  <c:v>IV 10</c:v>
                </c:pt>
                <c:pt idx="22">
                  <c:v>V 10</c:v>
                </c:pt>
                <c:pt idx="23">
                  <c:v>VI 10</c:v>
                </c:pt>
                <c:pt idx="24">
                  <c:v>VII 10</c:v>
                </c:pt>
                <c:pt idx="25">
                  <c:v>VIII 10</c:v>
                </c:pt>
                <c:pt idx="26">
                  <c:v>IX 10</c:v>
                </c:pt>
                <c:pt idx="27">
                  <c:v>X 10</c:v>
                </c:pt>
                <c:pt idx="28">
                  <c:v>XI 10</c:v>
                </c:pt>
                <c:pt idx="29">
                  <c:v>XII 10</c:v>
                </c:pt>
                <c:pt idx="30">
                  <c:v>I 11</c:v>
                </c:pt>
                <c:pt idx="31">
                  <c:v>II 11</c:v>
                </c:pt>
                <c:pt idx="32">
                  <c:v>III 11</c:v>
                </c:pt>
                <c:pt idx="33">
                  <c:v>IV 11</c:v>
                </c:pt>
                <c:pt idx="34">
                  <c:v>V 11</c:v>
                </c:pt>
                <c:pt idx="35">
                  <c:v>VI 11</c:v>
                </c:pt>
                <c:pt idx="36">
                  <c:v>VII 11</c:v>
                </c:pt>
                <c:pt idx="37">
                  <c:v>VIII 11</c:v>
                </c:pt>
                <c:pt idx="38">
                  <c:v>IX 11</c:v>
                </c:pt>
                <c:pt idx="39">
                  <c:v>X 11</c:v>
                </c:pt>
                <c:pt idx="40">
                  <c:v>XI 11</c:v>
                </c:pt>
                <c:pt idx="41">
                  <c:v>XII 11</c:v>
                </c:pt>
              </c:strCache>
            </c:strRef>
          </c:cat>
          <c:val>
            <c:numRef>
              <c:f>Sheet1!$B$2:$B$43</c:f>
              <c:numCache>
                <c:formatCode>#,#00</c:formatCode>
                <c:ptCount val="42"/>
                <c:pt idx="0" formatCode="General">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pt idx="31">
                  <c:v>100</c:v>
                </c:pt>
                <c:pt idx="32">
                  <c:v>100</c:v>
                </c:pt>
                <c:pt idx="33" formatCode="General">
                  <c:v>100</c:v>
                </c:pt>
                <c:pt idx="34" formatCode="General">
                  <c:v>100</c:v>
                </c:pt>
                <c:pt idx="35" formatCode="General">
                  <c:v>100</c:v>
                </c:pt>
                <c:pt idx="36" formatCode="General">
                  <c:v>100</c:v>
                </c:pt>
                <c:pt idx="37" formatCode="General">
                  <c:v>100</c:v>
                </c:pt>
                <c:pt idx="38" formatCode="General">
                  <c:v>100</c:v>
                </c:pt>
                <c:pt idx="39" formatCode="General">
                  <c:v>100</c:v>
                </c:pt>
                <c:pt idx="40" formatCode="General">
                  <c:v>100</c:v>
                </c:pt>
                <c:pt idx="41" formatCode="General">
                  <c:v>100</c:v>
                </c:pt>
              </c:numCache>
            </c:numRef>
          </c:val>
          <c:smooth val="1"/>
        </c:ser>
        <c:ser>
          <c:idx val="2"/>
          <c:order val="1"/>
          <c:tx>
            <c:strRef>
              <c:f>Sheet1!$C$1</c:f>
              <c:strCache>
                <c:ptCount val="1"/>
                <c:pt idx="0">
                  <c:v>Inflacja</c:v>
                </c:pt>
              </c:strCache>
            </c:strRef>
          </c:tx>
          <c:spPr>
            <a:ln w="25399">
              <a:solidFill>
                <a:srgbClr val="FF0000"/>
              </a:solidFill>
              <a:prstDash val="sysDot"/>
            </a:ln>
          </c:spPr>
          <c:marker>
            <c:symbol val="none"/>
          </c:marker>
          <c:cat>
            <c:strRef>
              <c:f>Sheet1!$A$2:$A$43</c:f>
              <c:strCache>
                <c:ptCount val="42"/>
                <c:pt idx="0">
                  <c:v>VII 08</c:v>
                </c:pt>
                <c:pt idx="1">
                  <c:v>VIII 08</c:v>
                </c:pt>
                <c:pt idx="2">
                  <c:v>IX 08</c:v>
                </c:pt>
                <c:pt idx="3">
                  <c:v>X 08</c:v>
                </c:pt>
                <c:pt idx="4">
                  <c:v>XI 08</c:v>
                </c:pt>
                <c:pt idx="5">
                  <c:v>XII 08</c:v>
                </c:pt>
                <c:pt idx="6">
                  <c:v>I 09</c:v>
                </c:pt>
                <c:pt idx="7">
                  <c:v>II 09</c:v>
                </c:pt>
                <c:pt idx="8">
                  <c:v>III 09</c:v>
                </c:pt>
                <c:pt idx="9">
                  <c:v>IV 09</c:v>
                </c:pt>
                <c:pt idx="10">
                  <c:v>V 09</c:v>
                </c:pt>
                <c:pt idx="11">
                  <c:v>VI 09</c:v>
                </c:pt>
                <c:pt idx="12">
                  <c:v>VII 09</c:v>
                </c:pt>
                <c:pt idx="13">
                  <c:v>VIII 09</c:v>
                </c:pt>
                <c:pt idx="14">
                  <c:v>IX 09</c:v>
                </c:pt>
                <c:pt idx="15">
                  <c:v>X 09</c:v>
                </c:pt>
                <c:pt idx="16">
                  <c:v>XI 09</c:v>
                </c:pt>
                <c:pt idx="17">
                  <c:v>XII 09</c:v>
                </c:pt>
                <c:pt idx="18">
                  <c:v>I 10</c:v>
                </c:pt>
                <c:pt idx="19">
                  <c:v>II 10</c:v>
                </c:pt>
                <c:pt idx="20">
                  <c:v>III 10</c:v>
                </c:pt>
                <c:pt idx="21">
                  <c:v>IV 10</c:v>
                </c:pt>
                <c:pt idx="22">
                  <c:v>V 10</c:v>
                </c:pt>
                <c:pt idx="23">
                  <c:v>VI 10</c:v>
                </c:pt>
                <c:pt idx="24">
                  <c:v>VII 10</c:v>
                </c:pt>
                <c:pt idx="25">
                  <c:v>VIII 10</c:v>
                </c:pt>
                <c:pt idx="26">
                  <c:v>IX 10</c:v>
                </c:pt>
                <c:pt idx="27">
                  <c:v>X 10</c:v>
                </c:pt>
                <c:pt idx="28">
                  <c:v>XI 10</c:v>
                </c:pt>
                <c:pt idx="29">
                  <c:v>XII 10</c:v>
                </c:pt>
                <c:pt idx="30">
                  <c:v>I 11</c:v>
                </c:pt>
                <c:pt idx="31">
                  <c:v>II 11</c:v>
                </c:pt>
                <c:pt idx="32">
                  <c:v>III 11</c:v>
                </c:pt>
                <c:pt idx="33">
                  <c:v>IV 11</c:v>
                </c:pt>
                <c:pt idx="34">
                  <c:v>V 11</c:v>
                </c:pt>
                <c:pt idx="35">
                  <c:v>VI 11</c:v>
                </c:pt>
                <c:pt idx="36">
                  <c:v>VII 11</c:v>
                </c:pt>
                <c:pt idx="37">
                  <c:v>VIII 11</c:v>
                </c:pt>
                <c:pt idx="38">
                  <c:v>IX 11</c:v>
                </c:pt>
                <c:pt idx="39">
                  <c:v>X 11</c:v>
                </c:pt>
                <c:pt idx="40">
                  <c:v>XI 11</c:v>
                </c:pt>
                <c:pt idx="41">
                  <c:v>XII 11</c:v>
                </c:pt>
              </c:strCache>
            </c:strRef>
          </c:cat>
          <c:val>
            <c:numRef>
              <c:f>Sheet1!$C$2:$C$43</c:f>
              <c:numCache>
                <c:formatCode>#,#00</c:formatCode>
                <c:ptCount val="42"/>
                <c:pt idx="0">
                  <c:v>100.5</c:v>
                </c:pt>
                <c:pt idx="1">
                  <c:v>100.4</c:v>
                </c:pt>
                <c:pt idx="2">
                  <c:v>100.2</c:v>
                </c:pt>
                <c:pt idx="3">
                  <c:v>100.2</c:v>
                </c:pt>
                <c:pt idx="4">
                  <c:v>100.2</c:v>
                </c:pt>
                <c:pt idx="5">
                  <c:v>100.1</c:v>
                </c:pt>
                <c:pt idx="6">
                  <c:v>100.1</c:v>
                </c:pt>
                <c:pt idx="7">
                  <c:v>100.2</c:v>
                </c:pt>
                <c:pt idx="8">
                  <c:v>100.4</c:v>
                </c:pt>
                <c:pt idx="9">
                  <c:v>100.4</c:v>
                </c:pt>
                <c:pt idx="10">
                  <c:v>100.5</c:v>
                </c:pt>
                <c:pt idx="11">
                  <c:v>100.5</c:v>
                </c:pt>
                <c:pt idx="12">
                  <c:v>100.6</c:v>
                </c:pt>
                <c:pt idx="13">
                  <c:v>100.5</c:v>
                </c:pt>
                <c:pt idx="14">
                  <c:v>100.3</c:v>
                </c:pt>
                <c:pt idx="15">
                  <c:v>100.2</c:v>
                </c:pt>
                <c:pt idx="16">
                  <c:v>100.1</c:v>
                </c:pt>
                <c:pt idx="17">
                  <c:v>100.1</c:v>
                </c:pt>
                <c:pt idx="18">
                  <c:v>100</c:v>
                </c:pt>
                <c:pt idx="19">
                  <c:v>100.1</c:v>
                </c:pt>
                <c:pt idx="20">
                  <c:v>100.2</c:v>
                </c:pt>
                <c:pt idx="21">
                  <c:v>100.3</c:v>
                </c:pt>
                <c:pt idx="22">
                  <c:v>100.3</c:v>
                </c:pt>
                <c:pt idx="23">
                  <c:v>100.3</c:v>
                </c:pt>
                <c:pt idx="24">
                  <c:v>100.4</c:v>
                </c:pt>
                <c:pt idx="25">
                  <c:v>100.2</c:v>
                </c:pt>
                <c:pt idx="26">
                  <c:v>100.1</c:v>
                </c:pt>
                <c:pt idx="27">
                  <c:v>100.2</c:v>
                </c:pt>
                <c:pt idx="28">
                  <c:v>100.2</c:v>
                </c:pt>
                <c:pt idx="29">
                  <c:v>100.2</c:v>
                </c:pt>
                <c:pt idx="30">
                  <c:v>100.2</c:v>
                </c:pt>
                <c:pt idx="31">
                  <c:v>100.4</c:v>
                </c:pt>
                <c:pt idx="32">
                  <c:v>100.5</c:v>
                </c:pt>
                <c:pt idx="33" formatCode="General">
                  <c:v>100.6</c:v>
                </c:pt>
                <c:pt idx="34" formatCode="General">
                  <c:v>100.6</c:v>
                </c:pt>
                <c:pt idx="35" formatCode="General">
                  <c:v>100.6</c:v>
                </c:pt>
                <c:pt idx="36" formatCode="General">
                  <c:v>100.5</c:v>
                </c:pt>
                <c:pt idx="37" formatCode="General">
                  <c:v>100.3</c:v>
                </c:pt>
                <c:pt idx="38" formatCode="General">
                  <c:v>100.2</c:v>
                </c:pt>
                <c:pt idx="39" formatCode="General">
                  <c:v>100.1</c:v>
                </c:pt>
                <c:pt idx="40" formatCode="General">
                  <c:v>100.1</c:v>
                </c:pt>
                <c:pt idx="41" formatCode="General">
                  <c:v>100.1</c:v>
                </c:pt>
              </c:numCache>
            </c:numRef>
          </c:val>
          <c:smooth val="1"/>
        </c:ser>
        <c:ser>
          <c:idx val="3"/>
          <c:order val="2"/>
          <c:tx>
            <c:strRef>
              <c:f>Sheet1!$D$1</c:f>
              <c:strCache>
                <c:ptCount val="1"/>
                <c:pt idx="0">
                  <c:v>Żywność</c:v>
                </c:pt>
              </c:strCache>
            </c:strRef>
          </c:tx>
          <c:spPr>
            <a:ln w="25399">
              <a:solidFill>
                <a:srgbClr val="00FF00"/>
              </a:solidFill>
              <a:prstDash val="solid"/>
            </a:ln>
          </c:spPr>
          <c:marker>
            <c:symbol val="none"/>
          </c:marker>
          <c:cat>
            <c:strRef>
              <c:f>Sheet1!$A$2:$A$43</c:f>
              <c:strCache>
                <c:ptCount val="42"/>
                <c:pt idx="0">
                  <c:v>VII 08</c:v>
                </c:pt>
                <c:pt idx="1">
                  <c:v>VIII 08</c:v>
                </c:pt>
                <c:pt idx="2">
                  <c:v>IX 08</c:v>
                </c:pt>
                <c:pt idx="3">
                  <c:v>X 08</c:v>
                </c:pt>
                <c:pt idx="4">
                  <c:v>XI 08</c:v>
                </c:pt>
                <c:pt idx="5">
                  <c:v>XII 08</c:v>
                </c:pt>
                <c:pt idx="6">
                  <c:v>I 09</c:v>
                </c:pt>
                <c:pt idx="7">
                  <c:v>II 09</c:v>
                </c:pt>
                <c:pt idx="8">
                  <c:v>III 09</c:v>
                </c:pt>
                <c:pt idx="9">
                  <c:v>IV 09</c:v>
                </c:pt>
                <c:pt idx="10">
                  <c:v>V 09</c:v>
                </c:pt>
                <c:pt idx="11">
                  <c:v>VI 09</c:v>
                </c:pt>
                <c:pt idx="12">
                  <c:v>VII 09</c:v>
                </c:pt>
                <c:pt idx="13">
                  <c:v>VIII 09</c:v>
                </c:pt>
                <c:pt idx="14">
                  <c:v>IX 09</c:v>
                </c:pt>
                <c:pt idx="15">
                  <c:v>X 09</c:v>
                </c:pt>
                <c:pt idx="16">
                  <c:v>XI 09</c:v>
                </c:pt>
                <c:pt idx="17">
                  <c:v>XII 09</c:v>
                </c:pt>
                <c:pt idx="18">
                  <c:v>I 10</c:v>
                </c:pt>
                <c:pt idx="19">
                  <c:v>II 10</c:v>
                </c:pt>
                <c:pt idx="20">
                  <c:v>III 10</c:v>
                </c:pt>
                <c:pt idx="21">
                  <c:v>IV 10</c:v>
                </c:pt>
                <c:pt idx="22">
                  <c:v>V 10</c:v>
                </c:pt>
                <c:pt idx="23">
                  <c:v>VI 10</c:v>
                </c:pt>
                <c:pt idx="24">
                  <c:v>VII 10</c:v>
                </c:pt>
                <c:pt idx="25">
                  <c:v>VIII 10</c:v>
                </c:pt>
                <c:pt idx="26">
                  <c:v>IX 10</c:v>
                </c:pt>
                <c:pt idx="27">
                  <c:v>X 10</c:v>
                </c:pt>
                <c:pt idx="28">
                  <c:v>XI 10</c:v>
                </c:pt>
                <c:pt idx="29">
                  <c:v>XII 10</c:v>
                </c:pt>
                <c:pt idx="30">
                  <c:v>I 11</c:v>
                </c:pt>
                <c:pt idx="31">
                  <c:v>II 11</c:v>
                </c:pt>
                <c:pt idx="32">
                  <c:v>III 11</c:v>
                </c:pt>
                <c:pt idx="33">
                  <c:v>IV 11</c:v>
                </c:pt>
                <c:pt idx="34">
                  <c:v>V 11</c:v>
                </c:pt>
                <c:pt idx="35">
                  <c:v>VI 11</c:v>
                </c:pt>
                <c:pt idx="36">
                  <c:v>VII 11</c:v>
                </c:pt>
                <c:pt idx="37">
                  <c:v>VIII 11</c:v>
                </c:pt>
                <c:pt idx="38">
                  <c:v>IX 11</c:v>
                </c:pt>
                <c:pt idx="39">
                  <c:v>X 11</c:v>
                </c:pt>
                <c:pt idx="40">
                  <c:v>XI 11</c:v>
                </c:pt>
                <c:pt idx="41">
                  <c:v>XII 11</c:v>
                </c:pt>
              </c:strCache>
            </c:strRef>
          </c:cat>
          <c:val>
            <c:numRef>
              <c:f>Sheet1!$D$2:$D$43</c:f>
              <c:numCache>
                <c:formatCode>#,#00</c:formatCode>
                <c:ptCount val="42"/>
                <c:pt idx="0">
                  <c:v>100.5</c:v>
                </c:pt>
                <c:pt idx="1">
                  <c:v>100.1</c:v>
                </c:pt>
                <c:pt idx="2">
                  <c:v>99.8</c:v>
                </c:pt>
                <c:pt idx="3">
                  <c:v>99.9</c:v>
                </c:pt>
                <c:pt idx="4">
                  <c:v>99.9</c:v>
                </c:pt>
                <c:pt idx="5">
                  <c:v>99.8</c:v>
                </c:pt>
                <c:pt idx="6">
                  <c:v>100</c:v>
                </c:pt>
                <c:pt idx="7">
                  <c:v>100.4</c:v>
                </c:pt>
                <c:pt idx="8">
                  <c:v>100.8</c:v>
                </c:pt>
                <c:pt idx="9">
                  <c:v>101</c:v>
                </c:pt>
                <c:pt idx="10">
                  <c:v>101.1</c:v>
                </c:pt>
                <c:pt idx="11">
                  <c:v>101.1</c:v>
                </c:pt>
                <c:pt idx="12">
                  <c:v>100.8</c:v>
                </c:pt>
                <c:pt idx="13">
                  <c:v>100.4</c:v>
                </c:pt>
                <c:pt idx="14">
                  <c:v>100.1</c:v>
                </c:pt>
                <c:pt idx="15">
                  <c:v>99.8</c:v>
                </c:pt>
                <c:pt idx="16">
                  <c:v>99.5</c:v>
                </c:pt>
                <c:pt idx="17">
                  <c:v>99.5</c:v>
                </c:pt>
                <c:pt idx="18">
                  <c:v>99.8</c:v>
                </c:pt>
                <c:pt idx="19">
                  <c:v>100.2</c:v>
                </c:pt>
                <c:pt idx="20">
                  <c:v>100.4</c:v>
                </c:pt>
                <c:pt idx="21">
                  <c:v>100.5</c:v>
                </c:pt>
                <c:pt idx="22">
                  <c:v>100.6</c:v>
                </c:pt>
                <c:pt idx="23">
                  <c:v>100.6</c:v>
                </c:pt>
                <c:pt idx="24">
                  <c:v>100.6</c:v>
                </c:pt>
                <c:pt idx="25">
                  <c:v>100.2</c:v>
                </c:pt>
                <c:pt idx="26">
                  <c:v>100</c:v>
                </c:pt>
                <c:pt idx="27">
                  <c:v>100.2</c:v>
                </c:pt>
                <c:pt idx="28">
                  <c:v>100.3</c:v>
                </c:pt>
                <c:pt idx="29">
                  <c:v>100.2</c:v>
                </c:pt>
                <c:pt idx="30">
                  <c:v>100.1</c:v>
                </c:pt>
                <c:pt idx="31">
                  <c:v>100.6</c:v>
                </c:pt>
                <c:pt idx="32">
                  <c:v>100.9</c:v>
                </c:pt>
                <c:pt idx="33" formatCode="General">
                  <c:v>101</c:v>
                </c:pt>
                <c:pt idx="34" formatCode="General">
                  <c:v>100.9</c:v>
                </c:pt>
                <c:pt idx="35" formatCode="General">
                  <c:v>101.1</c:v>
                </c:pt>
                <c:pt idx="36" formatCode="General">
                  <c:v>100.8</c:v>
                </c:pt>
                <c:pt idx="37" formatCode="General">
                  <c:v>100.2</c:v>
                </c:pt>
                <c:pt idx="38" formatCode="General">
                  <c:v>99.9</c:v>
                </c:pt>
                <c:pt idx="39" formatCode="General">
                  <c:v>99.5</c:v>
                </c:pt>
                <c:pt idx="40" formatCode="General">
                  <c:v>99.5</c:v>
                </c:pt>
                <c:pt idx="41" formatCode="General">
                  <c:v>99.5</c:v>
                </c:pt>
              </c:numCache>
            </c:numRef>
          </c:val>
          <c:smooth val="1"/>
        </c:ser>
        <c:ser>
          <c:idx val="4"/>
          <c:order val="3"/>
          <c:tx>
            <c:strRef>
              <c:f>Sheet1!$E$1</c:f>
              <c:strCache>
                <c:ptCount val="1"/>
                <c:pt idx="0">
                  <c:v>Wynagrodzenia</c:v>
                </c:pt>
              </c:strCache>
            </c:strRef>
          </c:tx>
          <c:spPr>
            <a:ln w="25399">
              <a:solidFill>
                <a:srgbClr val="0000FF"/>
              </a:solidFill>
              <a:prstDash val="sysDash"/>
            </a:ln>
          </c:spPr>
          <c:marker>
            <c:symbol val="none"/>
          </c:marker>
          <c:cat>
            <c:strRef>
              <c:f>Sheet1!$A$2:$A$43</c:f>
              <c:strCache>
                <c:ptCount val="42"/>
                <c:pt idx="0">
                  <c:v>VII 08</c:v>
                </c:pt>
                <c:pt idx="1">
                  <c:v>VIII 08</c:v>
                </c:pt>
                <c:pt idx="2">
                  <c:v>IX 08</c:v>
                </c:pt>
                <c:pt idx="3">
                  <c:v>X 08</c:v>
                </c:pt>
                <c:pt idx="4">
                  <c:v>XI 08</c:v>
                </c:pt>
                <c:pt idx="5">
                  <c:v>XII 08</c:v>
                </c:pt>
                <c:pt idx="6">
                  <c:v>I 09</c:v>
                </c:pt>
                <c:pt idx="7">
                  <c:v>II 09</c:v>
                </c:pt>
                <c:pt idx="8">
                  <c:v>III 09</c:v>
                </c:pt>
                <c:pt idx="9">
                  <c:v>IV 09</c:v>
                </c:pt>
                <c:pt idx="10">
                  <c:v>V 09</c:v>
                </c:pt>
                <c:pt idx="11">
                  <c:v>VI 09</c:v>
                </c:pt>
                <c:pt idx="12">
                  <c:v>VII 09</c:v>
                </c:pt>
                <c:pt idx="13">
                  <c:v>VIII 09</c:v>
                </c:pt>
                <c:pt idx="14">
                  <c:v>IX 09</c:v>
                </c:pt>
                <c:pt idx="15">
                  <c:v>X 09</c:v>
                </c:pt>
                <c:pt idx="16">
                  <c:v>XI 09</c:v>
                </c:pt>
                <c:pt idx="17">
                  <c:v>XII 09</c:v>
                </c:pt>
                <c:pt idx="18">
                  <c:v>I 10</c:v>
                </c:pt>
                <c:pt idx="19">
                  <c:v>II 10</c:v>
                </c:pt>
                <c:pt idx="20">
                  <c:v>III 10</c:v>
                </c:pt>
                <c:pt idx="21">
                  <c:v>IV 10</c:v>
                </c:pt>
                <c:pt idx="22">
                  <c:v>V 10</c:v>
                </c:pt>
                <c:pt idx="23">
                  <c:v>VI 10</c:v>
                </c:pt>
                <c:pt idx="24">
                  <c:v>VII 10</c:v>
                </c:pt>
                <c:pt idx="25">
                  <c:v>VIII 10</c:v>
                </c:pt>
                <c:pt idx="26">
                  <c:v>IX 10</c:v>
                </c:pt>
                <c:pt idx="27">
                  <c:v>X 10</c:v>
                </c:pt>
                <c:pt idx="28">
                  <c:v>XI 10</c:v>
                </c:pt>
                <c:pt idx="29">
                  <c:v>XII 10</c:v>
                </c:pt>
                <c:pt idx="30">
                  <c:v>I 11</c:v>
                </c:pt>
                <c:pt idx="31">
                  <c:v>II 11</c:v>
                </c:pt>
                <c:pt idx="32">
                  <c:v>III 11</c:v>
                </c:pt>
                <c:pt idx="33">
                  <c:v>IV 11</c:v>
                </c:pt>
                <c:pt idx="34">
                  <c:v>V 11</c:v>
                </c:pt>
                <c:pt idx="35">
                  <c:v>VI 11</c:v>
                </c:pt>
                <c:pt idx="36">
                  <c:v>VII 11</c:v>
                </c:pt>
                <c:pt idx="37">
                  <c:v>VIII 11</c:v>
                </c:pt>
                <c:pt idx="38">
                  <c:v>IX 11</c:v>
                </c:pt>
                <c:pt idx="39">
                  <c:v>X 11</c:v>
                </c:pt>
                <c:pt idx="40">
                  <c:v>XI 11</c:v>
                </c:pt>
                <c:pt idx="41">
                  <c:v>XII 11</c:v>
                </c:pt>
              </c:strCache>
            </c:strRef>
          </c:cat>
          <c:val>
            <c:numRef>
              <c:f>Sheet1!$E$2:$E$43</c:f>
              <c:numCache>
                <c:formatCode>#,#00</c:formatCode>
                <c:ptCount val="42"/>
                <c:pt idx="0">
                  <c:v>100</c:v>
                </c:pt>
                <c:pt idx="1">
                  <c:v>101.4</c:v>
                </c:pt>
                <c:pt idx="2">
                  <c:v>100.8</c:v>
                </c:pt>
                <c:pt idx="3">
                  <c:v>100.2</c:v>
                </c:pt>
                <c:pt idx="4">
                  <c:v>100.6</c:v>
                </c:pt>
                <c:pt idx="5">
                  <c:v>101.3</c:v>
                </c:pt>
                <c:pt idx="6">
                  <c:v>101</c:v>
                </c:pt>
                <c:pt idx="7">
                  <c:v>99.9</c:v>
                </c:pt>
                <c:pt idx="8">
                  <c:v>100.2</c:v>
                </c:pt>
                <c:pt idx="9">
                  <c:v>100.9</c:v>
                </c:pt>
                <c:pt idx="10">
                  <c:v>100.3</c:v>
                </c:pt>
                <c:pt idx="11">
                  <c:v>99.4</c:v>
                </c:pt>
                <c:pt idx="12">
                  <c:v>99.4</c:v>
                </c:pt>
                <c:pt idx="13">
                  <c:v>100.8</c:v>
                </c:pt>
                <c:pt idx="14">
                  <c:v>100.4</c:v>
                </c:pt>
                <c:pt idx="15">
                  <c:v>99.8</c:v>
                </c:pt>
                <c:pt idx="16">
                  <c:v>100.1</c:v>
                </c:pt>
                <c:pt idx="17">
                  <c:v>101.1</c:v>
                </c:pt>
                <c:pt idx="18">
                  <c:v>101.8</c:v>
                </c:pt>
                <c:pt idx="19">
                  <c:v>99.5</c:v>
                </c:pt>
                <c:pt idx="20">
                  <c:v>100.3</c:v>
                </c:pt>
                <c:pt idx="21">
                  <c:v>101.3</c:v>
                </c:pt>
                <c:pt idx="22">
                  <c:v>100.7</c:v>
                </c:pt>
                <c:pt idx="23">
                  <c:v>99.9</c:v>
                </c:pt>
                <c:pt idx="24">
                  <c:v>99</c:v>
                </c:pt>
                <c:pt idx="25">
                  <c:v>101.1</c:v>
                </c:pt>
                <c:pt idx="26">
                  <c:v>100.6</c:v>
                </c:pt>
                <c:pt idx="27">
                  <c:v>99.6</c:v>
                </c:pt>
                <c:pt idx="28">
                  <c:v>100.2</c:v>
                </c:pt>
                <c:pt idx="29">
                  <c:v>100.9</c:v>
                </c:pt>
                <c:pt idx="30">
                  <c:v>102.1</c:v>
                </c:pt>
                <c:pt idx="31">
                  <c:v>100</c:v>
                </c:pt>
                <c:pt idx="32">
                  <c:v>100.3</c:v>
                </c:pt>
                <c:pt idx="33" formatCode="General">
                  <c:v>101.3</c:v>
                </c:pt>
                <c:pt idx="34" formatCode="General">
                  <c:v>101</c:v>
                </c:pt>
                <c:pt idx="35" formatCode="General">
                  <c:v>100</c:v>
                </c:pt>
                <c:pt idx="36" formatCode="General">
                  <c:v>99.1</c:v>
                </c:pt>
                <c:pt idx="37" formatCode="General">
                  <c:v>101.1</c:v>
                </c:pt>
                <c:pt idx="38" formatCode="General">
                  <c:v>100.8</c:v>
                </c:pt>
                <c:pt idx="39" formatCode="General">
                  <c:v>99.8</c:v>
                </c:pt>
                <c:pt idx="40" formatCode="General">
                  <c:v>100.1</c:v>
                </c:pt>
                <c:pt idx="41" formatCode="General">
                  <c:v>100.9</c:v>
                </c:pt>
              </c:numCache>
            </c:numRef>
          </c:val>
          <c:smooth val="1"/>
        </c:ser>
        <c:dLbls>
          <c:showLegendKey val="0"/>
          <c:showVal val="0"/>
          <c:showCatName val="0"/>
          <c:showSerName val="0"/>
          <c:showPercent val="0"/>
          <c:showBubbleSize val="0"/>
        </c:dLbls>
        <c:marker val="1"/>
        <c:smooth val="0"/>
        <c:axId val="36439936"/>
        <c:axId val="36441472"/>
      </c:lineChart>
      <c:catAx>
        <c:axId val="36439936"/>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pl-PL"/>
          </a:p>
        </c:txPr>
        <c:crossAx val="36441472"/>
        <c:crosses val="autoZero"/>
        <c:auto val="1"/>
        <c:lblAlgn val="ctr"/>
        <c:lblOffset val="100"/>
        <c:tickLblSkip val="3"/>
        <c:tickMarkSkip val="4"/>
        <c:noMultiLvlLbl val="0"/>
      </c:catAx>
      <c:valAx>
        <c:axId val="36441472"/>
        <c:scaling>
          <c:orientation val="minMax"/>
          <c:max val="103"/>
          <c:min val="98"/>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pl-PL"/>
          </a:p>
        </c:txPr>
        <c:crossAx val="36439936"/>
        <c:crosses val="autoZero"/>
        <c:crossBetween val="between"/>
        <c:majorUnit val="1"/>
      </c:valAx>
      <c:spPr>
        <a:noFill/>
        <a:ln w="25399">
          <a:noFill/>
        </a:ln>
      </c:spPr>
    </c:plotArea>
    <c:legend>
      <c:legendPos val="r"/>
      <c:layout>
        <c:manualLayout>
          <c:xMode val="edge"/>
          <c:yMode val="edge"/>
          <c:x val="8.0495356037151702E-2"/>
          <c:y val="0.8616071428571429"/>
          <c:w val="0.88854489164086692"/>
          <c:h val="0.14285714285714313"/>
        </c:manualLayout>
      </c:layout>
      <c:overlay val="0"/>
      <c:spPr>
        <a:noFill/>
        <a:ln w="25399">
          <a:noFill/>
        </a:ln>
      </c:spPr>
      <c:txPr>
        <a:bodyPr/>
        <a:lstStyle/>
        <a:p>
          <a:pPr>
            <a:defRPr sz="735" b="1" i="0" u="none" strike="noStrike" baseline="0">
              <a:solidFill>
                <a:srgbClr val="000000"/>
              </a:solidFill>
              <a:latin typeface="Arial"/>
              <a:ea typeface="Arial"/>
              <a:cs typeface="Arial"/>
            </a:defRPr>
          </a:pPr>
          <a:endParaRPr lang="pl-PL"/>
        </a:p>
      </c:txPr>
    </c:legend>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pl-PL"/>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625000000000261E-2"/>
          <c:y val="5.2631578947368432E-2"/>
          <c:w val="0.90312499999999996"/>
          <c:h val="0.61244019138755978"/>
        </c:manualLayout>
      </c:layout>
      <c:lineChart>
        <c:grouping val="standard"/>
        <c:varyColors val="0"/>
        <c:ser>
          <c:idx val="1"/>
          <c:order val="0"/>
          <c:tx>
            <c:strRef>
              <c:f>Sheet1!$B$1</c:f>
              <c:strCache>
                <c:ptCount val="1"/>
                <c:pt idx="0">
                  <c:v>Sto</c:v>
                </c:pt>
              </c:strCache>
            </c:strRef>
          </c:tx>
          <c:spPr>
            <a:ln w="25423">
              <a:solidFill>
                <a:srgbClr val="000000"/>
              </a:solidFill>
              <a:prstDash val="solid"/>
            </a:ln>
          </c:spPr>
          <c:marker>
            <c:symbol val="none"/>
          </c:marker>
          <c:cat>
            <c:strRef>
              <c:f>Sheet1!$A$2:$A$43</c:f>
              <c:strCache>
                <c:ptCount val="42"/>
                <c:pt idx="0">
                  <c:v>VII 08</c:v>
                </c:pt>
                <c:pt idx="1">
                  <c:v>VIII 08</c:v>
                </c:pt>
                <c:pt idx="2">
                  <c:v>IX 08</c:v>
                </c:pt>
                <c:pt idx="3">
                  <c:v>X 08</c:v>
                </c:pt>
                <c:pt idx="4">
                  <c:v>XI  08</c:v>
                </c:pt>
                <c:pt idx="5">
                  <c:v>XII 08</c:v>
                </c:pt>
                <c:pt idx="6">
                  <c:v>I 09</c:v>
                </c:pt>
                <c:pt idx="7">
                  <c:v>II 09</c:v>
                </c:pt>
                <c:pt idx="8">
                  <c:v>III  09</c:v>
                </c:pt>
                <c:pt idx="9">
                  <c:v>IV 09</c:v>
                </c:pt>
                <c:pt idx="10">
                  <c:v>V 09</c:v>
                </c:pt>
                <c:pt idx="11">
                  <c:v>VI 09</c:v>
                </c:pt>
                <c:pt idx="12">
                  <c:v>VII 09</c:v>
                </c:pt>
                <c:pt idx="13">
                  <c:v>VIII 09</c:v>
                </c:pt>
                <c:pt idx="14">
                  <c:v>IX 09</c:v>
                </c:pt>
                <c:pt idx="15">
                  <c:v>X 09</c:v>
                </c:pt>
                <c:pt idx="16">
                  <c:v>XI  09</c:v>
                </c:pt>
                <c:pt idx="17">
                  <c:v>XII 09</c:v>
                </c:pt>
                <c:pt idx="18">
                  <c:v>I 10</c:v>
                </c:pt>
                <c:pt idx="19">
                  <c:v>II 10</c:v>
                </c:pt>
                <c:pt idx="20">
                  <c:v>III  10</c:v>
                </c:pt>
                <c:pt idx="21">
                  <c:v>IV 10</c:v>
                </c:pt>
                <c:pt idx="22">
                  <c:v>V 10</c:v>
                </c:pt>
                <c:pt idx="23">
                  <c:v>VI 10</c:v>
                </c:pt>
                <c:pt idx="24">
                  <c:v>VII 10</c:v>
                </c:pt>
                <c:pt idx="25">
                  <c:v>VIII 10</c:v>
                </c:pt>
                <c:pt idx="26">
                  <c:v>IX 10</c:v>
                </c:pt>
                <c:pt idx="27">
                  <c:v>X 10</c:v>
                </c:pt>
                <c:pt idx="28">
                  <c:v>XI  10</c:v>
                </c:pt>
                <c:pt idx="29">
                  <c:v>XII 10</c:v>
                </c:pt>
                <c:pt idx="30">
                  <c:v>I 11</c:v>
                </c:pt>
                <c:pt idx="31">
                  <c:v>II 11</c:v>
                </c:pt>
                <c:pt idx="32">
                  <c:v>III  11</c:v>
                </c:pt>
                <c:pt idx="33">
                  <c:v>IV 11</c:v>
                </c:pt>
                <c:pt idx="34">
                  <c:v>V 11</c:v>
                </c:pt>
                <c:pt idx="35">
                  <c:v>VI 11</c:v>
                </c:pt>
                <c:pt idx="36">
                  <c:v>VII 11</c:v>
                </c:pt>
                <c:pt idx="37">
                  <c:v>VIII 11 </c:v>
                </c:pt>
                <c:pt idx="38">
                  <c:v>IX 11</c:v>
                </c:pt>
                <c:pt idx="39">
                  <c:v>X 11</c:v>
                </c:pt>
                <c:pt idx="40">
                  <c:v>XI  11</c:v>
                </c:pt>
                <c:pt idx="41">
                  <c:v>XII 11 </c:v>
                </c:pt>
              </c:strCache>
            </c:strRef>
          </c:cat>
          <c:val>
            <c:numRef>
              <c:f>Sheet1!$B$2:$B$43</c:f>
              <c:numCache>
                <c:formatCode>General</c:formatCode>
                <c:ptCount val="42"/>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pt idx="31">
                  <c:v>100</c:v>
                </c:pt>
                <c:pt idx="32">
                  <c:v>100</c:v>
                </c:pt>
                <c:pt idx="33">
                  <c:v>100</c:v>
                </c:pt>
                <c:pt idx="34">
                  <c:v>100</c:v>
                </c:pt>
                <c:pt idx="35">
                  <c:v>100</c:v>
                </c:pt>
                <c:pt idx="36">
                  <c:v>100</c:v>
                </c:pt>
                <c:pt idx="37">
                  <c:v>100</c:v>
                </c:pt>
                <c:pt idx="38">
                  <c:v>100</c:v>
                </c:pt>
                <c:pt idx="39">
                  <c:v>100</c:v>
                </c:pt>
                <c:pt idx="40">
                  <c:v>100</c:v>
                </c:pt>
                <c:pt idx="41">
                  <c:v>100</c:v>
                </c:pt>
              </c:numCache>
            </c:numRef>
          </c:val>
          <c:smooth val="1"/>
        </c:ser>
        <c:ser>
          <c:idx val="2"/>
          <c:order val="1"/>
          <c:tx>
            <c:strRef>
              <c:f>Sheet1!$C$1</c:f>
              <c:strCache>
                <c:ptCount val="1"/>
                <c:pt idx="0">
                  <c:v>Cen środ. produkcji</c:v>
                </c:pt>
              </c:strCache>
            </c:strRef>
          </c:tx>
          <c:spPr>
            <a:ln w="25423">
              <a:solidFill>
                <a:srgbClr val="FF0000"/>
              </a:solidFill>
              <a:prstDash val="sysDash"/>
            </a:ln>
          </c:spPr>
          <c:marker>
            <c:symbol val="none"/>
          </c:marker>
          <c:cat>
            <c:strRef>
              <c:f>Sheet1!$A$2:$A$43</c:f>
              <c:strCache>
                <c:ptCount val="42"/>
                <c:pt idx="0">
                  <c:v>VII 08</c:v>
                </c:pt>
                <c:pt idx="1">
                  <c:v>VIII 08</c:v>
                </c:pt>
                <c:pt idx="2">
                  <c:v>IX 08</c:v>
                </c:pt>
                <c:pt idx="3">
                  <c:v>X 08</c:v>
                </c:pt>
                <c:pt idx="4">
                  <c:v>XI  08</c:v>
                </c:pt>
                <c:pt idx="5">
                  <c:v>XII 08</c:v>
                </c:pt>
                <c:pt idx="6">
                  <c:v>I 09</c:v>
                </c:pt>
                <c:pt idx="7">
                  <c:v>II 09</c:v>
                </c:pt>
                <c:pt idx="8">
                  <c:v>III  09</c:v>
                </c:pt>
                <c:pt idx="9">
                  <c:v>IV 09</c:v>
                </c:pt>
                <c:pt idx="10">
                  <c:v>V 09</c:v>
                </c:pt>
                <c:pt idx="11">
                  <c:v>VI 09</c:v>
                </c:pt>
                <c:pt idx="12">
                  <c:v>VII 09</c:v>
                </c:pt>
                <c:pt idx="13">
                  <c:v>VIII 09</c:v>
                </c:pt>
                <c:pt idx="14">
                  <c:v>IX 09</c:v>
                </c:pt>
                <c:pt idx="15">
                  <c:v>X 09</c:v>
                </c:pt>
                <c:pt idx="16">
                  <c:v>XI  09</c:v>
                </c:pt>
                <c:pt idx="17">
                  <c:v>XII 09</c:v>
                </c:pt>
                <c:pt idx="18">
                  <c:v>I 10</c:v>
                </c:pt>
                <c:pt idx="19">
                  <c:v>II 10</c:v>
                </c:pt>
                <c:pt idx="20">
                  <c:v>III  10</c:v>
                </c:pt>
                <c:pt idx="21">
                  <c:v>IV 10</c:v>
                </c:pt>
                <c:pt idx="22">
                  <c:v>V 10</c:v>
                </c:pt>
                <c:pt idx="23">
                  <c:v>VI 10</c:v>
                </c:pt>
                <c:pt idx="24">
                  <c:v>VII 10</c:v>
                </c:pt>
                <c:pt idx="25">
                  <c:v>VIII 10</c:v>
                </c:pt>
                <c:pt idx="26">
                  <c:v>IX 10</c:v>
                </c:pt>
                <c:pt idx="27">
                  <c:v>X 10</c:v>
                </c:pt>
                <c:pt idx="28">
                  <c:v>XI  10</c:v>
                </c:pt>
                <c:pt idx="29">
                  <c:v>XII 10</c:v>
                </c:pt>
                <c:pt idx="30">
                  <c:v>I 11</c:v>
                </c:pt>
                <c:pt idx="31">
                  <c:v>II 11</c:v>
                </c:pt>
                <c:pt idx="32">
                  <c:v>III  11</c:v>
                </c:pt>
                <c:pt idx="33">
                  <c:v>IV 11</c:v>
                </c:pt>
                <c:pt idx="34">
                  <c:v>V 11</c:v>
                </c:pt>
                <c:pt idx="35">
                  <c:v>VI 11</c:v>
                </c:pt>
                <c:pt idx="36">
                  <c:v>VII 11</c:v>
                </c:pt>
                <c:pt idx="37">
                  <c:v>VIII 11 </c:v>
                </c:pt>
                <c:pt idx="38">
                  <c:v>IX 11</c:v>
                </c:pt>
                <c:pt idx="39">
                  <c:v>X 11</c:v>
                </c:pt>
                <c:pt idx="40">
                  <c:v>XI  11</c:v>
                </c:pt>
                <c:pt idx="41">
                  <c:v>XII 11 </c:v>
                </c:pt>
              </c:strCache>
            </c:strRef>
          </c:cat>
          <c:val>
            <c:numRef>
              <c:f>Sheet1!$C$2:$C$43</c:f>
              <c:numCache>
                <c:formatCode>#,#00</c:formatCode>
                <c:ptCount val="42"/>
                <c:pt idx="0">
                  <c:v>102</c:v>
                </c:pt>
                <c:pt idx="1">
                  <c:v>102</c:v>
                </c:pt>
                <c:pt idx="2">
                  <c:v>101.9</c:v>
                </c:pt>
                <c:pt idx="3">
                  <c:v>101.8</c:v>
                </c:pt>
                <c:pt idx="4">
                  <c:v>101.6</c:v>
                </c:pt>
                <c:pt idx="5">
                  <c:v>101.2</c:v>
                </c:pt>
                <c:pt idx="6">
                  <c:v>100.7</c:v>
                </c:pt>
                <c:pt idx="7">
                  <c:v>100.3</c:v>
                </c:pt>
                <c:pt idx="8">
                  <c:v>100.2</c:v>
                </c:pt>
                <c:pt idx="9">
                  <c:v>100</c:v>
                </c:pt>
                <c:pt idx="10">
                  <c:v>100</c:v>
                </c:pt>
                <c:pt idx="11">
                  <c:v>100</c:v>
                </c:pt>
                <c:pt idx="12">
                  <c:v>100</c:v>
                </c:pt>
                <c:pt idx="13">
                  <c:v>100.1</c:v>
                </c:pt>
                <c:pt idx="14">
                  <c:v>100</c:v>
                </c:pt>
                <c:pt idx="15" formatCode="General">
                  <c:v>99.8</c:v>
                </c:pt>
                <c:pt idx="16" formatCode="General">
                  <c:v>99.5</c:v>
                </c:pt>
                <c:pt idx="17" formatCode="General">
                  <c:v>99.4</c:v>
                </c:pt>
                <c:pt idx="18" formatCode="General">
                  <c:v>99.4</c:v>
                </c:pt>
                <c:pt idx="19" formatCode="General">
                  <c:v>99.5</c:v>
                </c:pt>
                <c:pt idx="20" formatCode="General">
                  <c:v>99.6</c:v>
                </c:pt>
                <c:pt idx="21" formatCode="General">
                  <c:v>99.7</c:v>
                </c:pt>
                <c:pt idx="22" formatCode="General">
                  <c:v>99.9</c:v>
                </c:pt>
                <c:pt idx="23" formatCode="General">
                  <c:v>100.1</c:v>
                </c:pt>
                <c:pt idx="24" formatCode="General">
                  <c:v>100.1</c:v>
                </c:pt>
                <c:pt idx="25" formatCode="General">
                  <c:v>100.2</c:v>
                </c:pt>
                <c:pt idx="26" formatCode="General">
                  <c:v>100.2</c:v>
                </c:pt>
                <c:pt idx="27" formatCode="General">
                  <c:v>100.4</c:v>
                </c:pt>
                <c:pt idx="28" formatCode="General">
                  <c:v>100.4</c:v>
                </c:pt>
                <c:pt idx="29" formatCode="General">
                  <c:v>100.5</c:v>
                </c:pt>
                <c:pt idx="30" formatCode="General">
                  <c:v>101</c:v>
                </c:pt>
                <c:pt idx="31" formatCode="General">
                  <c:v>101</c:v>
                </c:pt>
                <c:pt idx="32" formatCode="General">
                  <c:v>101</c:v>
                </c:pt>
                <c:pt idx="33" formatCode="General">
                  <c:v>101</c:v>
                </c:pt>
                <c:pt idx="34" formatCode="General">
                  <c:v>101</c:v>
                </c:pt>
                <c:pt idx="35" formatCode="General">
                  <c:v>101</c:v>
                </c:pt>
                <c:pt idx="36" formatCode="General">
                  <c:v>100.9</c:v>
                </c:pt>
                <c:pt idx="37" formatCode="General">
                  <c:v>100.6</c:v>
                </c:pt>
                <c:pt idx="38" formatCode="General">
                  <c:v>100.5</c:v>
                </c:pt>
                <c:pt idx="39" formatCode="General">
                  <c:v>100.4</c:v>
                </c:pt>
                <c:pt idx="40" formatCode="General">
                  <c:v>100.3</c:v>
                </c:pt>
                <c:pt idx="41" formatCode="General">
                  <c:v>100.4</c:v>
                </c:pt>
              </c:numCache>
            </c:numRef>
          </c:val>
          <c:smooth val="1"/>
        </c:ser>
        <c:ser>
          <c:idx val="0"/>
          <c:order val="2"/>
          <c:tx>
            <c:strRef>
              <c:f>Sheet1!$D$1</c:f>
              <c:strCache>
                <c:ptCount val="1"/>
                <c:pt idx="0">
                  <c:v>Cen skupu</c:v>
                </c:pt>
              </c:strCache>
            </c:strRef>
          </c:tx>
          <c:spPr>
            <a:ln w="25423">
              <a:solidFill>
                <a:srgbClr val="0000FF"/>
              </a:solidFill>
              <a:prstDash val="solid"/>
            </a:ln>
          </c:spPr>
          <c:marker>
            <c:symbol val="none"/>
          </c:marker>
          <c:cat>
            <c:strRef>
              <c:f>Sheet1!$A$2:$A$43</c:f>
              <c:strCache>
                <c:ptCount val="42"/>
                <c:pt idx="0">
                  <c:v>VII 08</c:v>
                </c:pt>
                <c:pt idx="1">
                  <c:v>VIII 08</c:v>
                </c:pt>
                <c:pt idx="2">
                  <c:v>IX 08</c:v>
                </c:pt>
                <c:pt idx="3">
                  <c:v>X 08</c:v>
                </c:pt>
                <c:pt idx="4">
                  <c:v>XI  08</c:v>
                </c:pt>
                <c:pt idx="5">
                  <c:v>XII 08</c:v>
                </c:pt>
                <c:pt idx="6">
                  <c:v>I 09</c:v>
                </c:pt>
                <c:pt idx="7">
                  <c:v>II 09</c:v>
                </c:pt>
                <c:pt idx="8">
                  <c:v>III  09</c:v>
                </c:pt>
                <c:pt idx="9">
                  <c:v>IV 09</c:v>
                </c:pt>
                <c:pt idx="10">
                  <c:v>V 09</c:v>
                </c:pt>
                <c:pt idx="11">
                  <c:v>VI 09</c:v>
                </c:pt>
                <c:pt idx="12">
                  <c:v>VII 09</c:v>
                </c:pt>
                <c:pt idx="13">
                  <c:v>VIII 09</c:v>
                </c:pt>
                <c:pt idx="14">
                  <c:v>IX 09</c:v>
                </c:pt>
                <c:pt idx="15">
                  <c:v>X 09</c:v>
                </c:pt>
                <c:pt idx="16">
                  <c:v>XI  09</c:v>
                </c:pt>
                <c:pt idx="17">
                  <c:v>XII 09</c:v>
                </c:pt>
                <c:pt idx="18">
                  <c:v>I 10</c:v>
                </c:pt>
                <c:pt idx="19">
                  <c:v>II 10</c:v>
                </c:pt>
                <c:pt idx="20">
                  <c:v>III  10</c:v>
                </c:pt>
                <c:pt idx="21">
                  <c:v>IV 10</c:v>
                </c:pt>
                <c:pt idx="22">
                  <c:v>V 10</c:v>
                </c:pt>
                <c:pt idx="23">
                  <c:v>VI 10</c:v>
                </c:pt>
                <c:pt idx="24">
                  <c:v>VII 10</c:v>
                </c:pt>
                <c:pt idx="25">
                  <c:v>VIII 10</c:v>
                </c:pt>
                <c:pt idx="26">
                  <c:v>IX 10</c:v>
                </c:pt>
                <c:pt idx="27">
                  <c:v>X 10</c:v>
                </c:pt>
                <c:pt idx="28">
                  <c:v>XI  10</c:v>
                </c:pt>
                <c:pt idx="29">
                  <c:v>XII 10</c:v>
                </c:pt>
                <c:pt idx="30">
                  <c:v>I 11</c:v>
                </c:pt>
                <c:pt idx="31">
                  <c:v>II 11</c:v>
                </c:pt>
                <c:pt idx="32">
                  <c:v>III  11</c:v>
                </c:pt>
                <c:pt idx="33">
                  <c:v>IV 11</c:v>
                </c:pt>
                <c:pt idx="34">
                  <c:v>V 11</c:v>
                </c:pt>
                <c:pt idx="35">
                  <c:v>VI 11</c:v>
                </c:pt>
                <c:pt idx="36">
                  <c:v>VII 11</c:v>
                </c:pt>
                <c:pt idx="37">
                  <c:v>VIII 11 </c:v>
                </c:pt>
                <c:pt idx="38">
                  <c:v>IX 11</c:v>
                </c:pt>
                <c:pt idx="39">
                  <c:v>X 11</c:v>
                </c:pt>
                <c:pt idx="40">
                  <c:v>XI  11</c:v>
                </c:pt>
                <c:pt idx="41">
                  <c:v>XII 11 </c:v>
                </c:pt>
              </c:strCache>
            </c:strRef>
          </c:cat>
          <c:val>
            <c:numRef>
              <c:f>Sheet1!$D$2:$D$43</c:f>
              <c:numCache>
                <c:formatCode>#,#00</c:formatCode>
                <c:ptCount val="42"/>
                <c:pt idx="0">
                  <c:v>99.9</c:v>
                </c:pt>
                <c:pt idx="1">
                  <c:v>99.9</c:v>
                </c:pt>
                <c:pt idx="2">
                  <c:v>99.5</c:v>
                </c:pt>
                <c:pt idx="3">
                  <c:v>98.8</c:v>
                </c:pt>
                <c:pt idx="4">
                  <c:v>98.3</c:v>
                </c:pt>
                <c:pt idx="5">
                  <c:v>97.9</c:v>
                </c:pt>
                <c:pt idx="6">
                  <c:v>97.9</c:v>
                </c:pt>
                <c:pt idx="7">
                  <c:v>98.1</c:v>
                </c:pt>
                <c:pt idx="8">
                  <c:v>99.2</c:v>
                </c:pt>
                <c:pt idx="9">
                  <c:v>100</c:v>
                </c:pt>
                <c:pt idx="10">
                  <c:v>101.3</c:v>
                </c:pt>
                <c:pt idx="11">
                  <c:v>101.3</c:v>
                </c:pt>
                <c:pt idx="12">
                  <c:v>101.7</c:v>
                </c:pt>
                <c:pt idx="13">
                  <c:v>101.6</c:v>
                </c:pt>
                <c:pt idx="14">
                  <c:v>100.6</c:v>
                </c:pt>
                <c:pt idx="15" formatCode="General">
                  <c:v>99.8</c:v>
                </c:pt>
                <c:pt idx="16" formatCode="General">
                  <c:v>98.9</c:v>
                </c:pt>
                <c:pt idx="17" formatCode="General">
                  <c:v>99.5</c:v>
                </c:pt>
                <c:pt idx="18" formatCode="General">
                  <c:v>99.1</c:v>
                </c:pt>
                <c:pt idx="19" formatCode="General">
                  <c:v>99</c:v>
                </c:pt>
                <c:pt idx="20" formatCode="General">
                  <c:v>99.5</c:v>
                </c:pt>
                <c:pt idx="21" formatCode="General">
                  <c:v>99.9</c:v>
                </c:pt>
                <c:pt idx="22" formatCode="General">
                  <c:v>100.1</c:v>
                </c:pt>
                <c:pt idx="23" formatCode="General">
                  <c:v>100.2</c:v>
                </c:pt>
                <c:pt idx="24" formatCode="General">
                  <c:v>101</c:v>
                </c:pt>
                <c:pt idx="25" formatCode="General">
                  <c:v>101.3</c:v>
                </c:pt>
                <c:pt idx="26" formatCode="General">
                  <c:v>102.3</c:v>
                </c:pt>
                <c:pt idx="27" formatCode="General">
                  <c:v>102.3</c:v>
                </c:pt>
                <c:pt idx="28" formatCode="General">
                  <c:v>102.1</c:v>
                </c:pt>
                <c:pt idx="29" formatCode="General">
                  <c:v>101.9</c:v>
                </c:pt>
                <c:pt idx="30" formatCode="General">
                  <c:v>101.5</c:v>
                </c:pt>
                <c:pt idx="31" formatCode="General">
                  <c:v>101.5</c:v>
                </c:pt>
                <c:pt idx="32" formatCode="General">
                  <c:v>101.3</c:v>
                </c:pt>
                <c:pt idx="33" formatCode="General">
                  <c:v>101.8</c:v>
                </c:pt>
                <c:pt idx="34" formatCode="General">
                  <c:v>102.7</c:v>
                </c:pt>
                <c:pt idx="35" formatCode="General">
                  <c:v>102.3</c:v>
                </c:pt>
                <c:pt idx="36" formatCode="General">
                  <c:v>102</c:v>
                </c:pt>
                <c:pt idx="37" formatCode="General">
                  <c:v>102.1</c:v>
                </c:pt>
                <c:pt idx="38" formatCode="General">
                  <c:v>101.1</c:v>
                </c:pt>
                <c:pt idx="39" formatCode="General">
                  <c:v>100.6</c:v>
                </c:pt>
                <c:pt idx="40" formatCode="General">
                  <c:v>100.1</c:v>
                </c:pt>
                <c:pt idx="41" formatCode="General">
                  <c:v>100.4</c:v>
                </c:pt>
              </c:numCache>
            </c:numRef>
          </c:val>
          <c:smooth val="1"/>
        </c:ser>
        <c:dLbls>
          <c:showLegendKey val="0"/>
          <c:showVal val="0"/>
          <c:showCatName val="0"/>
          <c:showSerName val="0"/>
          <c:showPercent val="0"/>
          <c:showBubbleSize val="0"/>
        </c:dLbls>
        <c:marker val="1"/>
        <c:smooth val="0"/>
        <c:axId val="39856000"/>
        <c:axId val="39857536"/>
      </c:lineChart>
      <c:catAx>
        <c:axId val="39856000"/>
        <c:scaling>
          <c:orientation val="minMax"/>
        </c:scaling>
        <c:delete val="0"/>
        <c:axPos val="b"/>
        <c:numFmt formatCode="General" sourceLinked="1"/>
        <c:majorTickMark val="out"/>
        <c:minorTickMark val="none"/>
        <c:tickLblPos val="nextTo"/>
        <c:spPr>
          <a:ln w="3178">
            <a:solidFill>
              <a:srgbClr val="000000"/>
            </a:solidFill>
            <a:prstDash val="solid"/>
          </a:ln>
        </c:spPr>
        <c:txPr>
          <a:bodyPr rot="0" vert="horz"/>
          <a:lstStyle/>
          <a:p>
            <a:pPr>
              <a:defRPr sz="801" b="1" i="0" u="none" strike="noStrike" baseline="0">
                <a:solidFill>
                  <a:srgbClr val="000000"/>
                </a:solidFill>
                <a:latin typeface="Arial"/>
                <a:ea typeface="Arial"/>
                <a:cs typeface="Arial"/>
              </a:defRPr>
            </a:pPr>
            <a:endParaRPr lang="pl-PL"/>
          </a:p>
        </c:txPr>
        <c:crossAx val="39857536"/>
        <c:crosses val="autoZero"/>
        <c:auto val="1"/>
        <c:lblAlgn val="ctr"/>
        <c:lblOffset val="100"/>
        <c:tickLblSkip val="4"/>
        <c:tickMarkSkip val="4"/>
        <c:noMultiLvlLbl val="0"/>
      </c:catAx>
      <c:valAx>
        <c:axId val="39857536"/>
        <c:scaling>
          <c:orientation val="minMax"/>
          <c:max val="104"/>
          <c:min val="97"/>
        </c:scaling>
        <c:delete val="0"/>
        <c:axPos val="l"/>
        <c:numFmt formatCode="General" sourceLinked="1"/>
        <c:majorTickMark val="out"/>
        <c:minorTickMark val="none"/>
        <c:tickLblPos val="nextTo"/>
        <c:spPr>
          <a:ln w="3178">
            <a:solidFill>
              <a:srgbClr val="000000"/>
            </a:solidFill>
            <a:prstDash val="solid"/>
          </a:ln>
        </c:spPr>
        <c:txPr>
          <a:bodyPr rot="0" vert="horz"/>
          <a:lstStyle/>
          <a:p>
            <a:pPr>
              <a:defRPr sz="801" b="1" i="0" u="none" strike="noStrike" baseline="0">
                <a:solidFill>
                  <a:srgbClr val="000000"/>
                </a:solidFill>
                <a:latin typeface="Arial"/>
                <a:ea typeface="Arial"/>
                <a:cs typeface="Arial"/>
              </a:defRPr>
            </a:pPr>
            <a:endParaRPr lang="pl-PL"/>
          </a:p>
        </c:txPr>
        <c:crossAx val="39856000"/>
        <c:crosses val="autoZero"/>
        <c:crossBetween val="between"/>
        <c:majorUnit val="1"/>
      </c:valAx>
      <c:spPr>
        <a:noFill/>
        <a:ln w="25423">
          <a:noFill/>
        </a:ln>
      </c:spPr>
    </c:plotArea>
    <c:legend>
      <c:legendPos val="b"/>
      <c:layout>
        <c:manualLayout>
          <c:xMode val="edge"/>
          <c:yMode val="edge"/>
          <c:x val="1.2500000000000001E-2"/>
          <c:y val="0.90909090909090906"/>
          <c:w val="0.97500000000000064"/>
          <c:h val="9.569377990430622E-2"/>
        </c:manualLayout>
      </c:layout>
      <c:overlay val="0"/>
      <c:spPr>
        <a:noFill/>
        <a:ln w="25423">
          <a:noFill/>
        </a:ln>
      </c:spPr>
      <c:txPr>
        <a:bodyPr/>
        <a:lstStyle/>
        <a:p>
          <a:pPr>
            <a:defRPr sz="736" b="1" i="0" u="none" strike="noStrike" baseline="0">
              <a:solidFill>
                <a:srgbClr val="000000"/>
              </a:solidFill>
              <a:latin typeface="Arial"/>
              <a:ea typeface="Arial"/>
              <a:cs typeface="Arial"/>
            </a:defRPr>
          </a:pPr>
          <a:endParaRPr lang="pl-PL"/>
        </a:p>
      </c:txPr>
    </c:legend>
    <c:plotVisOnly val="1"/>
    <c:dispBlanksAs val="gap"/>
    <c:showDLblsOverMax val="0"/>
  </c:chart>
  <c:spPr>
    <a:noFill/>
    <a:ln>
      <a:noFill/>
    </a:ln>
  </c:spPr>
  <c:txPr>
    <a:bodyPr/>
    <a:lstStyle/>
    <a:p>
      <a:pPr>
        <a:defRPr sz="801" b="1" i="0" u="none" strike="noStrike" baseline="0">
          <a:solidFill>
            <a:srgbClr val="000000"/>
          </a:solidFill>
          <a:latin typeface="Arial"/>
          <a:ea typeface="Arial"/>
          <a:cs typeface="Arial"/>
        </a:defRPr>
      </a:pPr>
      <a:endParaRPr lang="pl-PL"/>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0062111801242239E-2"/>
          <c:y val="5.2631578947368432E-2"/>
          <c:w val="0.91304347826086962"/>
          <c:h val="0.6842105263157896"/>
        </c:manualLayout>
      </c:layout>
      <c:lineChart>
        <c:grouping val="standard"/>
        <c:varyColors val="0"/>
        <c:ser>
          <c:idx val="0"/>
          <c:order val="0"/>
          <c:tx>
            <c:strRef>
              <c:f>Sheet1!$B$1</c:f>
              <c:strCache>
                <c:ptCount val="1"/>
                <c:pt idx="0">
                  <c:v>Sto</c:v>
                </c:pt>
              </c:strCache>
            </c:strRef>
          </c:tx>
          <c:spPr>
            <a:ln w="25415">
              <a:solidFill>
                <a:srgbClr val="000000"/>
              </a:solidFill>
              <a:prstDash val="solid"/>
            </a:ln>
          </c:spPr>
          <c:marker>
            <c:symbol val="none"/>
          </c:marker>
          <c:cat>
            <c:strRef>
              <c:f>Sheet1!$A$2:$A$13</c:f>
              <c:strCache>
                <c:ptCount val="12"/>
                <c:pt idx="0">
                  <c:v>I </c:v>
                </c:pt>
                <c:pt idx="1">
                  <c:v>II</c:v>
                </c:pt>
                <c:pt idx="2">
                  <c:v>III</c:v>
                </c:pt>
                <c:pt idx="3">
                  <c:v>IV</c:v>
                </c:pt>
                <c:pt idx="4">
                  <c:v>V</c:v>
                </c:pt>
                <c:pt idx="5">
                  <c:v>VI </c:v>
                </c:pt>
                <c:pt idx="6">
                  <c:v>VII </c:v>
                </c:pt>
                <c:pt idx="7">
                  <c:v>VIII</c:v>
                </c:pt>
                <c:pt idx="8">
                  <c:v>IX</c:v>
                </c:pt>
                <c:pt idx="9">
                  <c:v>X</c:v>
                </c:pt>
                <c:pt idx="10">
                  <c:v>XI</c:v>
                </c:pt>
                <c:pt idx="11">
                  <c:v>XII</c:v>
                </c:pt>
              </c:strCache>
            </c:strRef>
          </c:cat>
          <c:val>
            <c:numRef>
              <c:f>Sheet1!$B$2:$B$13</c:f>
              <c:numCache>
                <c:formatCode>General</c:formatCode>
                <c:ptCount val="12"/>
                <c:pt idx="0">
                  <c:v>100</c:v>
                </c:pt>
                <c:pt idx="1">
                  <c:v>100</c:v>
                </c:pt>
                <c:pt idx="2">
                  <c:v>100</c:v>
                </c:pt>
                <c:pt idx="3">
                  <c:v>100</c:v>
                </c:pt>
                <c:pt idx="4">
                  <c:v>100</c:v>
                </c:pt>
                <c:pt idx="5">
                  <c:v>100</c:v>
                </c:pt>
                <c:pt idx="6">
                  <c:v>100</c:v>
                </c:pt>
                <c:pt idx="7">
                  <c:v>100</c:v>
                </c:pt>
                <c:pt idx="8">
                  <c:v>100</c:v>
                </c:pt>
                <c:pt idx="9">
                  <c:v>100</c:v>
                </c:pt>
                <c:pt idx="10">
                  <c:v>100</c:v>
                </c:pt>
                <c:pt idx="11">
                  <c:v>100</c:v>
                </c:pt>
              </c:numCache>
            </c:numRef>
          </c:val>
          <c:smooth val="1"/>
        </c:ser>
        <c:ser>
          <c:idx val="1"/>
          <c:order val="1"/>
          <c:tx>
            <c:strRef>
              <c:f>Sheet1!$C$1</c:f>
              <c:strCache>
                <c:ptCount val="1"/>
                <c:pt idx="0">
                  <c:v>2008</c:v>
                </c:pt>
              </c:strCache>
            </c:strRef>
          </c:tx>
          <c:spPr>
            <a:ln w="25415">
              <a:solidFill>
                <a:srgbClr val="0000FF"/>
              </a:solidFill>
              <a:prstDash val="sysDot"/>
            </a:ln>
          </c:spPr>
          <c:marker>
            <c:symbol val="none"/>
          </c:marker>
          <c:cat>
            <c:strRef>
              <c:f>Sheet1!$A$2:$A$13</c:f>
              <c:strCache>
                <c:ptCount val="12"/>
                <c:pt idx="0">
                  <c:v>I </c:v>
                </c:pt>
                <c:pt idx="1">
                  <c:v>II</c:v>
                </c:pt>
                <c:pt idx="2">
                  <c:v>III</c:v>
                </c:pt>
                <c:pt idx="3">
                  <c:v>IV</c:v>
                </c:pt>
                <c:pt idx="4">
                  <c:v>V</c:v>
                </c:pt>
                <c:pt idx="5">
                  <c:v>VI </c:v>
                </c:pt>
                <c:pt idx="6">
                  <c:v>VII </c:v>
                </c:pt>
                <c:pt idx="7">
                  <c:v>VIII</c:v>
                </c:pt>
                <c:pt idx="8">
                  <c:v>IX</c:v>
                </c:pt>
                <c:pt idx="9">
                  <c:v>X</c:v>
                </c:pt>
                <c:pt idx="10">
                  <c:v>XI</c:v>
                </c:pt>
                <c:pt idx="11">
                  <c:v>XII</c:v>
                </c:pt>
              </c:strCache>
            </c:strRef>
          </c:cat>
          <c:val>
            <c:numRef>
              <c:f>Sheet1!$C$2:$C$13</c:f>
              <c:numCache>
                <c:formatCode>#,000</c:formatCode>
                <c:ptCount val="12"/>
                <c:pt idx="0">
                  <c:v>97.52</c:v>
                </c:pt>
                <c:pt idx="1">
                  <c:v>94.460000000000022</c:v>
                </c:pt>
                <c:pt idx="2">
                  <c:v>94.710000000000022</c:v>
                </c:pt>
                <c:pt idx="3">
                  <c:v>91.51</c:v>
                </c:pt>
                <c:pt idx="4">
                  <c:v>89.43</c:v>
                </c:pt>
                <c:pt idx="5">
                  <c:v>88.7</c:v>
                </c:pt>
                <c:pt idx="6">
                  <c:v>86.240000000000023</c:v>
                </c:pt>
                <c:pt idx="7">
                  <c:v>81.92</c:v>
                </c:pt>
                <c:pt idx="8">
                  <c:v>78.910000000000025</c:v>
                </c:pt>
                <c:pt idx="9">
                  <c:v>74.92</c:v>
                </c:pt>
                <c:pt idx="10">
                  <c:v>73.47</c:v>
                </c:pt>
                <c:pt idx="11">
                  <c:v>74.58</c:v>
                </c:pt>
              </c:numCache>
            </c:numRef>
          </c:val>
          <c:smooth val="1"/>
        </c:ser>
        <c:ser>
          <c:idx val="2"/>
          <c:order val="2"/>
          <c:tx>
            <c:strRef>
              <c:f>Sheet1!$D$1</c:f>
              <c:strCache>
                <c:ptCount val="1"/>
                <c:pt idx="0">
                  <c:v>2009</c:v>
                </c:pt>
              </c:strCache>
            </c:strRef>
          </c:tx>
          <c:spPr>
            <a:ln w="25415">
              <a:solidFill>
                <a:srgbClr val="000000"/>
              </a:solidFill>
              <a:prstDash val="solid"/>
            </a:ln>
          </c:spPr>
          <c:marker>
            <c:symbol val="none"/>
          </c:marker>
          <c:cat>
            <c:strRef>
              <c:f>Sheet1!$A$2:$A$13</c:f>
              <c:strCache>
                <c:ptCount val="12"/>
                <c:pt idx="0">
                  <c:v>I </c:v>
                </c:pt>
                <c:pt idx="1">
                  <c:v>II</c:v>
                </c:pt>
                <c:pt idx="2">
                  <c:v>III</c:v>
                </c:pt>
                <c:pt idx="3">
                  <c:v>IV</c:v>
                </c:pt>
                <c:pt idx="4">
                  <c:v>V</c:v>
                </c:pt>
                <c:pt idx="5">
                  <c:v>VI </c:v>
                </c:pt>
                <c:pt idx="6">
                  <c:v>VII </c:v>
                </c:pt>
                <c:pt idx="7">
                  <c:v>VIII</c:v>
                </c:pt>
                <c:pt idx="8">
                  <c:v>IX</c:v>
                </c:pt>
                <c:pt idx="9">
                  <c:v>X</c:v>
                </c:pt>
                <c:pt idx="10">
                  <c:v>XI</c:v>
                </c:pt>
                <c:pt idx="11">
                  <c:v>XII</c:v>
                </c:pt>
              </c:strCache>
            </c:strRef>
          </c:cat>
          <c:val>
            <c:numRef>
              <c:f>Sheet1!$D$2:$D$13</c:f>
              <c:numCache>
                <c:formatCode>#,000</c:formatCode>
                <c:ptCount val="12"/>
                <c:pt idx="0">
                  <c:v>100.98</c:v>
                </c:pt>
                <c:pt idx="1">
                  <c:v>103.09</c:v>
                </c:pt>
                <c:pt idx="2">
                  <c:v>105.74000000000002</c:v>
                </c:pt>
                <c:pt idx="3">
                  <c:v>108.78</c:v>
                </c:pt>
                <c:pt idx="4">
                  <c:v>106.11999999999999</c:v>
                </c:pt>
                <c:pt idx="5">
                  <c:v>110.35</c:v>
                </c:pt>
                <c:pt idx="6">
                  <c:v>109.7</c:v>
                </c:pt>
                <c:pt idx="7">
                  <c:v>106.63</c:v>
                </c:pt>
                <c:pt idx="8">
                  <c:v>105.53</c:v>
                </c:pt>
                <c:pt idx="9">
                  <c:v>104.95</c:v>
                </c:pt>
                <c:pt idx="10">
                  <c:v>106.69</c:v>
                </c:pt>
                <c:pt idx="11">
                  <c:v>108.61999999999999</c:v>
                </c:pt>
              </c:numCache>
            </c:numRef>
          </c:val>
          <c:smooth val="1"/>
        </c:ser>
        <c:ser>
          <c:idx val="4"/>
          <c:order val="3"/>
          <c:tx>
            <c:strRef>
              <c:f>Sheet1!$E$1</c:f>
              <c:strCache>
                <c:ptCount val="1"/>
                <c:pt idx="0">
                  <c:v>2010</c:v>
                </c:pt>
              </c:strCache>
            </c:strRef>
          </c:tx>
          <c:spPr>
            <a:ln w="25415">
              <a:solidFill>
                <a:srgbClr val="00FF00"/>
              </a:solidFill>
              <a:prstDash val="sysDash"/>
            </a:ln>
          </c:spPr>
          <c:marker>
            <c:symbol val="none"/>
          </c:marker>
          <c:cat>
            <c:strRef>
              <c:f>Sheet1!$A$2:$A$13</c:f>
              <c:strCache>
                <c:ptCount val="12"/>
                <c:pt idx="0">
                  <c:v>I </c:v>
                </c:pt>
                <c:pt idx="1">
                  <c:v>II</c:v>
                </c:pt>
                <c:pt idx="2">
                  <c:v>III</c:v>
                </c:pt>
                <c:pt idx="3">
                  <c:v>IV</c:v>
                </c:pt>
                <c:pt idx="4">
                  <c:v>V</c:v>
                </c:pt>
                <c:pt idx="5">
                  <c:v>VI </c:v>
                </c:pt>
                <c:pt idx="6">
                  <c:v>VII </c:v>
                </c:pt>
                <c:pt idx="7">
                  <c:v>VIII</c:v>
                </c:pt>
                <c:pt idx="8">
                  <c:v>IX</c:v>
                </c:pt>
                <c:pt idx="9">
                  <c:v>X</c:v>
                </c:pt>
                <c:pt idx="10">
                  <c:v>XI</c:v>
                </c:pt>
                <c:pt idx="11">
                  <c:v>XII</c:v>
                </c:pt>
              </c:strCache>
            </c:strRef>
          </c:cat>
          <c:val>
            <c:numRef>
              <c:f>Sheet1!$E$2:$E$13</c:f>
              <c:numCache>
                <c:formatCode>#,000</c:formatCode>
                <c:ptCount val="12"/>
                <c:pt idx="0">
                  <c:v>98.47</c:v>
                </c:pt>
                <c:pt idx="1">
                  <c:v>97.61</c:v>
                </c:pt>
                <c:pt idx="2">
                  <c:v>98.27</c:v>
                </c:pt>
                <c:pt idx="3">
                  <c:v>98.02</c:v>
                </c:pt>
                <c:pt idx="4">
                  <c:v>99.22</c:v>
                </c:pt>
                <c:pt idx="5">
                  <c:v>105.28</c:v>
                </c:pt>
                <c:pt idx="6">
                  <c:v>105.34</c:v>
                </c:pt>
                <c:pt idx="7">
                  <c:v>110.84</c:v>
                </c:pt>
                <c:pt idx="8">
                  <c:v>111.13</c:v>
                </c:pt>
                <c:pt idx="9">
                  <c:v>108.32</c:v>
                </c:pt>
                <c:pt idx="10">
                  <c:v>108.57</c:v>
                </c:pt>
                <c:pt idx="11">
                  <c:v>111.4</c:v>
                </c:pt>
              </c:numCache>
            </c:numRef>
          </c:val>
          <c:smooth val="1"/>
        </c:ser>
        <c:ser>
          <c:idx val="3"/>
          <c:order val="4"/>
          <c:tx>
            <c:strRef>
              <c:f>Sheet1!$F$1</c:f>
              <c:strCache>
                <c:ptCount val="1"/>
                <c:pt idx="0">
                  <c:v>2011</c:v>
                </c:pt>
              </c:strCache>
            </c:strRef>
          </c:tx>
          <c:spPr>
            <a:ln w="25415">
              <a:solidFill>
                <a:srgbClr val="FF0000"/>
              </a:solidFill>
              <a:prstDash val="lgDash"/>
            </a:ln>
          </c:spPr>
          <c:marker>
            <c:symbol val="none"/>
          </c:marker>
          <c:cat>
            <c:strRef>
              <c:f>Sheet1!$A$2:$A$13</c:f>
              <c:strCache>
                <c:ptCount val="12"/>
                <c:pt idx="0">
                  <c:v>I </c:v>
                </c:pt>
                <c:pt idx="1">
                  <c:v>II</c:v>
                </c:pt>
                <c:pt idx="2">
                  <c:v>III</c:v>
                </c:pt>
                <c:pt idx="3">
                  <c:v>IV</c:v>
                </c:pt>
                <c:pt idx="4">
                  <c:v>V</c:v>
                </c:pt>
                <c:pt idx="5">
                  <c:v>VI </c:v>
                </c:pt>
                <c:pt idx="6">
                  <c:v>VII </c:v>
                </c:pt>
                <c:pt idx="7">
                  <c:v>VIII</c:v>
                </c:pt>
                <c:pt idx="8">
                  <c:v>IX</c:v>
                </c:pt>
                <c:pt idx="9">
                  <c:v>X</c:v>
                </c:pt>
                <c:pt idx="10">
                  <c:v>XI</c:v>
                </c:pt>
                <c:pt idx="11">
                  <c:v>XII</c:v>
                </c:pt>
              </c:strCache>
            </c:strRef>
          </c:cat>
          <c:val>
            <c:numRef>
              <c:f>Sheet1!$F$2:$F$13</c:f>
              <c:numCache>
                <c:formatCode>General</c:formatCode>
                <c:ptCount val="12"/>
                <c:pt idx="0">
                  <c:v>98.95</c:v>
                </c:pt>
                <c:pt idx="1">
                  <c:v>102.08</c:v>
                </c:pt>
                <c:pt idx="2">
                  <c:v>104.73</c:v>
                </c:pt>
                <c:pt idx="3">
                  <c:v>107.22</c:v>
                </c:pt>
                <c:pt idx="4">
                  <c:v>105.5</c:v>
                </c:pt>
                <c:pt idx="5">
                  <c:v>107.01</c:v>
                </c:pt>
                <c:pt idx="6">
                  <c:v>108.09</c:v>
                </c:pt>
                <c:pt idx="7">
                  <c:v>105.03</c:v>
                </c:pt>
                <c:pt idx="8">
                  <c:v>106</c:v>
                </c:pt>
                <c:pt idx="9">
                  <c:v>105.46000000000002</c:v>
                </c:pt>
                <c:pt idx="10">
                  <c:v>105.6</c:v>
                </c:pt>
                <c:pt idx="11">
                  <c:v>109.36999999999999</c:v>
                </c:pt>
              </c:numCache>
            </c:numRef>
          </c:val>
          <c:smooth val="1"/>
        </c:ser>
        <c:dLbls>
          <c:showLegendKey val="0"/>
          <c:showVal val="0"/>
          <c:showCatName val="0"/>
          <c:showSerName val="0"/>
          <c:showPercent val="0"/>
          <c:showBubbleSize val="0"/>
        </c:dLbls>
        <c:marker val="1"/>
        <c:smooth val="0"/>
        <c:axId val="39905536"/>
        <c:axId val="36503552"/>
      </c:lineChart>
      <c:catAx>
        <c:axId val="39905536"/>
        <c:scaling>
          <c:orientation val="minMax"/>
        </c:scaling>
        <c:delete val="0"/>
        <c:axPos val="b"/>
        <c:numFmt formatCode="General" sourceLinked="1"/>
        <c:majorTickMark val="out"/>
        <c:minorTickMark val="none"/>
        <c:tickLblPos val="nextTo"/>
        <c:spPr>
          <a:ln w="3177">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pl-PL"/>
          </a:p>
        </c:txPr>
        <c:crossAx val="36503552"/>
        <c:crosses val="autoZero"/>
        <c:auto val="1"/>
        <c:lblAlgn val="ctr"/>
        <c:lblOffset val="100"/>
        <c:tickLblSkip val="1"/>
        <c:tickMarkSkip val="1"/>
        <c:noMultiLvlLbl val="0"/>
      </c:catAx>
      <c:valAx>
        <c:axId val="36503552"/>
        <c:scaling>
          <c:orientation val="minMax"/>
          <c:max val="120"/>
          <c:min val="70"/>
        </c:scaling>
        <c:delete val="0"/>
        <c:axPos val="l"/>
        <c:numFmt formatCode="0" sourceLinked="0"/>
        <c:majorTickMark val="out"/>
        <c:minorTickMark val="none"/>
        <c:tickLblPos val="nextTo"/>
        <c:spPr>
          <a:ln w="3177">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pl-PL"/>
          </a:p>
        </c:txPr>
        <c:crossAx val="39905536"/>
        <c:crosses val="autoZero"/>
        <c:crossBetween val="between"/>
        <c:majorUnit val="7.5"/>
      </c:valAx>
      <c:spPr>
        <a:noFill/>
        <a:ln w="25415">
          <a:noFill/>
        </a:ln>
      </c:spPr>
    </c:plotArea>
    <c:legend>
      <c:legendPos val="b"/>
      <c:layout/>
      <c:overlay val="0"/>
      <c:spPr>
        <a:noFill/>
        <a:ln w="25415">
          <a:noFill/>
        </a:ln>
      </c:spPr>
      <c:txPr>
        <a:bodyPr/>
        <a:lstStyle/>
        <a:p>
          <a:pPr>
            <a:defRPr sz="735" b="1" i="0" u="none" strike="noStrike" baseline="0">
              <a:solidFill>
                <a:srgbClr val="000000"/>
              </a:solidFill>
              <a:latin typeface="Arial"/>
              <a:ea typeface="Arial"/>
              <a:cs typeface="Arial"/>
            </a:defRPr>
          </a:pPr>
          <a:endParaRPr lang="pl-PL"/>
        </a:p>
      </c:txPr>
    </c:legend>
    <c:plotVisOnly val="1"/>
    <c:dispBlanksAs val="gap"/>
    <c:showDLblsOverMax val="0"/>
  </c:chart>
  <c:spPr>
    <a:noFill/>
    <a:ln>
      <a:noFill/>
    </a:ln>
  </c:spPr>
  <c:txPr>
    <a:bodyPr/>
    <a:lstStyle/>
    <a:p>
      <a:pPr>
        <a:defRPr sz="800" b="1" i="0" u="none" strike="noStrike" baseline="0">
          <a:solidFill>
            <a:srgbClr val="000000"/>
          </a:solidFill>
          <a:latin typeface="Arial"/>
          <a:ea typeface="Arial"/>
          <a:cs typeface="Arial"/>
        </a:defRPr>
      </a:pPr>
      <a:endParaRPr lang="pl-PL"/>
    </a:p>
  </c:txPr>
  <c:externalData r:id="rId2">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A85B3-5C47-4558-80E6-F2AD68AE3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15</Pages>
  <Words>5728</Words>
  <Characters>34374</Characters>
  <Application>Microsoft Office Word</Application>
  <DocSecurity>0</DocSecurity>
  <Lines>286</Lines>
  <Paragraphs>80</Paragraphs>
  <ScaleCrop>false</ScaleCrop>
  <HeadingPairs>
    <vt:vector size="2" baseType="variant">
      <vt:variant>
        <vt:lpstr>Tytuł</vt:lpstr>
      </vt:variant>
      <vt:variant>
        <vt:i4>1</vt:i4>
      </vt:variant>
    </vt:vector>
  </HeadingPairs>
  <TitlesOfParts>
    <vt:vector size="1" baseType="lpstr">
      <vt:lpstr/>
    </vt:vector>
  </TitlesOfParts>
  <Company>IERIGZ</Company>
  <LinksUpToDate>false</LinksUpToDate>
  <CharactersWithSpaces>40022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AdamskiM</dc:creator>
  <cp:lastModifiedBy>Zdzieborska Maria</cp:lastModifiedBy>
  <cp:revision>11</cp:revision>
  <cp:lastPrinted>2013-01-02T12:08:00Z</cp:lastPrinted>
  <dcterms:created xsi:type="dcterms:W3CDTF">2013-01-03T07:24:00Z</dcterms:created>
  <dcterms:modified xsi:type="dcterms:W3CDTF">2013-01-03T10:34:00Z</dcterms:modified>
</cp:coreProperties>
</file>