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4AC" w:rsidRPr="004848DE" w:rsidRDefault="00D40C12" w:rsidP="004848DE">
      <w:pPr>
        <w:pStyle w:val="Tytu"/>
        <w:spacing w:after="120"/>
        <w:rPr>
          <w:rFonts w:eastAsia="Times New Roman"/>
          <w:color w:val="000000" w:themeColor="text1"/>
        </w:rPr>
      </w:pPr>
      <w:r w:rsidRPr="004848DE">
        <w:rPr>
          <w:rFonts w:eastAsia="Times New Roman"/>
          <w:color w:val="000000" w:themeColor="text1"/>
        </w:rPr>
        <w:t>Rolnicze Spółdzielnie Produkcyjne w 201</w:t>
      </w:r>
      <w:r w:rsidR="00A81B0C" w:rsidRPr="004848DE">
        <w:rPr>
          <w:rFonts w:eastAsia="Times New Roman"/>
          <w:color w:val="000000" w:themeColor="text1"/>
        </w:rPr>
        <w:t>5</w:t>
      </w:r>
      <w:r w:rsidR="001B2266" w:rsidRPr="004848DE">
        <w:rPr>
          <w:rFonts w:eastAsia="Times New Roman"/>
          <w:color w:val="000000" w:themeColor="text1"/>
        </w:rPr>
        <w:t xml:space="preserve"> </w:t>
      </w:r>
      <w:r w:rsidRPr="004848DE">
        <w:rPr>
          <w:rFonts w:eastAsia="Times New Roman"/>
          <w:color w:val="000000" w:themeColor="text1"/>
        </w:rPr>
        <w:t>r</w:t>
      </w:r>
      <w:r w:rsidR="001B2266" w:rsidRPr="004848DE">
        <w:rPr>
          <w:rFonts w:eastAsia="Times New Roman"/>
          <w:color w:val="000000" w:themeColor="text1"/>
        </w:rPr>
        <w:t>.</w:t>
      </w:r>
      <w:r w:rsidR="00E53F04" w:rsidRPr="004848DE">
        <w:rPr>
          <w:rFonts w:eastAsia="Times New Roman"/>
          <w:color w:val="000000" w:themeColor="text1"/>
        </w:rPr>
        <w:t xml:space="preserve"> – n</w:t>
      </w:r>
      <w:r w:rsidRPr="004848DE">
        <w:rPr>
          <w:rFonts w:eastAsia="Times New Roman"/>
          <w:color w:val="000000" w:themeColor="text1"/>
        </w:rPr>
        <w:t>ajlepsza setka</w:t>
      </w:r>
    </w:p>
    <w:p w:rsidR="00A81B0C" w:rsidRDefault="00A81B0C" w:rsidP="005767E1">
      <w:pPr>
        <w:spacing w:before="80" w:after="0" w:line="264" w:lineRule="auto"/>
        <w:ind w:firstLine="425"/>
        <w:jc w:val="both"/>
        <w:rPr>
          <w:rFonts w:ascii="Times New Roman" w:eastAsia="Times New Roman" w:hAnsi="Times New Roman"/>
          <w:sz w:val="24"/>
          <w:szCs w:val="24"/>
        </w:rPr>
      </w:pPr>
      <w:r>
        <w:rPr>
          <w:rFonts w:ascii="Times New Roman" w:eastAsia="Times New Roman" w:hAnsi="Times New Roman"/>
          <w:sz w:val="24"/>
          <w:szCs w:val="24"/>
        </w:rPr>
        <w:t xml:space="preserve">Z przyjemnością publikujemy wyniki szesnastego już rankingu najlepszych rolniczych spółdzielni produkcyjnych w Polsce. Należy podkreślić, że publikacja ta jest od samego początku jedynym swego rodzaju raportem o stanie funkcjonowania tej grupy gospodarstw </w:t>
      </w:r>
      <w:r w:rsidR="002E07AC">
        <w:rPr>
          <w:rFonts w:ascii="Times New Roman" w:eastAsia="Times New Roman" w:hAnsi="Times New Roman"/>
          <w:sz w:val="24"/>
          <w:szCs w:val="24"/>
        </w:rPr>
        <w:t xml:space="preserve">z osobowością </w:t>
      </w:r>
      <w:r>
        <w:rPr>
          <w:rFonts w:ascii="Times New Roman" w:eastAsia="Times New Roman" w:hAnsi="Times New Roman"/>
          <w:sz w:val="24"/>
          <w:szCs w:val="24"/>
        </w:rPr>
        <w:t xml:space="preserve">prawną. </w:t>
      </w:r>
      <w:r w:rsidR="00207D8B">
        <w:rPr>
          <w:rFonts w:ascii="Times New Roman" w:eastAsia="Times New Roman" w:hAnsi="Times New Roman"/>
          <w:sz w:val="24"/>
          <w:szCs w:val="24"/>
        </w:rPr>
        <w:t>Podstawowym celem rankingu jest prezentacja najlepiej funkcjonujących jednostek w tej branży oraz ich promocja.</w:t>
      </w:r>
    </w:p>
    <w:p w:rsidR="00207D8B" w:rsidRDefault="002E07AC" w:rsidP="005767E1">
      <w:pPr>
        <w:spacing w:before="80" w:after="0" w:line="264" w:lineRule="auto"/>
        <w:ind w:firstLine="426"/>
        <w:jc w:val="both"/>
        <w:rPr>
          <w:rFonts w:ascii="Times New Roman" w:eastAsia="Times New Roman" w:hAnsi="Times New Roman"/>
          <w:sz w:val="24"/>
          <w:szCs w:val="24"/>
        </w:rPr>
      </w:pPr>
      <w:r>
        <w:rPr>
          <w:rFonts w:ascii="Times New Roman" w:eastAsia="Times New Roman" w:hAnsi="Times New Roman"/>
          <w:sz w:val="24"/>
          <w:szCs w:val="24"/>
        </w:rPr>
        <w:t>Kolejna</w:t>
      </w:r>
      <w:r w:rsidR="00E53F04">
        <w:rPr>
          <w:rFonts w:ascii="Times New Roman" w:eastAsia="Times New Roman" w:hAnsi="Times New Roman"/>
          <w:sz w:val="24"/>
          <w:szCs w:val="24"/>
        </w:rPr>
        <w:t xml:space="preserve"> edycja rankingu nie doszła</w:t>
      </w:r>
      <w:r w:rsidR="00443446">
        <w:rPr>
          <w:rFonts w:ascii="Times New Roman" w:eastAsia="Times New Roman" w:hAnsi="Times New Roman"/>
          <w:sz w:val="24"/>
          <w:szCs w:val="24"/>
        </w:rPr>
        <w:t>by do skutku</w:t>
      </w:r>
      <w:r w:rsidR="003D0CD0">
        <w:rPr>
          <w:rFonts w:ascii="Times New Roman" w:eastAsia="Times New Roman" w:hAnsi="Times New Roman"/>
          <w:sz w:val="24"/>
          <w:szCs w:val="24"/>
        </w:rPr>
        <w:t>,</w:t>
      </w:r>
      <w:r w:rsidR="00443446">
        <w:rPr>
          <w:rFonts w:ascii="Times New Roman" w:eastAsia="Times New Roman" w:hAnsi="Times New Roman"/>
          <w:sz w:val="24"/>
          <w:szCs w:val="24"/>
        </w:rPr>
        <w:t xml:space="preserve"> gdyby nie ogromne zaangażowanie samych spółdzielni w to przedsięwzięcie, wspierane przez Krajową Radę Spółdzielczą, Krajowy Związek Rewizyjny Rolniczych Spółdzielni </w:t>
      </w:r>
      <w:r w:rsidR="00443446" w:rsidRPr="00623742">
        <w:rPr>
          <w:rFonts w:ascii="Times New Roman" w:eastAsia="Times New Roman" w:hAnsi="Times New Roman"/>
          <w:sz w:val="24"/>
          <w:szCs w:val="24"/>
        </w:rPr>
        <w:t>Produkcyjnych oraz redakcj</w:t>
      </w:r>
      <w:r w:rsidR="003D0CD0">
        <w:rPr>
          <w:rFonts w:ascii="Times New Roman" w:eastAsia="Times New Roman" w:hAnsi="Times New Roman"/>
          <w:sz w:val="24"/>
          <w:szCs w:val="24"/>
        </w:rPr>
        <w:t>ę</w:t>
      </w:r>
      <w:r w:rsidR="00443446" w:rsidRPr="00623742">
        <w:rPr>
          <w:rFonts w:ascii="Times New Roman" w:eastAsia="Times New Roman" w:hAnsi="Times New Roman"/>
          <w:sz w:val="24"/>
          <w:szCs w:val="24"/>
        </w:rPr>
        <w:t xml:space="preserve"> „Tęczy Polska”.</w:t>
      </w:r>
      <w:r w:rsidR="00443446">
        <w:rPr>
          <w:rFonts w:ascii="Times New Roman" w:eastAsia="Times New Roman" w:hAnsi="Times New Roman"/>
          <w:sz w:val="24"/>
          <w:szCs w:val="24"/>
        </w:rPr>
        <w:t xml:space="preserve"> Dzięki tej wieloletniej współpracy udało się na Państwa ręce przekazać ten </w:t>
      </w:r>
      <w:r>
        <w:rPr>
          <w:rFonts w:ascii="Times New Roman" w:eastAsia="Times New Roman" w:hAnsi="Times New Roman"/>
          <w:sz w:val="24"/>
          <w:szCs w:val="24"/>
        </w:rPr>
        <w:t xml:space="preserve">szesnasty już </w:t>
      </w:r>
      <w:r w:rsidR="00443446">
        <w:rPr>
          <w:rFonts w:ascii="Times New Roman" w:eastAsia="Times New Roman" w:hAnsi="Times New Roman"/>
          <w:sz w:val="24"/>
          <w:szCs w:val="24"/>
        </w:rPr>
        <w:t xml:space="preserve">ranking. </w:t>
      </w:r>
    </w:p>
    <w:p w:rsidR="00D55ABB" w:rsidRDefault="00E53F04" w:rsidP="005767E1">
      <w:pPr>
        <w:spacing w:before="80" w:after="0" w:line="264" w:lineRule="auto"/>
        <w:ind w:firstLine="426"/>
        <w:jc w:val="both"/>
        <w:rPr>
          <w:rFonts w:ascii="Times New Roman" w:eastAsia="Times New Roman" w:hAnsi="Times New Roman"/>
          <w:sz w:val="24"/>
          <w:szCs w:val="24"/>
        </w:rPr>
      </w:pPr>
      <w:r>
        <w:rPr>
          <w:rFonts w:ascii="Times New Roman" w:eastAsia="Times New Roman" w:hAnsi="Times New Roman"/>
          <w:sz w:val="24"/>
          <w:szCs w:val="24"/>
        </w:rPr>
        <w:t>Warto zaznaczyć, że przez te wszystkie lata</w:t>
      </w:r>
      <w:r w:rsidR="00D3259A">
        <w:rPr>
          <w:rFonts w:ascii="Times New Roman" w:eastAsia="Times New Roman" w:hAnsi="Times New Roman"/>
          <w:sz w:val="24"/>
          <w:szCs w:val="24"/>
        </w:rPr>
        <w:t xml:space="preserve"> </w:t>
      </w:r>
      <w:r w:rsidR="00443446">
        <w:rPr>
          <w:rFonts w:ascii="Times New Roman" w:eastAsia="Times New Roman" w:hAnsi="Times New Roman"/>
          <w:sz w:val="24"/>
          <w:szCs w:val="24"/>
        </w:rPr>
        <w:t>z</w:t>
      </w:r>
      <w:r w:rsidR="00D3259A">
        <w:rPr>
          <w:rFonts w:ascii="Times New Roman" w:eastAsia="Times New Roman" w:hAnsi="Times New Roman"/>
          <w:sz w:val="24"/>
          <w:szCs w:val="24"/>
        </w:rPr>
        <w:t xml:space="preserve">mianie nie uległy </w:t>
      </w:r>
      <w:r w:rsidR="00443446">
        <w:rPr>
          <w:rFonts w:ascii="Times New Roman" w:eastAsia="Times New Roman" w:hAnsi="Times New Roman"/>
          <w:sz w:val="24"/>
          <w:szCs w:val="24"/>
        </w:rPr>
        <w:t>k</w:t>
      </w:r>
      <w:r w:rsidR="00D3259A">
        <w:rPr>
          <w:rFonts w:ascii="Times New Roman" w:eastAsia="Times New Roman" w:hAnsi="Times New Roman"/>
          <w:sz w:val="24"/>
          <w:szCs w:val="24"/>
        </w:rPr>
        <w:t>ryteria rankingowe</w:t>
      </w:r>
      <w:r w:rsidR="0028189F">
        <w:rPr>
          <w:rFonts w:ascii="Times New Roman" w:eastAsia="Times New Roman" w:hAnsi="Times New Roman"/>
          <w:sz w:val="24"/>
          <w:szCs w:val="24"/>
        </w:rPr>
        <w:t>,</w:t>
      </w:r>
      <w:r w:rsidR="00D3259A">
        <w:rPr>
          <w:rFonts w:ascii="Times New Roman" w:eastAsia="Times New Roman" w:hAnsi="Times New Roman"/>
          <w:sz w:val="24"/>
          <w:szCs w:val="24"/>
        </w:rPr>
        <w:t xml:space="preserve"> które maj</w:t>
      </w:r>
      <w:r w:rsidR="00DD4B42">
        <w:rPr>
          <w:rFonts w:ascii="Times New Roman" w:eastAsia="Times New Roman" w:hAnsi="Times New Roman"/>
          <w:sz w:val="24"/>
          <w:szCs w:val="24"/>
        </w:rPr>
        <w:t>ą</w:t>
      </w:r>
      <w:r w:rsidR="00D3259A">
        <w:rPr>
          <w:rFonts w:ascii="Times New Roman" w:eastAsia="Times New Roman" w:hAnsi="Times New Roman"/>
          <w:sz w:val="24"/>
          <w:szCs w:val="24"/>
        </w:rPr>
        <w:t xml:space="preserve"> za zadanie ukazani</w:t>
      </w:r>
      <w:r w:rsidR="0028189F">
        <w:rPr>
          <w:rFonts w:ascii="Times New Roman" w:eastAsia="Times New Roman" w:hAnsi="Times New Roman"/>
          <w:sz w:val="24"/>
          <w:szCs w:val="24"/>
        </w:rPr>
        <w:t>e</w:t>
      </w:r>
      <w:r w:rsidR="00D3259A">
        <w:rPr>
          <w:rFonts w:ascii="Times New Roman" w:eastAsia="Times New Roman" w:hAnsi="Times New Roman"/>
          <w:sz w:val="24"/>
          <w:szCs w:val="24"/>
        </w:rPr>
        <w:t xml:space="preserve"> aktualnej sytuacji</w:t>
      </w:r>
      <w:r w:rsidR="00373FEC">
        <w:rPr>
          <w:rFonts w:ascii="Times New Roman" w:eastAsia="Times New Roman" w:hAnsi="Times New Roman"/>
          <w:sz w:val="24"/>
          <w:szCs w:val="24"/>
        </w:rPr>
        <w:t xml:space="preserve"> ek</w:t>
      </w:r>
      <w:r w:rsidR="00D3259A">
        <w:rPr>
          <w:rFonts w:ascii="Times New Roman" w:eastAsia="Times New Roman" w:hAnsi="Times New Roman"/>
          <w:sz w:val="24"/>
          <w:szCs w:val="24"/>
        </w:rPr>
        <w:t>onomicznej spółdzielni</w:t>
      </w:r>
      <w:r w:rsidR="00443446">
        <w:rPr>
          <w:rFonts w:ascii="Times New Roman" w:eastAsia="Times New Roman" w:hAnsi="Times New Roman"/>
          <w:sz w:val="24"/>
          <w:szCs w:val="24"/>
        </w:rPr>
        <w:t>. Tak jak zwykle</w:t>
      </w:r>
      <w:r>
        <w:rPr>
          <w:rFonts w:ascii="Times New Roman" w:eastAsia="Times New Roman" w:hAnsi="Times New Roman"/>
          <w:sz w:val="24"/>
          <w:szCs w:val="24"/>
        </w:rPr>
        <w:t>,</w:t>
      </w:r>
      <w:r w:rsidR="00443446">
        <w:rPr>
          <w:rFonts w:ascii="Times New Roman" w:eastAsia="Times New Roman" w:hAnsi="Times New Roman"/>
          <w:sz w:val="24"/>
          <w:szCs w:val="24"/>
        </w:rPr>
        <w:t xml:space="preserve"> o pozycji na liście danej spółdzielni decydują 4 wskaźniki i jeden miernik</w:t>
      </w:r>
      <w:r>
        <w:rPr>
          <w:rFonts w:ascii="Times New Roman" w:eastAsia="Times New Roman" w:hAnsi="Times New Roman"/>
          <w:sz w:val="24"/>
          <w:szCs w:val="24"/>
        </w:rPr>
        <w:t>,</w:t>
      </w:r>
      <w:r w:rsidR="00443446">
        <w:rPr>
          <w:rFonts w:ascii="Times New Roman" w:eastAsia="Times New Roman" w:hAnsi="Times New Roman"/>
          <w:sz w:val="24"/>
          <w:szCs w:val="24"/>
        </w:rPr>
        <w:t xml:space="preserve"> tj.</w:t>
      </w:r>
      <w:r w:rsidR="001B2266">
        <w:rPr>
          <w:rFonts w:ascii="Times New Roman" w:eastAsia="Times New Roman" w:hAnsi="Times New Roman"/>
          <w:sz w:val="24"/>
          <w:szCs w:val="24"/>
        </w:rPr>
        <w:t xml:space="preserve"> </w:t>
      </w:r>
      <w:r w:rsidR="00373FEC" w:rsidRPr="00DD19F0">
        <w:rPr>
          <w:rFonts w:ascii="Times New Roman" w:eastAsia="Times New Roman" w:hAnsi="Times New Roman"/>
          <w:sz w:val="24"/>
          <w:szCs w:val="24"/>
        </w:rPr>
        <w:t>dochodowoś</w:t>
      </w:r>
      <w:r w:rsidR="00443446">
        <w:rPr>
          <w:rFonts w:ascii="Times New Roman" w:eastAsia="Times New Roman" w:hAnsi="Times New Roman"/>
          <w:sz w:val="24"/>
          <w:szCs w:val="24"/>
        </w:rPr>
        <w:t>ć</w:t>
      </w:r>
      <w:r w:rsidR="00373FEC" w:rsidRPr="00DD19F0">
        <w:rPr>
          <w:rFonts w:ascii="Times New Roman" w:eastAsia="Times New Roman" w:hAnsi="Times New Roman"/>
          <w:sz w:val="24"/>
          <w:szCs w:val="24"/>
        </w:rPr>
        <w:t xml:space="preserve"> pracy, </w:t>
      </w:r>
      <w:r w:rsidR="001B2266">
        <w:rPr>
          <w:rFonts w:ascii="Times New Roman" w:eastAsia="Times New Roman" w:hAnsi="Times New Roman"/>
          <w:sz w:val="24"/>
          <w:szCs w:val="24"/>
        </w:rPr>
        <w:t>rentownoś</w:t>
      </w:r>
      <w:r w:rsidR="00443446">
        <w:rPr>
          <w:rFonts w:ascii="Times New Roman" w:eastAsia="Times New Roman" w:hAnsi="Times New Roman"/>
          <w:sz w:val="24"/>
          <w:szCs w:val="24"/>
        </w:rPr>
        <w:t>ć</w:t>
      </w:r>
      <w:r w:rsidR="001B2266">
        <w:rPr>
          <w:rFonts w:ascii="Times New Roman" w:eastAsia="Times New Roman" w:hAnsi="Times New Roman"/>
          <w:sz w:val="24"/>
          <w:szCs w:val="24"/>
        </w:rPr>
        <w:t xml:space="preserve"> </w:t>
      </w:r>
      <w:r w:rsidR="00373FEC" w:rsidRPr="00DD19F0">
        <w:rPr>
          <w:rFonts w:ascii="Times New Roman" w:eastAsia="Times New Roman" w:hAnsi="Times New Roman"/>
          <w:sz w:val="24"/>
          <w:szCs w:val="24"/>
        </w:rPr>
        <w:t>dzia</w:t>
      </w:r>
      <w:r w:rsidR="00373FEC">
        <w:rPr>
          <w:rFonts w:ascii="Times New Roman" w:eastAsia="Times New Roman" w:hAnsi="Times New Roman"/>
          <w:sz w:val="24"/>
          <w:szCs w:val="24"/>
        </w:rPr>
        <w:t>łalności gospodarczej, wydajnoś</w:t>
      </w:r>
      <w:r w:rsidR="00443446">
        <w:rPr>
          <w:rFonts w:ascii="Times New Roman" w:eastAsia="Times New Roman" w:hAnsi="Times New Roman"/>
          <w:sz w:val="24"/>
          <w:szCs w:val="24"/>
        </w:rPr>
        <w:t>ć</w:t>
      </w:r>
      <w:r>
        <w:rPr>
          <w:rFonts w:ascii="Times New Roman" w:eastAsia="Times New Roman" w:hAnsi="Times New Roman"/>
          <w:sz w:val="24"/>
          <w:szCs w:val="24"/>
        </w:rPr>
        <w:t xml:space="preserve"> pracy, </w:t>
      </w:r>
      <w:r w:rsidR="00373FEC" w:rsidRPr="00DD19F0">
        <w:rPr>
          <w:rFonts w:ascii="Times New Roman" w:eastAsia="Times New Roman" w:hAnsi="Times New Roman"/>
          <w:sz w:val="24"/>
          <w:szCs w:val="24"/>
        </w:rPr>
        <w:t>przychod</w:t>
      </w:r>
      <w:r w:rsidR="00443446">
        <w:rPr>
          <w:rFonts w:ascii="Times New Roman" w:eastAsia="Times New Roman" w:hAnsi="Times New Roman"/>
          <w:sz w:val="24"/>
          <w:szCs w:val="24"/>
        </w:rPr>
        <w:t>y</w:t>
      </w:r>
      <w:r w:rsidR="001B2266">
        <w:rPr>
          <w:rFonts w:ascii="Times New Roman" w:eastAsia="Times New Roman" w:hAnsi="Times New Roman"/>
          <w:sz w:val="24"/>
          <w:szCs w:val="24"/>
        </w:rPr>
        <w:t xml:space="preserve"> ogółem </w:t>
      </w:r>
      <w:r w:rsidR="00443446">
        <w:rPr>
          <w:rFonts w:ascii="Times New Roman" w:eastAsia="Times New Roman" w:hAnsi="Times New Roman"/>
          <w:sz w:val="24"/>
          <w:szCs w:val="24"/>
        </w:rPr>
        <w:t xml:space="preserve">oraz </w:t>
      </w:r>
      <w:r w:rsidR="00373FEC" w:rsidRPr="00DD19F0">
        <w:rPr>
          <w:rFonts w:ascii="Times New Roman" w:eastAsia="Times New Roman" w:hAnsi="Times New Roman"/>
          <w:sz w:val="24"/>
          <w:szCs w:val="24"/>
        </w:rPr>
        <w:t xml:space="preserve">indeks tworzenia wartości. </w:t>
      </w:r>
    </w:p>
    <w:p w:rsidR="00DC2BA4" w:rsidRDefault="002E07AC" w:rsidP="005767E1">
      <w:pPr>
        <w:spacing w:before="80" w:after="0" w:line="264" w:lineRule="auto"/>
        <w:ind w:firstLine="426"/>
        <w:jc w:val="both"/>
        <w:rPr>
          <w:rFonts w:ascii="Times New Roman" w:hAnsi="Times New Roman"/>
          <w:sz w:val="24"/>
          <w:szCs w:val="24"/>
        </w:rPr>
      </w:pPr>
      <w:r>
        <w:rPr>
          <w:rFonts w:ascii="Times New Roman" w:hAnsi="Times New Roman"/>
          <w:sz w:val="24"/>
          <w:szCs w:val="24"/>
        </w:rPr>
        <w:t>Na samym początku, chcieli</w:t>
      </w:r>
      <w:r w:rsidR="003D0CD0">
        <w:rPr>
          <w:rFonts w:ascii="Times New Roman" w:hAnsi="Times New Roman"/>
          <w:sz w:val="24"/>
          <w:szCs w:val="24"/>
        </w:rPr>
        <w:t>by</w:t>
      </w:r>
      <w:r>
        <w:rPr>
          <w:rFonts w:ascii="Times New Roman" w:hAnsi="Times New Roman"/>
          <w:sz w:val="24"/>
          <w:szCs w:val="24"/>
        </w:rPr>
        <w:t xml:space="preserve">śmy </w:t>
      </w:r>
      <w:r w:rsidR="00901025">
        <w:rPr>
          <w:rFonts w:ascii="Times New Roman" w:hAnsi="Times New Roman"/>
          <w:sz w:val="24"/>
          <w:szCs w:val="24"/>
        </w:rPr>
        <w:t>podkreślić</w:t>
      </w:r>
      <w:r>
        <w:rPr>
          <w:rFonts w:ascii="Times New Roman" w:hAnsi="Times New Roman"/>
          <w:sz w:val="24"/>
          <w:szCs w:val="24"/>
        </w:rPr>
        <w:t xml:space="preserve">, </w:t>
      </w:r>
      <w:r w:rsidR="00E749FF">
        <w:rPr>
          <w:rFonts w:ascii="Times New Roman" w:hAnsi="Times New Roman"/>
          <w:sz w:val="24"/>
          <w:szCs w:val="24"/>
        </w:rPr>
        <w:t>że największy</w:t>
      </w:r>
      <w:r w:rsidR="00901025">
        <w:rPr>
          <w:rFonts w:ascii="Times New Roman" w:hAnsi="Times New Roman"/>
          <w:sz w:val="24"/>
          <w:szCs w:val="24"/>
        </w:rPr>
        <w:t xml:space="preserve"> wkład w budowanie rankingu mają</w:t>
      </w:r>
      <w:r>
        <w:rPr>
          <w:rFonts w:ascii="Times New Roman" w:hAnsi="Times New Roman"/>
          <w:sz w:val="24"/>
          <w:szCs w:val="24"/>
        </w:rPr>
        <w:t xml:space="preserve"> RSP</w:t>
      </w:r>
      <w:r w:rsidR="00901025">
        <w:rPr>
          <w:rFonts w:ascii="Times New Roman" w:hAnsi="Times New Roman"/>
          <w:sz w:val="24"/>
          <w:szCs w:val="24"/>
        </w:rPr>
        <w:t>,</w:t>
      </w:r>
      <w:r w:rsidR="00B3726E">
        <w:rPr>
          <w:rFonts w:ascii="Times New Roman" w:hAnsi="Times New Roman"/>
          <w:sz w:val="24"/>
          <w:szCs w:val="24"/>
        </w:rPr>
        <w:t xml:space="preserve"> </w:t>
      </w:r>
      <w:r>
        <w:rPr>
          <w:rFonts w:ascii="Times New Roman" w:hAnsi="Times New Roman"/>
          <w:sz w:val="24"/>
          <w:szCs w:val="24"/>
        </w:rPr>
        <w:t xml:space="preserve">które </w:t>
      </w:r>
      <w:r w:rsidR="00B3726E">
        <w:rPr>
          <w:rFonts w:ascii="Times New Roman" w:hAnsi="Times New Roman"/>
          <w:sz w:val="24"/>
          <w:szCs w:val="24"/>
        </w:rPr>
        <w:t xml:space="preserve">nieprzerwanie </w:t>
      </w:r>
      <w:r w:rsidR="00901025">
        <w:rPr>
          <w:rFonts w:ascii="Times New Roman" w:hAnsi="Times New Roman"/>
          <w:sz w:val="24"/>
          <w:szCs w:val="24"/>
        </w:rPr>
        <w:t>co roku w nim uczestniczą. To właśnie dla tych spółd</w:t>
      </w:r>
      <w:r w:rsidR="00DE0206">
        <w:rPr>
          <w:rFonts w:ascii="Times New Roman" w:hAnsi="Times New Roman"/>
          <w:sz w:val="24"/>
          <w:szCs w:val="24"/>
        </w:rPr>
        <w:t>zielni, których była w 2015 r.</w:t>
      </w:r>
      <w:r w:rsidR="00901025">
        <w:rPr>
          <w:rFonts w:ascii="Times New Roman" w:hAnsi="Times New Roman"/>
          <w:sz w:val="24"/>
          <w:szCs w:val="24"/>
        </w:rPr>
        <w:t xml:space="preserve"> zdecydowana większość (80% wszystkich biorących udział), powstał ranking z ostatniego trzylecia </w:t>
      </w:r>
      <w:r w:rsidR="006F10BF">
        <w:rPr>
          <w:rFonts w:ascii="Times New Roman" w:hAnsi="Times New Roman"/>
          <w:sz w:val="24"/>
          <w:szCs w:val="24"/>
        </w:rPr>
        <w:t>(tabela 5)</w:t>
      </w:r>
      <w:r w:rsidR="00DC2BA4">
        <w:rPr>
          <w:rFonts w:ascii="Times New Roman" w:hAnsi="Times New Roman"/>
          <w:sz w:val="24"/>
          <w:szCs w:val="24"/>
        </w:rPr>
        <w:t>. Tak jak w przypadku głównego zestawienia</w:t>
      </w:r>
      <w:r w:rsidR="0027315F">
        <w:rPr>
          <w:rFonts w:ascii="Times New Roman" w:hAnsi="Times New Roman"/>
          <w:sz w:val="24"/>
          <w:szCs w:val="24"/>
        </w:rPr>
        <w:t>,</w:t>
      </w:r>
      <w:r w:rsidR="00DC2BA4">
        <w:rPr>
          <w:rFonts w:ascii="Times New Roman" w:hAnsi="Times New Roman"/>
          <w:sz w:val="24"/>
          <w:szCs w:val="24"/>
        </w:rPr>
        <w:t xml:space="preserve"> o miejscu na tej liście decydowała suma mi</w:t>
      </w:r>
      <w:r w:rsidR="002466DD">
        <w:rPr>
          <w:rFonts w:ascii="Times New Roman" w:hAnsi="Times New Roman"/>
          <w:sz w:val="24"/>
          <w:szCs w:val="24"/>
        </w:rPr>
        <w:t>e</w:t>
      </w:r>
      <w:r w:rsidR="00D40C12">
        <w:rPr>
          <w:rFonts w:ascii="Times New Roman" w:hAnsi="Times New Roman"/>
          <w:sz w:val="24"/>
          <w:szCs w:val="24"/>
        </w:rPr>
        <w:t>rników syntetycznych z lat 201</w:t>
      </w:r>
      <w:r w:rsidR="00901025">
        <w:rPr>
          <w:rFonts w:ascii="Times New Roman" w:hAnsi="Times New Roman"/>
          <w:sz w:val="24"/>
          <w:szCs w:val="24"/>
        </w:rPr>
        <w:t>3</w:t>
      </w:r>
      <w:r w:rsidR="00D40C12">
        <w:rPr>
          <w:rFonts w:ascii="Times New Roman" w:hAnsi="Times New Roman"/>
          <w:sz w:val="24"/>
          <w:szCs w:val="24"/>
        </w:rPr>
        <w:t>-</w:t>
      </w:r>
      <w:r w:rsidR="002466DD">
        <w:rPr>
          <w:rFonts w:ascii="Times New Roman" w:hAnsi="Times New Roman"/>
          <w:sz w:val="24"/>
          <w:szCs w:val="24"/>
        </w:rPr>
        <w:t>201</w:t>
      </w:r>
      <w:r w:rsidR="00901025">
        <w:rPr>
          <w:rFonts w:ascii="Times New Roman" w:hAnsi="Times New Roman"/>
          <w:sz w:val="24"/>
          <w:szCs w:val="24"/>
        </w:rPr>
        <w:t>5</w:t>
      </w:r>
      <w:r w:rsidR="00DC2BA4">
        <w:rPr>
          <w:rFonts w:ascii="Times New Roman" w:hAnsi="Times New Roman"/>
          <w:sz w:val="24"/>
          <w:szCs w:val="24"/>
        </w:rPr>
        <w:t>.</w:t>
      </w:r>
      <w:r w:rsidR="002466DD" w:rsidRPr="002466DD">
        <w:rPr>
          <w:rFonts w:ascii="Times New Roman" w:hAnsi="Times New Roman"/>
          <w:sz w:val="24"/>
          <w:szCs w:val="24"/>
        </w:rPr>
        <w:t xml:space="preserve"> </w:t>
      </w:r>
      <w:r w:rsidR="002466DD">
        <w:rPr>
          <w:rFonts w:ascii="Times New Roman" w:hAnsi="Times New Roman"/>
          <w:sz w:val="24"/>
          <w:szCs w:val="24"/>
        </w:rPr>
        <w:t>Im była ona niższa, tym wyższa</w:t>
      </w:r>
      <w:r w:rsidR="0027315F">
        <w:rPr>
          <w:rFonts w:ascii="Times New Roman" w:hAnsi="Times New Roman"/>
          <w:sz w:val="24"/>
          <w:szCs w:val="24"/>
        </w:rPr>
        <w:t xml:space="preserve"> była</w:t>
      </w:r>
      <w:r w:rsidR="00901025">
        <w:rPr>
          <w:rFonts w:ascii="Times New Roman" w:hAnsi="Times New Roman"/>
          <w:sz w:val="24"/>
          <w:szCs w:val="24"/>
        </w:rPr>
        <w:t xml:space="preserve"> lokata</w:t>
      </w:r>
      <w:r w:rsidR="002466DD">
        <w:rPr>
          <w:rFonts w:ascii="Times New Roman" w:hAnsi="Times New Roman"/>
          <w:sz w:val="24"/>
          <w:szCs w:val="24"/>
        </w:rPr>
        <w:t xml:space="preserve"> spółdzielni. W </w:t>
      </w:r>
      <w:r w:rsidR="00207498">
        <w:rPr>
          <w:rFonts w:ascii="Times New Roman" w:hAnsi="Times New Roman"/>
          <w:sz w:val="24"/>
          <w:szCs w:val="24"/>
        </w:rPr>
        <w:t>tegorocznym</w:t>
      </w:r>
      <w:r w:rsidR="002466DD">
        <w:rPr>
          <w:rFonts w:ascii="Times New Roman" w:hAnsi="Times New Roman"/>
          <w:sz w:val="24"/>
          <w:szCs w:val="24"/>
        </w:rPr>
        <w:t xml:space="preserve"> </w:t>
      </w:r>
      <w:r w:rsidR="006B7551">
        <w:rPr>
          <w:rFonts w:ascii="Times New Roman" w:hAnsi="Times New Roman"/>
          <w:sz w:val="24"/>
          <w:szCs w:val="24"/>
        </w:rPr>
        <w:t>zestawieniu</w:t>
      </w:r>
      <w:r w:rsidR="002466DD">
        <w:rPr>
          <w:rFonts w:ascii="Times New Roman" w:hAnsi="Times New Roman"/>
          <w:sz w:val="24"/>
          <w:szCs w:val="24"/>
        </w:rPr>
        <w:t xml:space="preserve"> rankingu </w:t>
      </w:r>
      <w:r w:rsidR="00207498">
        <w:rPr>
          <w:rFonts w:ascii="Times New Roman" w:hAnsi="Times New Roman"/>
          <w:sz w:val="24"/>
          <w:szCs w:val="24"/>
        </w:rPr>
        <w:t>n</w:t>
      </w:r>
      <w:r w:rsidR="002466DD">
        <w:rPr>
          <w:rFonts w:ascii="Times New Roman" w:hAnsi="Times New Roman"/>
          <w:sz w:val="24"/>
          <w:szCs w:val="24"/>
        </w:rPr>
        <w:t>iezmiennie</w:t>
      </w:r>
      <w:r w:rsidR="00901025">
        <w:rPr>
          <w:rFonts w:ascii="Times New Roman" w:hAnsi="Times New Roman"/>
          <w:sz w:val="24"/>
          <w:szCs w:val="24"/>
        </w:rPr>
        <w:t>, mimo trzeciej lokaty w zestawieniu głównym,</w:t>
      </w:r>
      <w:r w:rsidR="002466DD">
        <w:rPr>
          <w:rFonts w:ascii="Times New Roman" w:hAnsi="Times New Roman"/>
          <w:sz w:val="24"/>
          <w:szCs w:val="24"/>
        </w:rPr>
        <w:t xml:space="preserve"> </w:t>
      </w:r>
      <w:r w:rsidR="0027315F">
        <w:rPr>
          <w:rFonts w:ascii="Times New Roman" w:hAnsi="Times New Roman"/>
          <w:sz w:val="24"/>
          <w:szCs w:val="24"/>
        </w:rPr>
        <w:t>pozycję</w:t>
      </w:r>
      <w:r w:rsidR="002466DD">
        <w:rPr>
          <w:rFonts w:ascii="Times New Roman" w:hAnsi="Times New Roman"/>
          <w:sz w:val="24"/>
          <w:szCs w:val="24"/>
        </w:rPr>
        <w:t xml:space="preserve"> lidera </w:t>
      </w:r>
      <w:r w:rsidR="00901025">
        <w:rPr>
          <w:rFonts w:ascii="Times New Roman" w:hAnsi="Times New Roman"/>
          <w:sz w:val="24"/>
          <w:szCs w:val="24"/>
        </w:rPr>
        <w:t>utrzymuje</w:t>
      </w:r>
      <w:r w:rsidR="002466DD">
        <w:rPr>
          <w:rFonts w:ascii="Times New Roman" w:hAnsi="Times New Roman"/>
          <w:sz w:val="24"/>
          <w:szCs w:val="24"/>
        </w:rPr>
        <w:t xml:space="preserve"> RSP Hopkie</w:t>
      </w:r>
      <w:r w:rsidR="009500FE">
        <w:rPr>
          <w:rFonts w:ascii="Times New Roman" w:hAnsi="Times New Roman"/>
          <w:sz w:val="24"/>
          <w:szCs w:val="24"/>
        </w:rPr>
        <w:t xml:space="preserve"> z woj. lubelskiego.</w:t>
      </w:r>
      <w:r w:rsidR="00207498">
        <w:rPr>
          <w:rFonts w:ascii="Times New Roman" w:hAnsi="Times New Roman"/>
          <w:sz w:val="24"/>
          <w:szCs w:val="24"/>
        </w:rPr>
        <w:t xml:space="preserve"> Zmiana nastąpiła </w:t>
      </w:r>
      <w:r w:rsidR="005B61C8">
        <w:rPr>
          <w:rFonts w:ascii="Times New Roman" w:hAnsi="Times New Roman"/>
          <w:sz w:val="24"/>
          <w:szCs w:val="24"/>
        </w:rPr>
        <w:t>natomiast</w:t>
      </w:r>
      <w:r w:rsidR="00207498">
        <w:rPr>
          <w:rFonts w:ascii="Times New Roman" w:hAnsi="Times New Roman"/>
          <w:sz w:val="24"/>
          <w:szCs w:val="24"/>
        </w:rPr>
        <w:t xml:space="preserve"> na drugiej</w:t>
      </w:r>
      <w:r w:rsidR="00E53F04">
        <w:rPr>
          <w:rFonts w:ascii="Times New Roman" w:hAnsi="Times New Roman"/>
          <w:sz w:val="24"/>
          <w:szCs w:val="24"/>
        </w:rPr>
        <w:t xml:space="preserve"> pozycji</w:t>
      </w:r>
      <w:r w:rsidR="00207498">
        <w:rPr>
          <w:rFonts w:ascii="Times New Roman" w:hAnsi="Times New Roman"/>
          <w:sz w:val="24"/>
          <w:szCs w:val="24"/>
        </w:rPr>
        <w:t>,</w:t>
      </w:r>
      <w:r w:rsidR="005B61C8">
        <w:rPr>
          <w:rFonts w:ascii="Times New Roman" w:hAnsi="Times New Roman"/>
          <w:sz w:val="24"/>
          <w:szCs w:val="24"/>
        </w:rPr>
        <w:t xml:space="preserve"> na którą z trzeciej awansowała RSP Gronowice z województwa opolskiego, tegoroczny wicelider zestawienia głównego. Drugi wicelider trzyletniego</w:t>
      </w:r>
      <w:r w:rsidR="00E53F04">
        <w:rPr>
          <w:rFonts w:ascii="Times New Roman" w:hAnsi="Times New Roman"/>
          <w:sz w:val="24"/>
          <w:szCs w:val="24"/>
        </w:rPr>
        <w:t xml:space="preserve"> rankingu</w:t>
      </w:r>
      <w:r w:rsidR="005B61C8">
        <w:rPr>
          <w:rFonts w:ascii="Times New Roman" w:hAnsi="Times New Roman"/>
          <w:sz w:val="24"/>
          <w:szCs w:val="24"/>
        </w:rPr>
        <w:t xml:space="preserve"> to</w:t>
      </w:r>
      <w:r w:rsidR="009500FE">
        <w:rPr>
          <w:rFonts w:ascii="Times New Roman" w:hAnsi="Times New Roman"/>
          <w:sz w:val="24"/>
          <w:szCs w:val="24"/>
        </w:rPr>
        <w:t xml:space="preserve"> </w:t>
      </w:r>
      <w:r w:rsidR="00207498">
        <w:rPr>
          <w:rFonts w:ascii="Times New Roman" w:hAnsi="Times New Roman"/>
          <w:sz w:val="24"/>
          <w:szCs w:val="24"/>
        </w:rPr>
        <w:t>RSP Krzywa z woj. podlaskiego,</w:t>
      </w:r>
      <w:r w:rsidR="00DC2BA4">
        <w:rPr>
          <w:rFonts w:ascii="Times New Roman" w:hAnsi="Times New Roman"/>
          <w:sz w:val="24"/>
          <w:szCs w:val="24"/>
        </w:rPr>
        <w:t xml:space="preserve"> </w:t>
      </w:r>
      <w:r w:rsidR="005B61C8">
        <w:rPr>
          <w:rFonts w:ascii="Times New Roman" w:hAnsi="Times New Roman"/>
          <w:sz w:val="24"/>
          <w:szCs w:val="24"/>
        </w:rPr>
        <w:t>która zajmuje siódmą lokatę</w:t>
      </w:r>
      <w:r w:rsidR="009C7EA1">
        <w:rPr>
          <w:rFonts w:ascii="Times New Roman" w:hAnsi="Times New Roman"/>
          <w:sz w:val="24"/>
          <w:szCs w:val="24"/>
        </w:rPr>
        <w:t xml:space="preserve"> w </w:t>
      </w:r>
      <w:r w:rsidR="00D40C12">
        <w:rPr>
          <w:rFonts w:ascii="Times New Roman" w:hAnsi="Times New Roman"/>
          <w:sz w:val="24"/>
          <w:szCs w:val="24"/>
        </w:rPr>
        <w:t>głównym zestawieniu</w:t>
      </w:r>
      <w:r w:rsidR="00DC2BA4">
        <w:rPr>
          <w:rFonts w:ascii="Times New Roman" w:hAnsi="Times New Roman"/>
          <w:sz w:val="24"/>
          <w:szCs w:val="24"/>
        </w:rPr>
        <w:t xml:space="preserve">. </w:t>
      </w:r>
      <w:r w:rsidR="00207498">
        <w:rPr>
          <w:rFonts w:ascii="Times New Roman" w:hAnsi="Times New Roman"/>
          <w:sz w:val="24"/>
          <w:szCs w:val="24"/>
        </w:rPr>
        <w:t>Większa miarodajność</w:t>
      </w:r>
      <w:r w:rsidR="00877025">
        <w:rPr>
          <w:rFonts w:ascii="Times New Roman" w:hAnsi="Times New Roman"/>
          <w:sz w:val="24"/>
          <w:szCs w:val="24"/>
        </w:rPr>
        <w:t xml:space="preserve"> trzyletniego</w:t>
      </w:r>
      <w:r w:rsidR="003F129D">
        <w:rPr>
          <w:rFonts w:ascii="Times New Roman" w:hAnsi="Times New Roman"/>
          <w:sz w:val="24"/>
          <w:szCs w:val="24"/>
        </w:rPr>
        <w:t xml:space="preserve"> </w:t>
      </w:r>
      <w:r w:rsidR="00877025">
        <w:rPr>
          <w:rFonts w:ascii="Times New Roman" w:hAnsi="Times New Roman"/>
          <w:sz w:val="24"/>
          <w:szCs w:val="24"/>
        </w:rPr>
        <w:t>rankingu</w:t>
      </w:r>
      <w:r w:rsidR="00415AB8">
        <w:rPr>
          <w:rFonts w:ascii="Times New Roman" w:hAnsi="Times New Roman"/>
          <w:sz w:val="24"/>
          <w:szCs w:val="24"/>
        </w:rPr>
        <w:t xml:space="preserve"> </w:t>
      </w:r>
      <w:r w:rsidR="005B61C8">
        <w:rPr>
          <w:rFonts w:ascii="Times New Roman" w:hAnsi="Times New Roman"/>
          <w:sz w:val="24"/>
          <w:szCs w:val="24"/>
        </w:rPr>
        <w:t xml:space="preserve">predysponuje wszystkie spółdzielnie </w:t>
      </w:r>
      <w:r w:rsidR="00EF6D1A">
        <w:rPr>
          <w:rFonts w:ascii="Times New Roman" w:hAnsi="Times New Roman"/>
          <w:sz w:val="24"/>
          <w:szCs w:val="24"/>
        </w:rPr>
        <w:t>z tej listy do grona super</w:t>
      </w:r>
      <w:r w:rsidR="005B61C8">
        <w:rPr>
          <w:rFonts w:ascii="Times New Roman" w:hAnsi="Times New Roman"/>
          <w:sz w:val="24"/>
          <w:szCs w:val="24"/>
        </w:rPr>
        <w:t>elit</w:t>
      </w:r>
      <w:r w:rsidR="00E53F04">
        <w:rPr>
          <w:rFonts w:ascii="Times New Roman" w:hAnsi="Times New Roman"/>
          <w:sz w:val="24"/>
          <w:szCs w:val="24"/>
        </w:rPr>
        <w:t>y tej grupy gospodarstw, którym</w:t>
      </w:r>
      <w:r w:rsidR="003F129D">
        <w:rPr>
          <w:rFonts w:ascii="Times New Roman" w:hAnsi="Times New Roman"/>
          <w:sz w:val="24"/>
          <w:szCs w:val="24"/>
        </w:rPr>
        <w:t xml:space="preserve"> </w:t>
      </w:r>
      <w:r w:rsidR="00DC2BA4">
        <w:rPr>
          <w:rFonts w:ascii="Times New Roman" w:hAnsi="Times New Roman"/>
          <w:sz w:val="24"/>
          <w:szCs w:val="24"/>
        </w:rPr>
        <w:t xml:space="preserve">należą się szczególne gratulacje. </w:t>
      </w:r>
    </w:p>
    <w:p w:rsidR="00040929" w:rsidRPr="004848DE" w:rsidRDefault="00040929" w:rsidP="004848DE">
      <w:pPr>
        <w:pStyle w:val="Nagwek2"/>
        <w:spacing w:line="240" w:lineRule="auto"/>
        <w:rPr>
          <w:color w:val="000000" w:themeColor="text1"/>
        </w:rPr>
      </w:pPr>
      <w:r w:rsidRPr="004848DE">
        <w:rPr>
          <w:color w:val="000000" w:themeColor="text1"/>
        </w:rPr>
        <w:t>Uwarunkowania makroekonomiczne w 201</w:t>
      </w:r>
      <w:r w:rsidR="00CC77DC" w:rsidRPr="004848DE">
        <w:rPr>
          <w:color w:val="000000" w:themeColor="text1"/>
        </w:rPr>
        <w:t>5</w:t>
      </w:r>
      <w:r w:rsidRPr="004848DE">
        <w:rPr>
          <w:color w:val="000000" w:themeColor="text1"/>
        </w:rPr>
        <w:t xml:space="preserve"> roku</w:t>
      </w:r>
    </w:p>
    <w:p w:rsidR="00FD39A7" w:rsidRPr="00E01E6C" w:rsidRDefault="00DE0206" w:rsidP="005767E1">
      <w:pPr>
        <w:spacing w:before="80" w:after="0" w:line="264" w:lineRule="auto"/>
        <w:ind w:firstLine="425"/>
        <w:jc w:val="both"/>
        <w:rPr>
          <w:rFonts w:ascii="Times New Roman" w:hAnsi="Times New Roman" w:cs="Times New Roman"/>
          <w:sz w:val="24"/>
          <w:szCs w:val="24"/>
        </w:rPr>
      </w:pPr>
      <w:r>
        <w:rPr>
          <w:rFonts w:ascii="Times New Roman" w:hAnsi="Times New Roman" w:cs="Times New Roman"/>
          <w:sz w:val="24"/>
          <w:szCs w:val="24"/>
        </w:rPr>
        <w:t>W 2015 r.</w:t>
      </w:r>
      <w:r w:rsidR="00FD39A7" w:rsidRPr="00E01E6C">
        <w:rPr>
          <w:rFonts w:ascii="Times New Roman" w:hAnsi="Times New Roman" w:cs="Times New Roman"/>
          <w:sz w:val="24"/>
          <w:szCs w:val="24"/>
        </w:rPr>
        <w:t xml:space="preserve"> w dalszym ciągu utrzymywały się niekor</w:t>
      </w:r>
      <w:r w:rsidR="00E53F04">
        <w:rPr>
          <w:rFonts w:ascii="Times New Roman" w:hAnsi="Times New Roman" w:cs="Times New Roman"/>
          <w:sz w:val="24"/>
          <w:szCs w:val="24"/>
        </w:rPr>
        <w:t>zystne uwarunkowania zewnętrzne</w:t>
      </w:r>
      <w:r w:rsidR="00FD39A7" w:rsidRPr="00E01E6C">
        <w:rPr>
          <w:rFonts w:ascii="Times New Roman" w:hAnsi="Times New Roman" w:cs="Times New Roman"/>
          <w:sz w:val="24"/>
          <w:szCs w:val="24"/>
        </w:rPr>
        <w:t xml:space="preserve"> związane przede wszystkim ze znacznym spowolnieniem wzrostu w gospodarkach wschod</w:t>
      </w:r>
      <w:r w:rsidR="00CC77DC">
        <w:rPr>
          <w:rFonts w:ascii="Times New Roman" w:hAnsi="Times New Roman" w:cs="Times New Roman"/>
          <w:sz w:val="24"/>
          <w:szCs w:val="24"/>
        </w:rPr>
        <w:t>zących, w tym głównie w Chinach. W 2015 r. w</w:t>
      </w:r>
      <w:r w:rsidR="00FD39A7" w:rsidRPr="00E01E6C">
        <w:rPr>
          <w:rFonts w:ascii="Times New Roman" w:hAnsi="Times New Roman" w:cs="Times New Roman"/>
          <w:sz w:val="24"/>
          <w:szCs w:val="24"/>
        </w:rPr>
        <w:t xml:space="preserve"> Polsce utrzymywał się obserwowan</w:t>
      </w:r>
      <w:r w:rsidR="00E53F04">
        <w:rPr>
          <w:rFonts w:ascii="Times New Roman" w:hAnsi="Times New Roman" w:cs="Times New Roman"/>
          <w:sz w:val="24"/>
          <w:szCs w:val="24"/>
        </w:rPr>
        <w:t>y od czwartego kwartału 2013 r.</w:t>
      </w:r>
      <w:r w:rsidR="00FD39A7" w:rsidRPr="00E01E6C">
        <w:rPr>
          <w:rFonts w:ascii="Times New Roman" w:hAnsi="Times New Roman" w:cs="Times New Roman"/>
          <w:sz w:val="24"/>
          <w:szCs w:val="24"/>
        </w:rPr>
        <w:t xml:space="preserve"> zrównoważony, ponad trzyprocentowy wzrost gospodarczy. Podstawowym motorem wzrostu był krajowy popyt konsumpcyjny i inwestycyjny, a także dodatnie saldo obrotów handlowych z zagranicą. Wzrostowi popytu sprzyjały: korzystna sytuacja na rynku pracy, rekordowo niskie stopy procentowe, pozytywne nastawienie konsumentów oraz dobra sytuacja finansowa firm. </w:t>
      </w:r>
    </w:p>
    <w:p w:rsidR="00FD39A7" w:rsidRPr="00E01E6C" w:rsidRDefault="00FD39A7" w:rsidP="005767E1">
      <w:pPr>
        <w:spacing w:before="80" w:after="0" w:line="264" w:lineRule="auto"/>
        <w:ind w:firstLine="425"/>
        <w:jc w:val="both"/>
        <w:rPr>
          <w:rFonts w:ascii="Times New Roman" w:hAnsi="Times New Roman" w:cs="Times New Roman"/>
          <w:sz w:val="24"/>
          <w:szCs w:val="24"/>
        </w:rPr>
      </w:pPr>
      <w:r w:rsidRPr="00E01E6C">
        <w:rPr>
          <w:rFonts w:ascii="Times New Roman" w:hAnsi="Times New Roman" w:cs="Times New Roman"/>
          <w:sz w:val="24"/>
          <w:szCs w:val="24"/>
        </w:rPr>
        <w:t>Ograniczająco na gospodarkę oddziaływała</w:t>
      </w:r>
      <w:r w:rsidR="003D0CD0">
        <w:rPr>
          <w:rFonts w:ascii="Times New Roman" w:hAnsi="Times New Roman" w:cs="Times New Roman"/>
          <w:sz w:val="24"/>
          <w:szCs w:val="24"/>
        </w:rPr>
        <w:t xml:space="preserve"> natomiast</w:t>
      </w:r>
      <w:r w:rsidRPr="00E01E6C">
        <w:rPr>
          <w:rFonts w:ascii="Times New Roman" w:hAnsi="Times New Roman" w:cs="Times New Roman"/>
          <w:sz w:val="24"/>
          <w:szCs w:val="24"/>
        </w:rPr>
        <w:t xml:space="preserve"> niepewność przedsiębiorstw co do perspektyw zmian koniunktury za</w:t>
      </w:r>
      <w:r w:rsidR="00E53F04">
        <w:rPr>
          <w:rFonts w:ascii="Times New Roman" w:hAnsi="Times New Roman" w:cs="Times New Roman"/>
          <w:sz w:val="24"/>
          <w:szCs w:val="24"/>
        </w:rPr>
        <w:t xml:space="preserve"> </w:t>
      </w:r>
      <w:r w:rsidRPr="00E01E6C">
        <w:rPr>
          <w:rFonts w:ascii="Times New Roman" w:hAnsi="Times New Roman" w:cs="Times New Roman"/>
          <w:sz w:val="24"/>
          <w:szCs w:val="24"/>
        </w:rPr>
        <w:t>granicą. W rezultacie, w porównaniu z 2014 r</w:t>
      </w:r>
      <w:r w:rsidR="00DE0206">
        <w:rPr>
          <w:rFonts w:ascii="Times New Roman" w:hAnsi="Times New Roman" w:cs="Times New Roman"/>
          <w:sz w:val="24"/>
          <w:szCs w:val="24"/>
        </w:rPr>
        <w:t>., PKB w 2015 r.</w:t>
      </w:r>
      <w:r w:rsidRPr="00E01E6C">
        <w:rPr>
          <w:rFonts w:ascii="Times New Roman" w:hAnsi="Times New Roman" w:cs="Times New Roman"/>
          <w:sz w:val="24"/>
          <w:szCs w:val="24"/>
        </w:rPr>
        <w:t xml:space="preserve"> zwiększył się o 3,6% (w 2014 r. o 3,3%), podczas gdy w całej UE-28 o 1,9%. Polska pozostała jednym z najszybciej rozwijających się państw unijnych. Wyższe tempo wzrostu zanotowano w Irlandii, Czechach, Rumunii, Luksemburgu i na Malcie. </w:t>
      </w:r>
    </w:p>
    <w:p w:rsidR="00FD39A7" w:rsidRPr="00E01E6C" w:rsidRDefault="00FD39A7" w:rsidP="005767E1">
      <w:pPr>
        <w:spacing w:before="80" w:after="0" w:line="264" w:lineRule="auto"/>
        <w:ind w:firstLine="425"/>
        <w:jc w:val="both"/>
        <w:rPr>
          <w:rFonts w:ascii="Times New Roman" w:hAnsi="Times New Roman" w:cs="Times New Roman"/>
          <w:sz w:val="24"/>
          <w:szCs w:val="24"/>
        </w:rPr>
      </w:pPr>
      <w:r w:rsidRPr="00E01E6C">
        <w:rPr>
          <w:rFonts w:ascii="Times New Roman" w:hAnsi="Times New Roman" w:cs="Times New Roman"/>
          <w:sz w:val="24"/>
          <w:szCs w:val="24"/>
        </w:rPr>
        <w:lastRenderedPageBreak/>
        <w:t>Tempo wzrostu spożycia w sektorze gospodarstw domowych wyniosło 3,1</w:t>
      </w:r>
      <w:r w:rsidR="00A3006E">
        <w:rPr>
          <w:rFonts w:ascii="Times New Roman" w:hAnsi="Times New Roman" w:cs="Times New Roman"/>
          <w:sz w:val="24"/>
          <w:szCs w:val="24"/>
        </w:rPr>
        <w:t>%</w:t>
      </w:r>
      <w:r w:rsidR="00E53F04">
        <w:rPr>
          <w:rFonts w:ascii="Times New Roman" w:hAnsi="Times New Roman" w:cs="Times New Roman"/>
          <w:sz w:val="24"/>
          <w:szCs w:val="24"/>
        </w:rPr>
        <w:t>,</w:t>
      </w:r>
      <w:r w:rsidRPr="00E01E6C">
        <w:rPr>
          <w:rFonts w:ascii="Times New Roman" w:hAnsi="Times New Roman" w:cs="Times New Roman"/>
          <w:sz w:val="24"/>
          <w:szCs w:val="24"/>
        </w:rPr>
        <w:t xml:space="preserve"> podczas gdy w 2014 r. 2,6%. Liczba pracujący</w:t>
      </w:r>
      <w:r w:rsidR="00E53F04">
        <w:rPr>
          <w:rFonts w:ascii="Times New Roman" w:hAnsi="Times New Roman" w:cs="Times New Roman"/>
          <w:sz w:val="24"/>
          <w:szCs w:val="24"/>
        </w:rPr>
        <w:t xml:space="preserve">ch w gospodarce narodowej była </w:t>
      </w:r>
      <w:r w:rsidRPr="00E01E6C">
        <w:rPr>
          <w:rFonts w:ascii="Times New Roman" w:hAnsi="Times New Roman" w:cs="Times New Roman"/>
          <w:sz w:val="24"/>
          <w:szCs w:val="24"/>
        </w:rPr>
        <w:t>w końcu roku o około</w:t>
      </w:r>
      <w:r w:rsidR="00A3006E">
        <w:rPr>
          <w:rFonts w:ascii="Times New Roman" w:hAnsi="Times New Roman" w:cs="Times New Roman"/>
          <w:sz w:val="24"/>
          <w:szCs w:val="24"/>
        </w:rPr>
        <w:t xml:space="preserve"> </w:t>
      </w:r>
      <w:r w:rsidRPr="00E01E6C">
        <w:rPr>
          <w:rFonts w:ascii="Times New Roman" w:hAnsi="Times New Roman" w:cs="Times New Roman"/>
          <w:sz w:val="24"/>
          <w:szCs w:val="24"/>
        </w:rPr>
        <w:t>2% większa niż w 2014 r., a</w:t>
      </w:r>
      <w:r w:rsidR="00E53F04">
        <w:rPr>
          <w:rFonts w:ascii="Times New Roman" w:hAnsi="Times New Roman" w:cs="Times New Roman"/>
          <w:sz w:val="24"/>
          <w:szCs w:val="24"/>
        </w:rPr>
        <w:t xml:space="preserve"> liczba</w:t>
      </w:r>
      <w:r w:rsidRPr="00E01E6C">
        <w:rPr>
          <w:rFonts w:ascii="Times New Roman" w:hAnsi="Times New Roman" w:cs="Times New Roman"/>
          <w:sz w:val="24"/>
          <w:szCs w:val="24"/>
        </w:rPr>
        <w:t xml:space="preserve"> bezrobotnych zmalała o 262 tys., tj. o 14,3%. Stopa rejestrowanego bezrobocia w końcu grudnia wynosiła 9,8%, p</w:t>
      </w:r>
      <w:r w:rsidR="00A3006E">
        <w:rPr>
          <w:rFonts w:ascii="Times New Roman" w:hAnsi="Times New Roman" w:cs="Times New Roman"/>
          <w:sz w:val="24"/>
          <w:szCs w:val="24"/>
        </w:rPr>
        <w:t xml:space="preserve">odczas gdy przed rokiem 11,4%. </w:t>
      </w:r>
      <w:r w:rsidRPr="00E01E6C">
        <w:rPr>
          <w:rFonts w:ascii="Times New Roman" w:hAnsi="Times New Roman" w:cs="Times New Roman"/>
          <w:sz w:val="24"/>
          <w:szCs w:val="24"/>
        </w:rPr>
        <w:t>Przeciętne płace w sektorze przedsiębiorstw wzrosły realnie w skali roku o 4,5%, a siła nabywcza emerytur i rent pracowniczych o 3,5%. Zwiększyło się zapotrzebowanie gospodarstw domowych na kredyty konsumpcyjne.</w:t>
      </w:r>
    </w:p>
    <w:p w:rsidR="00FD39A7" w:rsidRPr="00E01E6C" w:rsidRDefault="00FD39A7" w:rsidP="005767E1">
      <w:pPr>
        <w:spacing w:before="80" w:after="0" w:line="264" w:lineRule="auto"/>
        <w:ind w:firstLine="425"/>
        <w:jc w:val="both"/>
        <w:rPr>
          <w:rFonts w:ascii="Times New Roman" w:hAnsi="Times New Roman" w:cs="Times New Roman"/>
          <w:sz w:val="24"/>
          <w:szCs w:val="24"/>
        </w:rPr>
      </w:pPr>
      <w:r w:rsidRPr="00E01E6C">
        <w:rPr>
          <w:rFonts w:ascii="Times New Roman" w:hAnsi="Times New Roman" w:cs="Times New Roman"/>
          <w:sz w:val="24"/>
          <w:szCs w:val="24"/>
        </w:rPr>
        <w:t xml:space="preserve">Ogólne obroty w cenach stałych (w tym zrealizowane przez placówki handlowe </w:t>
      </w:r>
      <w:r w:rsidR="00A3006E">
        <w:rPr>
          <w:rFonts w:ascii="Times New Roman" w:hAnsi="Times New Roman" w:cs="Times New Roman"/>
          <w:sz w:val="24"/>
          <w:szCs w:val="24"/>
        </w:rPr>
        <w:t xml:space="preserve">o liczbie pracujących do 9 osób) </w:t>
      </w:r>
      <w:r w:rsidRPr="00E01E6C">
        <w:rPr>
          <w:rFonts w:ascii="Times New Roman" w:hAnsi="Times New Roman" w:cs="Times New Roman"/>
          <w:sz w:val="24"/>
          <w:szCs w:val="24"/>
        </w:rPr>
        <w:t>wzrosły o 3,13%, wobec 3,9% w 2014 r. Wysokiej dynamice wzrostu gospodarczego</w:t>
      </w:r>
      <w:r w:rsidR="00E53F04">
        <w:rPr>
          <w:rFonts w:ascii="Times New Roman" w:hAnsi="Times New Roman" w:cs="Times New Roman"/>
          <w:sz w:val="24"/>
          <w:szCs w:val="24"/>
        </w:rPr>
        <w:t xml:space="preserve"> towarzyszyły</w:t>
      </w:r>
      <w:r w:rsidRPr="00E01E6C">
        <w:rPr>
          <w:rFonts w:ascii="Times New Roman" w:hAnsi="Times New Roman" w:cs="Times New Roman"/>
          <w:sz w:val="24"/>
          <w:szCs w:val="24"/>
        </w:rPr>
        <w:t xml:space="preserve"> zapoczątk</w:t>
      </w:r>
      <w:r w:rsidR="00E53F04">
        <w:rPr>
          <w:rFonts w:ascii="Times New Roman" w:hAnsi="Times New Roman" w:cs="Times New Roman"/>
          <w:sz w:val="24"/>
          <w:szCs w:val="24"/>
        </w:rPr>
        <w:t>owane w drugim półroczu 2014 r.</w:t>
      </w:r>
      <w:r w:rsidRPr="00E01E6C">
        <w:rPr>
          <w:rFonts w:ascii="Times New Roman" w:hAnsi="Times New Roman" w:cs="Times New Roman"/>
          <w:sz w:val="24"/>
          <w:szCs w:val="24"/>
        </w:rPr>
        <w:t xml:space="preserve"> tendencje deflacyjne, które w kolejnych miesiącach</w:t>
      </w:r>
      <w:r w:rsidR="00A3006E">
        <w:rPr>
          <w:rFonts w:ascii="Times New Roman" w:hAnsi="Times New Roman" w:cs="Times New Roman"/>
          <w:sz w:val="24"/>
          <w:szCs w:val="24"/>
        </w:rPr>
        <w:t xml:space="preserve"> </w:t>
      </w:r>
      <w:r w:rsidRPr="00E01E6C">
        <w:rPr>
          <w:rFonts w:ascii="Times New Roman" w:hAnsi="Times New Roman" w:cs="Times New Roman"/>
          <w:sz w:val="24"/>
          <w:szCs w:val="24"/>
        </w:rPr>
        <w:t>2015 r. stopniowo słabły. Na dynamikę spad</w:t>
      </w:r>
      <w:r w:rsidR="008058EA">
        <w:rPr>
          <w:rFonts w:ascii="Times New Roman" w:hAnsi="Times New Roman" w:cs="Times New Roman"/>
          <w:sz w:val="24"/>
          <w:szCs w:val="24"/>
        </w:rPr>
        <w:t>ku cen główny wpływ miały tanie</w:t>
      </w:r>
      <w:r w:rsidRPr="00E01E6C">
        <w:rPr>
          <w:rFonts w:ascii="Times New Roman" w:hAnsi="Times New Roman" w:cs="Times New Roman"/>
          <w:sz w:val="24"/>
          <w:szCs w:val="24"/>
        </w:rPr>
        <w:t>jące surowce energetyczne i żyw</w:t>
      </w:r>
      <w:r w:rsidR="00E53F04">
        <w:rPr>
          <w:rFonts w:ascii="Times New Roman" w:hAnsi="Times New Roman" w:cs="Times New Roman"/>
          <w:sz w:val="24"/>
          <w:szCs w:val="24"/>
        </w:rPr>
        <w:t>ność, umiarkowany wzrost popytu</w:t>
      </w:r>
      <w:r w:rsidRPr="00E01E6C">
        <w:rPr>
          <w:rFonts w:ascii="Times New Roman" w:hAnsi="Times New Roman" w:cs="Times New Roman"/>
          <w:sz w:val="24"/>
          <w:szCs w:val="24"/>
        </w:rPr>
        <w:t xml:space="preserve"> a także brak presji kosztowe</w:t>
      </w:r>
      <w:r w:rsidR="00A3006E">
        <w:rPr>
          <w:rFonts w:ascii="Times New Roman" w:hAnsi="Times New Roman" w:cs="Times New Roman"/>
          <w:sz w:val="24"/>
          <w:szCs w:val="24"/>
        </w:rPr>
        <w:t>j w gospodarce. W po</w:t>
      </w:r>
      <w:r w:rsidRPr="00E01E6C">
        <w:rPr>
          <w:rFonts w:ascii="Times New Roman" w:hAnsi="Times New Roman" w:cs="Times New Roman"/>
          <w:sz w:val="24"/>
          <w:szCs w:val="24"/>
        </w:rPr>
        <w:t>równaniu z 2014 r. średnie roczne ceny towarów i usł</w:t>
      </w:r>
      <w:r w:rsidR="00DE0206">
        <w:rPr>
          <w:rFonts w:ascii="Times New Roman" w:hAnsi="Times New Roman" w:cs="Times New Roman"/>
          <w:sz w:val="24"/>
          <w:szCs w:val="24"/>
        </w:rPr>
        <w:t>ug konsumpcyjnych obniżyły się o</w:t>
      </w:r>
      <w:r w:rsidRPr="00E01E6C">
        <w:rPr>
          <w:rFonts w:ascii="Times New Roman" w:hAnsi="Times New Roman" w:cs="Times New Roman"/>
          <w:sz w:val="24"/>
          <w:szCs w:val="24"/>
        </w:rPr>
        <w:t xml:space="preserve"> 0,9%, </w:t>
      </w:r>
      <w:r w:rsidR="00A3006E">
        <w:rPr>
          <w:rFonts w:ascii="Times New Roman" w:hAnsi="Times New Roman" w:cs="Times New Roman"/>
          <w:sz w:val="24"/>
          <w:szCs w:val="24"/>
        </w:rPr>
        <w:t>w tym</w:t>
      </w:r>
      <w:r w:rsidRPr="00E01E6C">
        <w:rPr>
          <w:rFonts w:ascii="Times New Roman" w:hAnsi="Times New Roman" w:cs="Times New Roman"/>
          <w:sz w:val="24"/>
          <w:szCs w:val="24"/>
        </w:rPr>
        <w:t xml:space="preserve"> żywność staniała</w:t>
      </w:r>
      <w:r w:rsidR="00A3006E">
        <w:rPr>
          <w:rFonts w:ascii="Times New Roman" w:hAnsi="Times New Roman" w:cs="Times New Roman"/>
          <w:sz w:val="24"/>
          <w:szCs w:val="24"/>
        </w:rPr>
        <w:t xml:space="preserve"> </w:t>
      </w:r>
      <w:r w:rsidR="00E53F04">
        <w:rPr>
          <w:rFonts w:ascii="Times New Roman" w:hAnsi="Times New Roman" w:cs="Times New Roman"/>
          <w:sz w:val="24"/>
          <w:szCs w:val="24"/>
        </w:rPr>
        <w:t xml:space="preserve">o </w:t>
      </w:r>
      <w:r w:rsidRPr="00E01E6C">
        <w:rPr>
          <w:rFonts w:ascii="Times New Roman" w:hAnsi="Times New Roman" w:cs="Times New Roman"/>
          <w:sz w:val="24"/>
          <w:szCs w:val="24"/>
        </w:rPr>
        <w:t xml:space="preserve">1,8%. Utrzymująca się deflacja nie wywierała negatywnego wpływu na decyzje podmiotów gospodarczych. </w:t>
      </w:r>
    </w:p>
    <w:p w:rsidR="00FD39A7" w:rsidRPr="00E01E6C" w:rsidRDefault="00FD39A7" w:rsidP="005767E1">
      <w:pPr>
        <w:spacing w:before="80" w:after="0" w:line="264" w:lineRule="auto"/>
        <w:ind w:firstLine="425"/>
        <w:jc w:val="both"/>
        <w:rPr>
          <w:rFonts w:ascii="Times New Roman" w:hAnsi="Times New Roman" w:cs="Times New Roman"/>
          <w:sz w:val="24"/>
          <w:szCs w:val="24"/>
        </w:rPr>
      </w:pPr>
      <w:r w:rsidRPr="00E01E6C">
        <w:rPr>
          <w:rFonts w:ascii="Times New Roman" w:hAnsi="Times New Roman" w:cs="Times New Roman"/>
          <w:sz w:val="24"/>
          <w:szCs w:val="24"/>
        </w:rPr>
        <w:t>M</w:t>
      </w:r>
      <w:r w:rsidR="00E53F04">
        <w:rPr>
          <w:rFonts w:ascii="Times New Roman" w:hAnsi="Times New Roman" w:cs="Times New Roman"/>
          <w:sz w:val="24"/>
          <w:szCs w:val="24"/>
        </w:rPr>
        <w:t>imo rosyjskiego embarga</w:t>
      </w:r>
      <w:r w:rsidRPr="00E01E6C">
        <w:rPr>
          <w:rFonts w:ascii="Times New Roman" w:hAnsi="Times New Roman" w:cs="Times New Roman"/>
          <w:sz w:val="24"/>
          <w:szCs w:val="24"/>
        </w:rPr>
        <w:t xml:space="preserve"> ograniczającego import produktów rolno-spożywczych do </w:t>
      </w:r>
      <w:r w:rsidR="00E53F04">
        <w:rPr>
          <w:rFonts w:ascii="Times New Roman" w:hAnsi="Times New Roman" w:cs="Times New Roman"/>
          <w:sz w:val="24"/>
          <w:szCs w:val="24"/>
        </w:rPr>
        <w:t>tego kraju, ogólny nasz eksport</w:t>
      </w:r>
      <w:r w:rsidR="003D0CD0">
        <w:rPr>
          <w:rFonts w:ascii="Times New Roman" w:hAnsi="Times New Roman" w:cs="Times New Roman"/>
          <w:sz w:val="24"/>
          <w:szCs w:val="24"/>
        </w:rPr>
        <w:t>,</w:t>
      </w:r>
      <w:r w:rsidRPr="00E01E6C">
        <w:rPr>
          <w:rFonts w:ascii="Times New Roman" w:hAnsi="Times New Roman" w:cs="Times New Roman"/>
          <w:sz w:val="24"/>
          <w:szCs w:val="24"/>
        </w:rPr>
        <w:t xml:space="preserve"> wyrażony w euro, wzrósł w 2015 r. o 7,8%,</w:t>
      </w:r>
      <w:r w:rsidR="00E53F04">
        <w:rPr>
          <w:rFonts w:ascii="Times New Roman" w:hAnsi="Times New Roman" w:cs="Times New Roman"/>
          <w:sz w:val="24"/>
          <w:szCs w:val="24"/>
        </w:rPr>
        <w:t xml:space="preserve"> </w:t>
      </w:r>
      <w:r w:rsidRPr="00E01E6C">
        <w:rPr>
          <w:rFonts w:ascii="Times New Roman" w:hAnsi="Times New Roman" w:cs="Times New Roman"/>
          <w:sz w:val="24"/>
          <w:szCs w:val="24"/>
        </w:rPr>
        <w:t xml:space="preserve">a import </w:t>
      </w:r>
      <w:r w:rsidR="003D0CD0">
        <w:rPr>
          <w:rFonts w:ascii="Times New Roman" w:hAnsi="Times New Roman" w:cs="Times New Roman"/>
          <w:sz w:val="24"/>
          <w:szCs w:val="24"/>
        </w:rPr>
        <w:t xml:space="preserve">o </w:t>
      </w:r>
      <w:r w:rsidRPr="00E01E6C">
        <w:rPr>
          <w:rFonts w:ascii="Times New Roman" w:hAnsi="Times New Roman" w:cs="Times New Roman"/>
          <w:sz w:val="24"/>
          <w:szCs w:val="24"/>
        </w:rPr>
        <w:t xml:space="preserve">3,9%. </w:t>
      </w:r>
      <w:r w:rsidR="00E53F04">
        <w:rPr>
          <w:rFonts w:ascii="Times New Roman" w:hAnsi="Times New Roman" w:cs="Times New Roman"/>
          <w:sz w:val="24"/>
          <w:szCs w:val="24"/>
        </w:rPr>
        <w:t>W rezultacie</w:t>
      </w:r>
      <w:r w:rsidR="00DE0206">
        <w:rPr>
          <w:rFonts w:ascii="Times New Roman" w:hAnsi="Times New Roman" w:cs="Times New Roman"/>
          <w:sz w:val="24"/>
          <w:szCs w:val="24"/>
        </w:rPr>
        <w:t>,</w:t>
      </w:r>
      <w:r w:rsidR="003D0CD0">
        <w:rPr>
          <w:rFonts w:ascii="Times New Roman" w:hAnsi="Times New Roman" w:cs="Times New Roman"/>
          <w:sz w:val="24"/>
          <w:szCs w:val="24"/>
        </w:rPr>
        <w:t xml:space="preserve"> po raz pierwszy od wielu lat</w:t>
      </w:r>
      <w:r w:rsidR="00C43E9E">
        <w:rPr>
          <w:rFonts w:ascii="Times New Roman" w:hAnsi="Times New Roman" w:cs="Times New Roman"/>
          <w:sz w:val="24"/>
          <w:szCs w:val="24"/>
        </w:rPr>
        <w:t>,</w:t>
      </w:r>
      <w:r w:rsidRPr="00E01E6C">
        <w:rPr>
          <w:rFonts w:ascii="Times New Roman" w:hAnsi="Times New Roman" w:cs="Times New Roman"/>
          <w:sz w:val="24"/>
          <w:szCs w:val="24"/>
        </w:rPr>
        <w:t xml:space="preserve"> wymiana zamknęła się dodatnim saldem obrotów towarowych, jak</w:t>
      </w:r>
      <w:r w:rsidR="00E53F04">
        <w:rPr>
          <w:rFonts w:ascii="Times New Roman" w:hAnsi="Times New Roman" w:cs="Times New Roman"/>
          <w:sz w:val="24"/>
          <w:szCs w:val="24"/>
        </w:rPr>
        <w:t xml:space="preserve"> </w:t>
      </w:r>
      <w:r w:rsidRPr="00E01E6C">
        <w:rPr>
          <w:rFonts w:ascii="Times New Roman" w:hAnsi="Times New Roman" w:cs="Times New Roman"/>
          <w:sz w:val="24"/>
          <w:szCs w:val="24"/>
        </w:rPr>
        <w:t>i obrotów</w:t>
      </w:r>
      <w:r w:rsidR="003D0CD0">
        <w:rPr>
          <w:rFonts w:ascii="Times New Roman" w:hAnsi="Times New Roman" w:cs="Times New Roman"/>
          <w:sz w:val="24"/>
          <w:szCs w:val="24"/>
        </w:rPr>
        <w:t xml:space="preserve"> bieżących</w:t>
      </w:r>
      <w:r w:rsidRPr="00E01E6C">
        <w:rPr>
          <w:rFonts w:ascii="Times New Roman" w:hAnsi="Times New Roman" w:cs="Times New Roman"/>
          <w:sz w:val="24"/>
          <w:szCs w:val="24"/>
        </w:rPr>
        <w:t xml:space="preserve"> w ramach bilansu płatniczego. Zdecydowało o tym zwiększenie sprzedaży do krajów członkowskich UE, dokąd skierowano o 10,3% więcej towarów niż przed rokiem, podczas gdy do krajów Europy </w:t>
      </w:r>
      <w:r w:rsidR="00D327D2">
        <w:rPr>
          <w:rFonts w:ascii="Times New Roman" w:hAnsi="Times New Roman" w:cs="Times New Roman"/>
          <w:sz w:val="24"/>
          <w:szCs w:val="24"/>
        </w:rPr>
        <w:t>Ś</w:t>
      </w:r>
      <w:r w:rsidRPr="00E01E6C">
        <w:rPr>
          <w:rFonts w:ascii="Times New Roman" w:hAnsi="Times New Roman" w:cs="Times New Roman"/>
          <w:sz w:val="24"/>
          <w:szCs w:val="24"/>
        </w:rPr>
        <w:t>rodkowo</w:t>
      </w:r>
      <w:r w:rsidR="00D327D2">
        <w:rPr>
          <w:rFonts w:ascii="Times New Roman" w:hAnsi="Times New Roman" w:cs="Times New Roman"/>
          <w:sz w:val="24"/>
          <w:szCs w:val="24"/>
        </w:rPr>
        <w:t>-W</w:t>
      </w:r>
      <w:r w:rsidRPr="00E01E6C">
        <w:rPr>
          <w:rFonts w:ascii="Times New Roman" w:hAnsi="Times New Roman" w:cs="Times New Roman"/>
          <w:sz w:val="24"/>
          <w:szCs w:val="24"/>
        </w:rPr>
        <w:t>schodniej o 21,1% mniej. Pogłębiła się ujemna dynamika obrotów handlowych z Rosją. W 2015 r. eksport do tego kraju zmalał</w:t>
      </w:r>
      <w:r w:rsidR="0022110D">
        <w:rPr>
          <w:rFonts w:ascii="Times New Roman" w:hAnsi="Times New Roman" w:cs="Times New Roman"/>
          <w:sz w:val="24"/>
          <w:szCs w:val="24"/>
        </w:rPr>
        <w:t xml:space="preserve"> </w:t>
      </w:r>
      <w:r w:rsidRPr="00E01E6C">
        <w:rPr>
          <w:rFonts w:ascii="Times New Roman" w:hAnsi="Times New Roman" w:cs="Times New Roman"/>
          <w:sz w:val="24"/>
          <w:szCs w:val="24"/>
        </w:rPr>
        <w:t>o 26,7%, podczas gdy w 2014 r. o 14%. Dywersyfikacja rynków zbytu pozwoliła na uzyskanie korzystnych wyników wymiany produktami rolno-spożywczymi, których eksport zwiększył się o 7,7%, a import o 4,7%. Dodatnie saldo osiągnęło</w:t>
      </w:r>
      <w:r w:rsidR="0022110D">
        <w:rPr>
          <w:rFonts w:ascii="Times New Roman" w:hAnsi="Times New Roman" w:cs="Times New Roman"/>
          <w:sz w:val="24"/>
          <w:szCs w:val="24"/>
        </w:rPr>
        <w:t xml:space="preserve"> wartość</w:t>
      </w:r>
      <w:r w:rsidRPr="00E01E6C">
        <w:rPr>
          <w:rFonts w:ascii="Times New Roman" w:hAnsi="Times New Roman" w:cs="Times New Roman"/>
          <w:sz w:val="24"/>
          <w:szCs w:val="24"/>
        </w:rPr>
        <w:t xml:space="preserve"> 7,7 mld EUR, wobec 6,7 mld</w:t>
      </w:r>
      <w:r>
        <w:rPr>
          <w:rFonts w:ascii="Times New Roman" w:hAnsi="Times New Roman" w:cs="Times New Roman"/>
          <w:sz w:val="24"/>
          <w:szCs w:val="24"/>
        </w:rPr>
        <w:t xml:space="preserve"> </w:t>
      </w:r>
      <w:r w:rsidRPr="00E01E6C">
        <w:rPr>
          <w:rFonts w:ascii="Times New Roman" w:hAnsi="Times New Roman" w:cs="Times New Roman"/>
          <w:sz w:val="24"/>
          <w:szCs w:val="24"/>
        </w:rPr>
        <w:t xml:space="preserve">EUR rok wcześniej. </w:t>
      </w:r>
    </w:p>
    <w:p w:rsidR="00F017A4" w:rsidRPr="005767E1" w:rsidRDefault="00040929" w:rsidP="005767E1">
      <w:pPr>
        <w:pStyle w:val="Nagwek2"/>
        <w:spacing w:line="240" w:lineRule="auto"/>
        <w:rPr>
          <w:rFonts w:eastAsia="Times New Roman"/>
          <w:color w:val="000000" w:themeColor="text1"/>
        </w:rPr>
      </w:pPr>
      <w:r w:rsidRPr="005767E1">
        <w:rPr>
          <w:rFonts w:eastAsia="Times New Roman"/>
          <w:color w:val="000000" w:themeColor="text1"/>
        </w:rPr>
        <w:t>Koniunktura w rolnictwie</w:t>
      </w:r>
    </w:p>
    <w:p w:rsidR="001704CA" w:rsidRPr="001704CA" w:rsidRDefault="00D327D2" w:rsidP="005767E1">
      <w:pPr>
        <w:spacing w:before="80" w:after="0" w:line="264" w:lineRule="auto"/>
        <w:ind w:firstLine="425"/>
        <w:jc w:val="both"/>
        <w:rPr>
          <w:rFonts w:ascii="Times New Roman" w:hAnsi="Times New Roman" w:cs="Times New Roman"/>
          <w:sz w:val="24"/>
          <w:szCs w:val="24"/>
        </w:rPr>
      </w:pPr>
      <w:r>
        <w:rPr>
          <w:rFonts w:ascii="Times New Roman" w:hAnsi="Times New Roman" w:cs="Times New Roman"/>
          <w:sz w:val="24"/>
          <w:szCs w:val="24"/>
        </w:rPr>
        <w:t>Globalna produkcja rolnicza</w:t>
      </w:r>
      <w:r w:rsidR="001704CA" w:rsidRPr="001704CA">
        <w:rPr>
          <w:rFonts w:ascii="Times New Roman" w:hAnsi="Times New Roman" w:cs="Times New Roman"/>
          <w:sz w:val="24"/>
          <w:szCs w:val="24"/>
        </w:rPr>
        <w:t xml:space="preserve"> zmniejszyła</w:t>
      </w:r>
      <w:r w:rsidR="0022110D">
        <w:rPr>
          <w:rFonts w:ascii="Times New Roman" w:hAnsi="Times New Roman" w:cs="Times New Roman"/>
          <w:sz w:val="24"/>
          <w:szCs w:val="24"/>
        </w:rPr>
        <w:t xml:space="preserve"> się</w:t>
      </w:r>
      <w:r w:rsidR="001704CA" w:rsidRPr="001704CA">
        <w:rPr>
          <w:rFonts w:ascii="Times New Roman" w:hAnsi="Times New Roman" w:cs="Times New Roman"/>
          <w:sz w:val="24"/>
          <w:szCs w:val="24"/>
        </w:rPr>
        <w:t xml:space="preserve"> w 2015</w:t>
      </w:r>
      <w:r>
        <w:rPr>
          <w:rFonts w:ascii="Times New Roman" w:hAnsi="Times New Roman" w:cs="Times New Roman"/>
          <w:sz w:val="24"/>
          <w:szCs w:val="24"/>
        </w:rPr>
        <w:t xml:space="preserve"> r.</w:t>
      </w:r>
      <w:r w:rsidR="001704CA" w:rsidRPr="001704CA">
        <w:rPr>
          <w:rFonts w:ascii="Times New Roman" w:hAnsi="Times New Roman" w:cs="Times New Roman"/>
          <w:sz w:val="24"/>
          <w:szCs w:val="24"/>
        </w:rPr>
        <w:t xml:space="preserve"> o 4,2%. Wpływ na to miał spadek produkcji roślinnej o 11,2%, przy wzroście produkcji zwierzęcej o 3,1%. Odnotowano dalsze pogorszenie rynkowych uwarunkowań produkcji rolnej. Uwarunkowania te w 2015 r., mimo poprawy w porównaniu z bardzo niekorzystnym pod tym względem rokiem poprzednim, dalej jednak trudno uznać za sprzyjające rolnictwu. Spadki cen skupu podstawowych surowców rolniczych w okresie od grudnia 2014 r. do grudnia 2015 r. (średnio o 5,2%) były znacznie głębsze niż obniżki cen środków produkcji (średnio o 0,5%). Skumulowany wskaźnik nożyc cen wyniósł więc w tym okresie 95,3 punktu, wobec 89,7 punktu w roku poprzednim. </w:t>
      </w:r>
    </w:p>
    <w:p w:rsidR="001704CA" w:rsidRPr="001704CA" w:rsidRDefault="001704CA" w:rsidP="005767E1">
      <w:pPr>
        <w:spacing w:before="80" w:after="0" w:line="264" w:lineRule="auto"/>
        <w:ind w:firstLine="425"/>
        <w:jc w:val="both"/>
        <w:rPr>
          <w:rFonts w:ascii="Times New Roman" w:hAnsi="Times New Roman" w:cs="Times New Roman"/>
          <w:sz w:val="24"/>
          <w:szCs w:val="24"/>
        </w:rPr>
      </w:pPr>
      <w:r w:rsidRPr="001704CA">
        <w:rPr>
          <w:rFonts w:ascii="Times New Roman" w:hAnsi="Times New Roman" w:cs="Times New Roman"/>
          <w:sz w:val="24"/>
          <w:szCs w:val="24"/>
        </w:rPr>
        <w:t>Środki produkcji taniały trzeci rok z rzędu przede wszystkim pod wpływem spadków cen bezpośrednich nośników energii oraz materiałów budowlanych</w:t>
      </w:r>
      <w:r w:rsidR="008D471E">
        <w:rPr>
          <w:rFonts w:ascii="Times New Roman" w:hAnsi="Times New Roman" w:cs="Times New Roman"/>
          <w:sz w:val="24"/>
          <w:szCs w:val="24"/>
        </w:rPr>
        <w:t xml:space="preserve"> (tabela</w:t>
      </w:r>
      <w:r w:rsidR="0022110D">
        <w:rPr>
          <w:rFonts w:ascii="Times New Roman" w:hAnsi="Times New Roman" w:cs="Times New Roman"/>
          <w:sz w:val="24"/>
          <w:szCs w:val="24"/>
        </w:rPr>
        <w:t xml:space="preserve"> </w:t>
      </w:r>
      <w:r w:rsidR="008D471E">
        <w:rPr>
          <w:rFonts w:ascii="Times New Roman" w:hAnsi="Times New Roman" w:cs="Times New Roman"/>
          <w:sz w:val="24"/>
          <w:szCs w:val="24"/>
        </w:rPr>
        <w:t>1)</w:t>
      </w:r>
      <w:r w:rsidRPr="001704CA">
        <w:rPr>
          <w:rFonts w:ascii="Times New Roman" w:hAnsi="Times New Roman" w:cs="Times New Roman"/>
          <w:sz w:val="24"/>
          <w:szCs w:val="24"/>
        </w:rPr>
        <w:t>. Bezpośrednie nośniki energii po raz drugi z rzędu staniały o ponad 5% pod wpływem spadków cen na światowych rynkach. Przyspieszeniu w porównaniu z rokiem poprzednim uległy też obniżki cen materiałów budowlanych (do 2,3% z 0,7% w 2014 r.). Niższe koszty produkcji oraz ograniczony popyt były przyczyną</w:t>
      </w:r>
      <w:r w:rsidR="00D327D2">
        <w:rPr>
          <w:rFonts w:ascii="Times New Roman" w:hAnsi="Times New Roman" w:cs="Times New Roman"/>
          <w:sz w:val="24"/>
          <w:szCs w:val="24"/>
        </w:rPr>
        <w:t xml:space="preserve"> tego</w:t>
      </w:r>
      <w:r w:rsidRPr="001704CA">
        <w:rPr>
          <w:rFonts w:ascii="Times New Roman" w:hAnsi="Times New Roman" w:cs="Times New Roman"/>
          <w:sz w:val="24"/>
          <w:szCs w:val="24"/>
        </w:rPr>
        <w:t>, że ceny nawozów mineralnych, po dwóch latach znacznych obniżek</w:t>
      </w:r>
      <w:r w:rsidR="00D327D2">
        <w:rPr>
          <w:rFonts w:ascii="Times New Roman" w:hAnsi="Times New Roman" w:cs="Times New Roman"/>
          <w:sz w:val="24"/>
          <w:szCs w:val="24"/>
        </w:rPr>
        <w:t>,</w:t>
      </w:r>
      <w:r w:rsidRPr="001704CA">
        <w:rPr>
          <w:rFonts w:ascii="Times New Roman" w:hAnsi="Times New Roman" w:cs="Times New Roman"/>
          <w:sz w:val="24"/>
          <w:szCs w:val="24"/>
        </w:rPr>
        <w:t xml:space="preserve"> wzrosły tylko o 0,7%. Pestycydy od lat charakteryzujące się niską </w:t>
      </w:r>
      <w:r w:rsidRPr="001704CA">
        <w:rPr>
          <w:rFonts w:ascii="Times New Roman" w:hAnsi="Times New Roman" w:cs="Times New Roman"/>
          <w:sz w:val="24"/>
          <w:szCs w:val="24"/>
        </w:rPr>
        <w:lastRenderedPageBreak/>
        <w:t>dynamiką cen zdrożały w relacji 12-miesięcznej o 1,6%. Jedynie dynamika cen maszyn rolniczych przyspieszyła</w:t>
      </w:r>
      <w:r w:rsidR="0022110D">
        <w:rPr>
          <w:rFonts w:ascii="Times New Roman" w:hAnsi="Times New Roman" w:cs="Times New Roman"/>
          <w:sz w:val="24"/>
          <w:szCs w:val="24"/>
        </w:rPr>
        <w:t>,</w:t>
      </w:r>
      <w:r w:rsidRPr="001704CA">
        <w:rPr>
          <w:rFonts w:ascii="Times New Roman" w:hAnsi="Times New Roman" w:cs="Times New Roman"/>
          <w:sz w:val="24"/>
          <w:szCs w:val="24"/>
        </w:rPr>
        <w:t xml:space="preserve"> z 2,2% w 2014 r. do 3,5% w 2015 r.</w:t>
      </w:r>
    </w:p>
    <w:p w:rsidR="001704CA" w:rsidRPr="001704CA" w:rsidRDefault="001704CA" w:rsidP="005767E1">
      <w:pPr>
        <w:spacing w:before="80" w:after="0" w:line="264" w:lineRule="auto"/>
        <w:ind w:firstLine="425"/>
        <w:jc w:val="both"/>
        <w:rPr>
          <w:rFonts w:ascii="Times New Roman" w:hAnsi="Times New Roman" w:cs="Times New Roman"/>
          <w:sz w:val="24"/>
          <w:szCs w:val="24"/>
        </w:rPr>
      </w:pPr>
      <w:r w:rsidRPr="001704CA">
        <w:rPr>
          <w:rFonts w:ascii="Times New Roman" w:hAnsi="Times New Roman" w:cs="Times New Roman"/>
          <w:sz w:val="24"/>
          <w:szCs w:val="24"/>
        </w:rPr>
        <w:t>W zależności od kierunku specjalizacji gospodarstw wpływ sytuacji rynkowej na ich kondycję finansową był zróżnicowany. Uwarunkowania rynkowe były najmniej korzystne przede wszystkim dla gospodarstw specjalizujących się w produkcji mleka oraz żywca wieprzowego. Poprawiła się natomiast sytuacja gospodarstw specjalizujących się w produkcji żywca wołowego.</w:t>
      </w:r>
    </w:p>
    <w:p w:rsidR="001704CA" w:rsidRPr="001704CA" w:rsidRDefault="001704CA" w:rsidP="005767E1">
      <w:pPr>
        <w:spacing w:before="80" w:after="0" w:line="264" w:lineRule="auto"/>
        <w:ind w:firstLine="425"/>
        <w:jc w:val="both"/>
        <w:rPr>
          <w:rFonts w:ascii="Times New Roman" w:hAnsi="Times New Roman" w:cs="Times New Roman"/>
          <w:sz w:val="24"/>
          <w:szCs w:val="24"/>
        </w:rPr>
      </w:pPr>
      <w:r w:rsidRPr="001704CA">
        <w:rPr>
          <w:rFonts w:ascii="Times New Roman" w:hAnsi="Times New Roman" w:cs="Times New Roman"/>
          <w:sz w:val="24"/>
          <w:szCs w:val="24"/>
        </w:rPr>
        <w:t>W ciągu 12 miesięcy 2015 r. ceny zbóż podstawowych wzrosły</w:t>
      </w:r>
      <w:r w:rsidR="00363DD9">
        <w:rPr>
          <w:rFonts w:ascii="Times New Roman" w:hAnsi="Times New Roman" w:cs="Times New Roman"/>
          <w:sz w:val="24"/>
          <w:szCs w:val="24"/>
        </w:rPr>
        <w:t xml:space="preserve"> o 0,9% </w:t>
      </w:r>
      <w:r w:rsidR="008D471E">
        <w:rPr>
          <w:rFonts w:ascii="Times New Roman" w:hAnsi="Times New Roman" w:cs="Times New Roman"/>
          <w:sz w:val="24"/>
          <w:szCs w:val="24"/>
        </w:rPr>
        <w:t>(</w:t>
      </w:r>
      <w:r w:rsidR="00363DD9">
        <w:rPr>
          <w:rFonts w:ascii="Times New Roman" w:hAnsi="Times New Roman" w:cs="Times New Roman"/>
          <w:sz w:val="24"/>
          <w:szCs w:val="24"/>
        </w:rPr>
        <w:t>pszenica</w:t>
      </w:r>
      <w:r w:rsidR="008D471E">
        <w:rPr>
          <w:rFonts w:ascii="Times New Roman" w:hAnsi="Times New Roman" w:cs="Times New Roman"/>
          <w:sz w:val="24"/>
          <w:szCs w:val="24"/>
        </w:rPr>
        <w:t>)</w:t>
      </w:r>
      <w:r w:rsidR="00363DD9">
        <w:rPr>
          <w:rFonts w:ascii="Times New Roman" w:hAnsi="Times New Roman" w:cs="Times New Roman"/>
          <w:sz w:val="24"/>
          <w:szCs w:val="24"/>
        </w:rPr>
        <w:t xml:space="preserve"> do 4,3-5,3% </w:t>
      </w:r>
      <w:r w:rsidRPr="001704CA">
        <w:rPr>
          <w:rFonts w:ascii="Times New Roman" w:hAnsi="Times New Roman" w:cs="Times New Roman"/>
          <w:sz w:val="24"/>
          <w:szCs w:val="24"/>
        </w:rPr>
        <w:t>jęczmień, żyto). Jedynie wzrost cen k</w:t>
      </w:r>
      <w:r w:rsidR="008D471E">
        <w:rPr>
          <w:rFonts w:ascii="Times New Roman" w:hAnsi="Times New Roman" w:cs="Times New Roman"/>
          <w:sz w:val="24"/>
          <w:szCs w:val="24"/>
        </w:rPr>
        <w:t xml:space="preserve">ukurydzy był znaczniejszy, gdyż </w:t>
      </w:r>
      <w:r w:rsidR="00E749FF">
        <w:rPr>
          <w:rFonts w:ascii="Times New Roman" w:hAnsi="Times New Roman" w:cs="Times New Roman"/>
          <w:sz w:val="24"/>
          <w:szCs w:val="24"/>
        </w:rPr>
        <w:t>wyniósł 27,2% (tabela</w:t>
      </w:r>
      <w:r w:rsidR="008D471E">
        <w:rPr>
          <w:rFonts w:ascii="Times New Roman" w:hAnsi="Times New Roman" w:cs="Times New Roman"/>
          <w:sz w:val="24"/>
          <w:szCs w:val="24"/>
        </w:rPr>
        <w:t xml:space="preserve"> 2)</w:t>
      </w:r>
      <w:r w:rsidRPr="001704CA">
        <w:rPr>
          <w:rFonts w:ascii="Times New Roman" w:hAnsi="Times New Roman" w:cs="Times New Roman"/>
          <w:sz w:val="24"/>
          <w:szCs w:val="24"/>
        </w:rPr>
        <w:t>. O stosunkowo niewielkiej skali wzrostu cen zbóż, mimo wyraźnie mniejszych zbiorów, zadecydowały niskie ceny na światowym rynku oraz mniejsza niż przed rokiem konkurencyjność cenowa</w:t>
      </w:r>
      <w:r w:rsidR="00234D14">
        <w:rPr>
          <w:rFonts w:ascii="Times New Roman" w:hAnsi="Times New Roman" w:cs="Times New Roman"/>
          <w:sz w:val="24"/>
          <w:szCs w:val="24"/>
        </w:rPr>
        <w:t xml:space="preserve"> i jakościowa polskiej pszenicy</w:t>
      </w:r>
      <w:r w:rsidRPr="001704CA">
        <w:rPr>
          <w:rFonts w:ascii="Times New Roman" w:hAnsi="Times New Roman" w:cs="Times New Roman"/>
          <w:sz w:val="24"/>
          <w:szCs w:val="24"/>
        </w:rPr>
        <w:t xml:space="preserve"> a także ograniczony popyt krajowy. </w:t>
      </w:r>
    </w:p>
    <w:p w:rsidR="001704CA" w:rsidRDefault="001704CA" w:rsidP="005767E1">
      <w:pPr>
        <w:spacing w:before="80" w:after="0" w:line="264" w:lineRule="auto"/>
        <w:ind w:firstLine="425"/>
        <w:jc w:val="both"/>
        <w:rPr>
          <w:rFonts w:ascii="Times New Roman" w:hAnsi="Times New Roman" w:cs="Times New Roman"/>
          <w:sz w:val="24"/>
          <w:szCs w:val="24"/>
        </w:rPr>
      </w:pPr>
      <w:r w:rsidRPr="001704CA">
        <w:rPr>
          <w:rFonts w:ascii="Times New Roman" w:hAnsi="Times New Roman" w:cs="Times New Roman"/>
          <w:sz w:val="24"/>
          <w:szCs w:val="24"/>
        </w:rPr>
        <w:t>Wzrost cen skupu zbóż w 2015 r. znacznie ustępował dynamice cen ziemniaków, które w grudniu 2015 r. były o 31,0% wyższe niż przed rokiem w wyniku znacznie mn</w:t>
      </w:r>
      <w:r w:rsidR="00234D14">
        <w:rPr>
          <w:rFonts w:ascii="Times New Roman" w:hAnsi="Times New Roman" w:cs="Times New Roman"/>
          <w:sz w:val="24"/>
          <w:szCs w:val="24"/>
        </w:rPr>
        <w:t>iejszych zbiorów. Jednakże</w:t>
      </w:r>
      <w:r w:rsidR="00E749FF">
        <w:rPr>
          <w:rFonts w:ascii="Times New Roman" w:hAnsi="Times New Roman" w:cs="Times New Roman"/>
          <w:sz w:val="24"/>
          <w:szCs w:val="24"/>
        </w:rPr>
        <w:t>,</w:t>
      </w:r>
      <w:r w:rsidR="00234D14">
        <w:rPr>
          <w:rFonts w:ascii="Times New Roman" w:hAnsi="Times New Roman" w:cs="Times New Roman"/>
          <w:sz w:val="24"/>
          <w:szCs w:val="24"/>
        </w:rPr>
        <w:t xml:space="preserve"> mimo</w:t>
      </w:r>
      <w:r w:rsidRPr="001704CA">
        <w:rPr>
          <w:rFonts w:ascii="Times New Roman" w:hAnsi="Times New Roman" w:cs="Times New Roman"/>
          <w:sz w:val="24"/>
          <w:szCs w:val="24"/>
        </w:rPr>
        <w:t xml:space="preserve"> że w porównaniu ze zbożami cena ziemniaków była zdecydowanie wyższa, powierzchnia ich uprawy skurczyła się </w:t>
      </w:r>
      <w:r w:rsidR="00C43E9E">
        <w:rPr>
          <w:rFonts w:ascii="Times New Roman" w:hAnsi="Times New Roman" w:cs="Times New Roman"/>
          <w:sz w:val="24"/>
          <w:szCs w:val="24"/>
        </w:rPr>
        <w:t xml:space="preserve">zaledwie </w:t>
      </w:r>
      <w:r w:rsidRPr="001704CA">
        <w:rPr>
          <w:rFonts w:ascii="Times New Roman" w:hAnsi="Times New Roman" w:cs="Times New Roman"/>
          <w:sz w:val="24"/>
          <w:szCs w:val="24"/>
        </w:rPr>
        <w:t>do ok</w:t>
      </w:r>
      <w:r w:rsidR="00C43E9E">
        <w:rPr>
          <w:rFonts w:ascii="Times New Roman" w:hAnsi="Times New Roman" w:cs="Times New Roman"/>
          <w:sz w:val="24"/>
          <w:szCs w:val="24"/>
        </w:rPr>
        <w:t>.</w:t>
      </w:r>
      <w:r w:rsidRPr="001704CA">
        <w:rPr>
          <w:rFonts w:ascii="Times New Roman" w:hAnsi="Times New Roman" w:cs="Times New Roman"/>
          <w:sz w:val="24"/>
          <w:szCs w:val="24"/>
        </w:rPr>
        <w:t xml:space="preserve"> 300 tys. ha i 2,7% w strukturze zasiewów ze względu na systematycznie malejący popyt.</w:t>
      </w:r>
    </w:p>
    <w:p w:rsidR="008D471E" w:rsidRPr="001704CA" w:rsidRDefault="008D471E" w:rsidP="005767E1">
      <w:pPr>
        <w:spacing w:before="80" w:after="0" w:line="264" w:lineRule="auto"/>
        <w:ind w:firstLine="425"/>
        <w:jc w:val="both"/>
        <w:rPr>
          <w:rFonts w:ascii="Times New Roman" w:hAnsi="Times New Roman" w:cs="Times New Roman"/>
          <w:sz w:val="24"/>
          <w:szCs w:val="24"/>
        </w:rPr>
      </w:pPr>
      <w:r w:rsidRPr="001704CA">
        <w:rPr>
          <w:rFonts w:ascii="Times New Roman" w:hAnsi="Times New Roman" w:cs="Times New Roman"/>
          <w:sz w:val="24"/>
          <w:szCs w:val="24"/>
        </w:rPr>
        <w:t>Pogorszenie opłacalności produkcji drobia</w:t>
      </w:r>
      <w:r w:rsidR="0022110D">
        <w:rPr>
          <w:rFonts w:ascii="Times New Roman" w:hAnsi="Times New Roman" w:cs="Times New Roman"/>
          <w:sz w:val="24"/>
          <w:szCs w:val="24"/>
        </w:rPr>
        <w:t>rskiej w ciągu 12 miesięcy 2015</w:t>
      </w:r>
      <w:r w:rsidR="00C43E9E">
        <w:rPr>
          <w:rFonts w:ascii="Times New Roman" w:hAnsi="Times New Roman" w:cs="Times New Roman"/>
          <w:sz w:val="24"/>
          <w:szCs w:val="24"/>
        </w:rPr>
        <w:t xml:space="preserve"> </w:t>
      </w:r>
      <w:r w:rsidRPr="001704CA">
        <w:rPr>
          <w:rFonts w:ascii="Times New Roman" w:hAnsi="Times New Roman" w:cs="Times New Roman"/>
          <w:sz w:val="24"/>
          <w:szCs w:val="24"/>
        </w:rPr>
        <w:t>r. spowodowane wzrostem cen pszenicy było nieco mniejsze, choć obniżki cen</w:t>
      </w:r>
      <w:r>
        <w:rPr>
          <w:rFonts w:ascii="Times New Roman" w:hAnsi="Times New Roman" w:cs="Times New Roman"/>
          <w:sz w:val="24"/>
          <w:szCs w:val="24"/>
        </w:rPr>
        <w:t xml:space="preserve"> żywca drobiowego wyniosły 7%. </w:t>
      </w:r>
    </w:p>
    <w:p w:rsidR="001704CA" w:rsidRPr="001704CA" w:rsidRDefault="001704CA" w:rsidP="005767E1">
      <w:pPr>
        <w:spacing w:before="80" w:after="0" w:line="264" w:lineRule="auto"/>
        <w:ind w:firstLine="425"/>
        <w:jc w:val="both"/>
        <w:rPr>
          <w:rFonts w:ascii="Times New Roman" w:hAnsi="Times New Roman" w:cs="Times New Roman"/>
          <w:sz w:val="24"/>
          <w:szCs w:val="24"/>
        </w:rPr>
      </w:pPr>
      <w:r w:rsidRPr="001704CA">
        <w:rPr>
          <w:rFonts w:ascii="Times New Roman" w:hAnsi="Times New Roman" w:cs="Times New Roman"/>
          <w:sz w:val="24"/>
          <w:szCs w:val="24"/>
        </w:rPr>
        <w:t xml:space="preserve">Ceny skupu bydła w ciągu 12 miesięcy 2015 r. podniosły się o ponad 7%, przy wzroście cen cieląt o 0,7%. Jest to równoznaczne ze znaczącą poprawą opłacalności produkcji żywca wołowego, zwłaszcza że w tym </w:t>
      </w:r>
      <w:r w:rsidR="00234D14">
        <w:rPr>
          <w:rFonts w:ascii="Times New Roman" w:hAnsi="Times New Roman" w:cs="Times New Roman"/>
          <w:sz w:val="24"/>
          <w:szCs w:val="24"/>
        </w:rPr>
        <w:t>czasie zmalały ceny skupu mleka.</w:t>
      </w:r>
    </w:p>
    <w:p w:rsidR="00040929" w:rsidRPr="00040929" w:rsidRDefault="006F10BF" w:rsidP="006050E4">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Tabela 1</w:t>
      </w:r>
    </w:p>
    <w:p w:rsidR="00040929" w:rsidRPr="008351E6" w:rsidRDefault="00040929" w:rsidP="00040929">
      <w:pPr>
        <w:spacing w:after="60" w:line="240" w:lineRule="auto"/>
        <w:jc w:val="center"/>
        <w:rPr>
          <w:rFonts w:ascii="Times New Roman" w:eastAsia="Times New Roman" w:hAnsi="Times New Roman" w:cs="Times New Roman"/>
          <w:sz w:val="20"/>
          <w:szCs w:val="20"/>
        </w:rPr>
      </w:pPr>
      <w:r w:rsidRPr="008351E6">
        <w:rPr>
          <w:rFonts w:ascii="Times New Roman" w:eastAsia="Times New Roman" w:hAnsi="Times New Roman" w:cs="Times New Roman"/>
          <w:sz w:val="20"/>
          <w:szCs w:val="20"/>
        </w:rPr>
        <w:t>Skumulowane wskaźniki zmian cen</w:t>
      </w:r>
      <w:r w:rsidR="008351E6">
        <w:rPr>
          <w:rFonts w:ascii="Times New Roman" w:eastAsia="Times New Roman" w:hAnsi="Times New Roman" w:cs="Times New Roman"/>
          <w:sz w:val="20"/>
          <w:szCs w:val="20"/>
        </w:rPr>
        <w:t xml:space="preserve"> w latach 201</w:t>
      </w:r>
      <w:r w:rsidR="00A66D97">
        <w:rPr>
          <w:rFonts w:ascii="Times New Roman" w:eastAsia="Times New Roman" w:hAnsi="Times New Roman" w:cs="Times New Roman"/>
          <w:sz w:val="20"/>
          <w:szCs w:val="20"/>
        </w:rPr>
        <w:t>2-2015</w:t>
      </w:r>
      <w:r w:rsidRPr="008351E6">
        <w:rPr>
          <w:rFonts w:ascii="Times New Roman" w:eastAsia="Times New Roman" w:hAnsi="Times New Roman" w:cs="Times New Roman"/>
          <w:sz w:val="20"/>
          <w:szCs w:val="20"/>
        </w:rPr>
        <w:t xml:space="preserve"> (grudzień roku poprzedniego =100)</w:t>
      </w:r>
    </w:p>
    <w:tbl>
      <w:tblPr>
        <w:tblStyle w:val="Tabela-Siatka"/>
        <w:tblW w:w="4552" w:type="pct"/>
        <w:jc w:val="center"/>
        <w:tblLook w:val="01E0" w:firstRow="1" w:lastRow="1" w:firstColumn="1" w:lastColumn="1" w:noHBand="0" w:noVBand="0"/>
      </w:tblPr>
      <w:tblGrid>
        <w:gridCol w:w="2884"/>
        <w:gridCol w:w="1062"/>
        <w:gridCol w:w="1062"/>
        <w:gridCol w:w="930"/>
        <w:gridCol w:w="1260"/>
        <w:gridCol w:w="1256"/>
      </w:tblGrid>
      <w:tr w:rsidR="00FF37C4" w:rsidRPr="00040929" w:rsidTr="00346776">
        <w:trPr>
          <w:jc w:val="center"/>
        </w:trPr>
        <w:tc>
          <w:tcPr>
            <w:tcW w:w="1706" w:type="pct"/>
          </w:tcPr>
          <w:p w:rsidR="00FF37C4" w:rsidRPr="00040929" w:rsidRDefault="00FF37C4" w:rsidP="00040929">
            <w:pPr>
              <w:jc w:val="both"/>
              <w:rPr>
                <w:rFonts w:ascii="Times New Roman" w:eastAsia="Times New Roman" w:hAnsi="Times New Roman" w:cs="Times New Roman"/>
                <w:b/>
                <w:sz w:val="20"/>
                <w:szCs w:val="20"/>
              </w:rPr>
            </w:pPr>
          </w:p>
          <w:p w:rsidR="00FF37C4" w:rsidRPr="00040929" w:rsidRDefault="00FF37C4" w:rsidP="00040929">
            <w:pPr>
              <w:jc w:val="both"/>
              <w:rPr>
                <w:rFonts w:ascii="Times New Roman" w:eastAsia="Times New Roman" w:hAnsi="Times New Roman" w:cs="Times New Roman"/>
                <w:b/>
                <w:sz w:val="20"/>
                <w:szCs w:val="20"/>
              </w:rPr>
            </w:pPr>
            <w:r w:rsidRPr="00040929">
              <w:rPr>
                <w:rFonts w:ascii="Times New Roman" w:eastAsia="Times New Roman" w:hAnsi="Times New Roman" w:cs="Times New Roman"/>
                <w:b/>
                <w:sz w:val="20"/>
                <w:szCs w:val="20"/>
              </w:rPr>
              <w:t>Wyszczególnienie</w:t>
            </w:r>
          </w:p>
        </w:tc>
        <w:tc>
          <w:tcPr>
            <w:tcW w:w="628" w:type="pct"/>
            <w:vAlign w:val="bottom"/>
          </w:tcPr>
          <w:p w:rsidR="00FF37C4" w:rsidRPr="00040929" w:rsidRDefault="00A66D97" w:rsidP="004C1CD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2015</w:t>
            </w:r>
          </w:p>
        </w:tc>
        <w:tc>
          <w:tcPr>
            <w:tcW w:w="628" w:type="pct"/>
            <w:vAlign w:val="bottom"/>
          </w:tcPr>
          <w:p w:rsidR="00FF37C4" w:rsidRPr="00040929" w:rsidRDefault="00FF37C4" w:rsidP="0034677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2014</w:t>
            </w:r>
          </w:p>
        </w:tc>
        <w:tc>
          <w:tcPr>
            <w:tcW w:w="550" w:type="pct"/>
          </w:tcPr>
          <w:p w:rsidR="00FF37C4" w:rsidRPr="00040929" w:rsidRDefault="00FF37C4" w:rsidP="00346776">
            <w:pPr>
              <w:jc w:val="center"/>
              <w:rPr>
                <w:rFonts w:ascii="Times New Roman" w:eastAsia="Times New Roman" w:hAnsi="Times New Roman" w:cs="Times New Roman"/>
                <w:b/>
                <w:sz w:val="20"/>
                <w:szCs w:val="20"/>
              </w:rPr>
            </w:pPr>
          </w:p>
          <w:p w:rsidR="00FF37C4" w:rsidRPr="00040929" w:rsidRDefault="00FF37C4" w:rsidP="00346776">
            <w:pPr>
              <w:jc w:val="center"/>
              <w:rPr>
                <w:rFonts w:ascii="Times New Roman" w:eastAsia="Times New Roman" w:hAnsi="Times New Roman" w:cs="Times New Roman"/>
                <w:b/>
                <w:sz w:val="20"/>
                <w:szCs w:val="20"/>
              </w:rPr>
            </w:pPr>
            <w:r w:rsidRPr="00040929">
              <w:rPr>
                <w:rFonts w:ascii="Times New Roman" w:eastAsia="Times New Roman" w:hAnsi="Times New Roman" w:cs="Times New Roman"/>
                <w:b/>
                <w:sz w:val="20"/>
                <w:szCs w:val="20"/>
              </w:rPr>
              <w:t>2013</w:t>
            </w:r>
          </w:p>
        </w:tc>
        <w:tc>
          <w:tcPr>
            <w:tcW w:w="745" w:type="pct"/>
          </w:tcPr>
          <w:p w:rsidR="00FF37C4" w:rsidRPr="00040929" w:rsidRDefault="00FF37C4" w:rsidP="00346776">
            <w:pPr>
              <w:jc w:val="center"/>
              <w:rPr>
                <w:rFonts w:ascii="Times New Roman" w:eastAsia="Times New Roman" w:hAnsi="Times New Roman" w:cs="Times New Roman"/>
                <w:b/>
                <w:sz w:val="20"/>
                <w:szCs w:val="20"/>
              </w:rPr>
            </w:pPr>
          </w:p>
          <w:p w:rsidR="00FF37C4" w:rsidRPr="00040929" w:rsidRDefault="00FF37C4" w:rsidP="00346776">
            <w:pPr>
              <w:jc w:val="center"/>
              <w:rPr>
                <w:rFonts w:ascii="Times New Roman" w:eastAsia="Times New Roman" w:hAnsi="Times New Roman" w:cs="Times New Roman"/>
                <w:b/>
                <w:sz w:val="20"/>
                <w:szCs w:val="20"/>
              </w:rPr>
            </w:pPr>
            <w:r w:rsidRPr="00040929">
              <w:rPr>
                <w:rFonts w:ascii="Times New Roman" w:eastAsia="Times New Roman" w:hAnsi="Times New Roman" w:cs="Times New Roman"/>
                <w:b/>
                <w:sz w:val="20"/>
                <w:szCs w:val="20"/>
              </w:rPr>
              <w:t>2012</w:t>
            </w:r>
          </w:p>
        </w:tc>
        <w:tc>
          <w:tcPr>
            <w:tcW w:w="743" w:type="pct"/>
            <w:tcBorders>
              <w:right w:val="single" w:sz="4" w:space="0" w:color="auto"/>
            </w:tcBorders>
          </w:tcPr>
          <w:p w:rsidR="00FF37C4" w:rsidRPr="00040929" w:rsidRDefault="00FF37C4" w:rsidP="000409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XI</w:t>
            </w:r>
            <w:r w:rsidRPr="00040929">
              <w:rPr>
                <w:rFonts w:ascii="Times New Roman" w:eastAsia="Times New Roman" w:hAnsi="Times New Roman" w:cs="Times New Roman"/>
                <w:b/>
                <w:sz w:val="20"/>
                <w:szCs w:val="20"/>
              </w:rPr>
              <w:t>I</w:t>
            </w:r>
          </w:p>
          <w:p w:rsidR="00FF37C4" w:rsidRPr="00040929" w:rsidRDefault="00FF37C4" w:rsidP="000409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w:t>
            </w:r>
            <w:r w:rsidR="00A66D97">
              <w:rPr>
                <w:rFonts w:ascii="Times New Roman" w:eastAsia="Times New Roman" w:hAnsi="Times New Roman" w:cs="Times New Roman"/>
                <w:b/>
                <w:sz w:val="20"/>
                <w:szCs w:val="20"/>
              </w:rPr>
              <w:t>1</w:t>
            </w:r>
            <w:r w:rsidRPr="00040929">
              <w:rPr>
                <w:rFonts w:ascii="Times New Roman" w:eastAsia="Times New Roman" w:hAnsi="Times New Roman" w:cs="Times New Roman"/>
                <w:b/>
                <w:sz w:val="20"/>
                <w:szCs w:val="20"/>
              </w:rPr>
              <w:t>=100%</w:t>
            </w:r>
          </w:p>
        </w:tc>
      </w:tr>
      <w:tr w:rsidR="00A66D97" w:rsidRPr="00040929" w:rsidTr="00346776">
        <w:trPr>
          <w:jc w:val="center"/>
        </w:trPr>
        <w:tc>
          <w:tcPr>
            <w:tcW w:w="1706" w:type="pct"/>
          </w:tcPr>
          <w:p w:rsidR="00A66D97" w:rsidRPr="00040929" w:rsidRDefault="00A66D97" w:rsidP="00040929">
            <w:pPr>
              <w:rPr>
                <w:rFonts w:ascii="Times New Roman" w:eastAsia="Times New Roman" w:hAnsi="Times New Roman" w:cs="Times New Roman"/>
                <w:b/>
                <w:color w:val="000000"/>
                <w:sz w:val="20"/>
                <w:szCs w:val="20"/>
              </w:rPr>
            </w:pPr>
            <w:r w:rsidRPr="00040929">
              <w:rPr>
                <w:rFonts w:ascii="Times New Roman" w:eastAsia="Times New Roman" w:hAnsi="Times New Roman" w:cs="Times New Roman"/>
                <w:b/>
                <w:color w:val="000000"/>
                <w:sz w:val="20"/>
                <w:szCs w:val="20"/>
              </w:rPr>
              <w:t>Środki produkcji</w:t>
            </w:r>
          </w:p>
        </w:tc>
        <w:tc>
          <w:tcPr>
            <w:tcW w:w="628" w:type="pct"/>
            <w:vAlign w:val="bottom"/>
          </w:tcPr>
          <w:p w:rsidR="00A66D97" w:rsidRPr="00A66D97" w:rsidRDefault="00A66D97" w:rsidP="00A66D97">
            <w:pPr>
              <w:ind w:right="113"/>
              <w:jc w:val="right"/>
              <w:rPr>
                <w:rFonts w:ascii="Times New Roman" w:eastAsia="Times New Roman" w:hAnsi="Times New Roman" w:cs="Times New Roman"/>
                <w:b/>
                <w:bCs/>
                <w:sz w:val="20"/>
                <w:szCs w:val="20"/>
              </w:rPr>
            </w:pPr>
            <w:r w:rsidRPr="00A66D97">
              <w:rPr>
                <w:rFonts w:ascii="Times New Roman" w:eastAsia="Times New Roman" w:hAnsi="Times New Roman" w:cs="Times New Roman"/>
                <w:b/>
                <w:bCs/>
                <w:sz w:val="20"/>
                <w:szCs w:val="20"/>
              </w:rPr>
              <w:t>99,5</w:t>
            </w:r>
          </w:p>
        </w:tc>
        <w:tc>
          <w:tcPr>
            <w:tcW w:w="628" w:type="pct"/>
          </w:tcPr>
          <w:p w:rsidR="00A66D97" w:rsidRPr="00E803F6" w:rsidRDefault="00A66D97" w:rsidP="00346776">
            <w:pPr>
              <w:ind w:right="113"/>
              <w:jc w:val="right"/>
              <w:rPr>
                <w:rFonts w:ascii="Times New Roman" w:eastAsia="Times New Roman" w:hAnsi="Times New Roman" w:cs="Times New Roman"/>
                <w:b/>
                <w:bCs/>
                <w:sz w:val="20"/>
                <w:szCs w:val="20"/>
              </w:rPr>
            </w:pPr>
            <w:r w:rsidRPr="00E803F6">
              <w:rPr>
                <w:rFonts w:ascii="Times New Roman" w:eastAsia="Times New Roman" w:hAnsi="Times New Roman" w:cs="Times New Roman"/>
                <w:b/>
                <w:bCs/>
                <w:sz w:val="20"/>
                <w:szCs w:val="20"/>
              </w:rPr>
              <w:t>98,2</w:t>
            </w:r>
          </w:p>
        </w:tc>
        <w:tc>
          <w:tcPr>
            <w:tcW w:w="550" w:type="pct"/>
            <w:tcBorders>
              <w:right w:val="single" w:sz="4" w:space="0" w:color="auto"/>
            </w:tcBorders>
          </w:tcPr>
          <w:p w:rsidR="00A66D97" w:rsidRPr="00E803F6" w:rsidRDefault="00A66D97" w:rsidP="00346776">
            <w:pPr>
              <w:ind w:right="113"/>
              <w:jc w:val="right"/>
              <w:rPr>
                <w:rFonts w:ascii="Times New Roman" w:eastAsia="Times New Roman" w:hAnsi="Times New Roman" w:cs="Times New Roman"/>
                <w:b/>
                <w:bCs/>
                <w:sz w:val="20"/>
                <w:szCs w:val="20"/>
              </w:rPr>
            </w:pPr>
            <w:r w:rsidRPr="00E803F6">
              <w:rPr>
                <w:rFonts w:ascii="Times New Roman" w:eastAsia="Times New Roman" w:hAnsi="Times New Roman" w:cs="Times New Roman"/>
                <w:b/>
                <w:bCs/>
                <w:sz w:val="20"/>
                <w:szCs w:val="20"/>
              </w:rPr>
              <w:t>99,7</w:t>
            </w:r>
          </w:p>
        </w:tc>
        <w:tc>
          <w:tcPr>
            <w:tcW w:w="745" w:type="pct"/>
          </w:tcPr>
          <w:p w:rsidR="00A66D97" w:rsidRPr="00E803F6" w:rsidRDefault="00A66D97" w:rsidP="00346776">
            <w:pPr>
              <w:ind w:right="113"/>
              <w:jc w:val="right"/>
              <w:rPr>
                <w:rFonts w:ascii="Times New Roman" w:eastAsia="Times New Roman" w:hAnsi="Times New Roman" w:cs="Times New Roman"/>
                <w:b/>
                <w:bCs/>
                <w:sz w:val="20"/>
                <w:szCs w:val="20"/>
              </w:rPr>
            </w:pPr>
            <w:r w:rsidRPr="00E803F6">
              <w:rPr>
                <w:rFonts w:ascii="Times New Roman" w:eastAsia="Times New Roman" w:hAnsi="Times New Roman" w:cs="Times New Roman"/>
                <w:b/>
                <w:bCs/>
                <w:sz w:val="20"/>
                <w:szCs w:val="20"/>
              </w:rPr>
              <w:t>103</w:t>
            </w:r>
          </w:p>
        </w:tc>
        <w:tc>
          <w:tcPr>
            <w:tcW w:w="743" w:type="pct"/>
            <w:tcBorders>
              <w:right w:val="single" w:sz="4" w:space="0" w:color="auto"/>
            </w:tcBorders>
            <w:vAlign w:val="bottom"/>
          </w:tcPr>
          <w:p w:rsidR="00A66D97" w:rsidRPr="00A66D97" w:rsidRDefault="00A66D97" w:rsidP="00A66D97">
            <w:pPr>
              <w:ind w:right="113"/>
              <w:jc w:val="right"/>
              <w:rPr>
                <w:rFonts w:ascii="Times New Roman" w:eastAsia="Times New Roman" w:hAnsi="Times New Roman" w:cs="Times New Roman"/>
                <w:b/>
                <w:bCs/>
                <w:sz w:val="20"/>
                <w:szCs w:val="20"/>
              </w:rPr>
            </w:pPr>
            <w:r w:rsidRPr="00A66D97">
              <w:rPr>
                <w:rFonts w:ascii="Times New Roman" w:eastAsia="Times New Roman" w:hAnsi="Times New Roman" w:cs="Times New Roman"/>
                <w:b/>
                <w:bCs/>
                <w:sz w:val="20"/>
                <w:szCs w:val="20"/>
              </w:rPr>
              <w:t>108,8</w:t>
            </w:r>
          </w:p>
        </w:tc>
      </w:tr>
      <w:tr w:rsidR="00A66D97" w:rsidRPr="00040929" w:rsidTr="00346776">
        <w:trPr>
          <w:jc w:val="center"/>
        </w:trPr>
        <w:tc>
          <w:tcPr>
            <w:tcW w:w="1706" w:type="pct"/>
          </w:tcPr>
          <w:p w:rsidR="00A66D97" w:rsidRPr="00040929" w:rsidRDefault="00A66D97" w:rsidP="00040929">
            <w:pPr>
              <w:rPr>
                <w:rFonts w:ascii="Times New Roman" w:eastAsia="Times New Roman" w:hAnsi="Times New Roman" w:cs="Times New Roman"/>
                <w:color w:val="000000"/>
                <w:sz w:val="20"/>
                <w:szCs w:val="20"/>
              </w:rPr>
            </w:pPr>
            <w:r w:rsidRPr="00040929">
              <w:rPr>
                <w:rFonts w:ascii="Times New Roman" w:eastAsia="Times New Roman" w:hAnsi="Times New Roman" w:cs="Times New Roman"/>
                <w:color w:val="000000"/>
                <w:sz w:val="20"/>
                <w:szCs w:val="20"/>
              </w:rPr>
              <w:t>w tym nawozy mineralne</w:t>
            </w:r>
          </w:p>
        </w:tc>
        <w:tc>
          <w:tcPr>
            <w:tcW w:w="628" w:type="pct"/>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100,7</w:t>
            </w:r>
          </w:p>
        </w:tc>
        <w:tc>
          <w:tcPr>
            <w:tcW w:w="628" w:type="pct"/>
          </w:tcPr>
          <w:p w:rsidR="00A66D97" w:rsidRPr="00E803F6" w:rsidRDefault="00A66D97" w:rsidP="00346776">
            <w:pPr>
              <w:ind w:right="113"/>
              <w:jc w:val="right"/>
              <w:rPr>
                <w:rFonts w:ascii="Times New Roman" w:eastAsia="Times New Roman" w:hAnsi="Times New Roman" w:cs="Times New Roman"/>
                <w:sz w:val="20"/>
                <w:szCs w:val="20"/>
              </w:rPr>
            </w:pPr>
            <w:r w:rsidRPr="00E803F6">
              <w:rPr>
                <w:rFonts w:ascii="Times New Roman" w:eastAsia="Times New Roman" w:hAnsi="Times New Roman" w:cs="Times New Roman"/>
                <w:sz w:val="20"/>
                <w:szCs w:val="20"/>
              </w:rPr>
              <w:t>93,2</w:t>
            </w:r>
          </w:p>
        </w:tc>
        <w:tc>
          <w:tcPr>
            <w:tcW w:w="550" w:type="pct"/>
            <w:tcBorders>
              <w:right w:val="single" w:sz="4" w:space="0" w:color="auto"/>
            </w:tcBorders>
          </w:tcPr>
          <w:p w:rsidR="00A66D97" w:rsidRPr="00E803F6" w:rsidRDefault="00A66D97" w:rsidP="00346776">
            <w:pPr>
              <w:ind w:right="113"/>
              <w:jc w:val="right"/>
              <w:rPr>
                <w:rFonts w:ascii="Times New Roman" w:eastAsia="Times New Roman" w:hAnsi="Times New Roman" w:cs="Times New Roman"/>
                <w:sz w:val="20"/>
                <w:szCs w:val="20"/>
              </w:rPr>
            </w:pPr>
            <w:r w:rsidRPr="00E803F6">
              <w:rPr>
                <w:rFonts w:ascii="Times New Roman" w:eastAsia="Times New Roman" w:hAnsi="Times New Roman" w:cs="Times New Roman"/>
                <w:sz w:val="20"/>
                <w:szCs w:val="20"/>
              </w:rPr>
              <w:t>94,6</w:t>
            </w:r>
          </w:p>
        </w:tc>
        <w:tc>
          <w:tcPr>
            <w:tcW w:w="745" w:type="pct"/>
          </w:tcPr>
          <w:p w:rsidR="00A66D97" w:rsidRPr="00E803F6" w:rsidRDefault="00A66D97" w:rsidP="00346776">
            <w:pPr>
              <w:ind w:right="113"/>
              <w:jc w:val="right"/>
              <w:rPr>
                <w:rFonts w:ascii="Times New Roman" w:eastAsia="Times New Roman" w:hAnsi="Times New Roman" w:cs="Times New Roman"/>
                <w:sz w:val="20"/>
                <w:szCs w:val="20"/>
              </w:rPr>
            </w:pPr>
            <w:r w:rsidRPr="00E803F6">
              <w:rPr>
                <w:rFonts w:ascii="Times New Roman" w:eastAsia="Times New Roman" w:hAnsi="Times New Roman" w:cs="Times New Roman"/>
                <w:sz w:val="20"/>
                <w:szCs w:val="20"/>
              </w:rPr>
              <w:t>104,9</w:t>
            </w:r>
          </w:p>
        </w:tc>
        <w:tc>
          <w:tcPr>
            <w:tcW w:w="743" w:type="pct"/>
            <w:tcBorders>
              <w:right w:val="single" w:sz="4" w:space="0" w:color="auto"/>
            </w:tcBorders>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110,5</w:t>
            </w:r>
          </w:p>
        </w:tc>
      </w:tr>
      <w:tr w:rsidR="00A66D97" w:rsidRPr="00040929" w:rsidTr="00346776">
        <w:trPr>
          <w:jc w:val="center"/>
        </w:trPr>
        <w:tc>
          <w:tcPr>
            <w:tcW w:w="1706" w:type="pct"/>
          </w:tcPr>
          <w:p w:rsidR="00A66D97" w:rsidRPr="00040929" w:rsidRDefault="00A66D97" w:rsidP="00040929">
            <w:pPr>
              <w:rPr>
                <w:rFonts w:ascii="Times New Roman" w:eastAsia="Times New Roman" w:hAnsi="Times New Roman" w:cs="Times New Roman"/>
                <w:color w:val="000000"/>
                <w:sz w:val="20"/>
                <w:szCs w:val="20"/>
              </w:rPr>
            </w:pPr>
            <w:r w:rsidRPr="00040929">
              <w:rPr>
                <w:rFonts w:ascii="Times New Roman" w:eastAsia="Times New Roman" w:hAnsi="Times New Roman" w:cs="Times New Roman"/>
                <w:color w:val="000000"/>
                <w:sz w:val="20"/>
                <w:szCs w:val="20"/>
              </w:rPr>
              <w:t xml:space="preserve">           </w:t>
            </w:r>
            <w:r w:rsidR="005767E1">
              <w:rPr>
                <w:rFonts w:ascii="Times New Roman" w:eastAsia="Times New Roman" w:hAnsi="Times New Roman" w:cs="Times New Roman"/>
                <w:color w:val="000000"/>
                <w:sz w:val="20"/>
                <w:szCs w:val="20"/>
              </w:rPr>
              <w:t>p</w:t>
            </w:r>
            <w:r w:rsidRPr="00040929">
              <w:rPr>
                <w:rFonts w:ascii="Times New Roman" w:eastAsia="Times New Roman" w:hAnsi="Times New Roman" w:cs="Times New Roman"/>
                <w:color w:val="000000"/>
                <w:sz w:val="20"/>
                <w:szCs w:val="20"/>
              </w:rPr>
              <w:t>estycydy</w:t>
            </w:r>
          </w:p>
        </w:tc>
        <w:tc>
          <w:tcPr>
            <w:tcW w:w="628" w:type="pct"/>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101,6</w:t>
            </w:r>
          </w:p>
        </w:tc>
        <w:tc>
          <w:tcPr>
            <w:tcW w:w="628" w:type="pct"/>
          </w:tcPr>
          <w:p w:rsidR="00A66D97" w:rsidRPr="00E803F6" w:rsidRDefault="00A66D97" w:rsidP="00346776">
            <w:pPr>
              <w:ind w:right="113"/>
              <w:jc w:val="right"/>
              <w:rPr>
                <w:rFonts w:ascii="Times New Roman" w:eastAsia="Times New Roman" w:hAnsi="Times New Roman" w:cs="Times New Roman"/>
                <w:sz w:val="20"/>
                <w:szCs w:val="20"/>
              </w:rPr>
            </w:pPr>
            <w:r w:rsidRPr="00E803F6">
              <w:rPr>
                <w:rFonts w:ascii="Times New Roman" w:eastAsia="Times New Roman" w:hAnsi="Times New Roman" w:cs="Times New Roman"/>
                <w:sz w:val="20"/>
                <w:szCs w:val="20"/>
              </w:rPr>
              <w:t>101,5</w:t>
            </w:r>
          </w:p>
        </w:tc>
        <w:tc>
          <w:tcPr>
            <w:tcW w:w="550" w:type="pct"/>
            <w:tcBorders>
              <w:right w:val="single" w:sz="4" w:space="0" w:color="auto"/>
            </w:tcBorders>
          </w:tcPr>
          <w:p w:rsidR="00A66D97" w:rsidRPr="00E803F6" w:rsidRDefault="00A66D97" w:rsidP="00346776">
            <w:pPr>
              <w:ind w:right="113"/>
              <w:jc w:val="right"/>
              <w:rPr>
                <w:rFonts w:ascii="Times New Roman" w:eastAsia="Times New Roman" w:hAnsi="Times New Roman" w:cs="Times New Roman"/>
                <w:sz w:val="20"/>
                <w:szCs w:val="20"/>
              </w:rPr>
            </w:pPr>
            <w:r w:rsidRPr="00E803F6">
              <w:rPr>
                <w:rFonts w:ascii="Times New Roman" w:eastAsia="Times New Roman" w:hAnsi="Times New Roman" w:cs="Times New Roman"/>
                <w:sz w:val="20"/>
                <w:szCs w:val="20"/>
              </w:rPr>
              <w:t>102,2</w:t>
            </w:r>
          </w:p>
        </w:tc>
        <w:tc>
          <w:tcPr>
            <w:tcW w:w="745" w:type="pct"/>
          </w:tcPr>
          <w:p w:rsidR="00A66D97" w:rsidRPr="00E803F6" w:rsidRDefault="00A66D97" w:rsidP="00346776">
            <w:pPr>
              <w:ind w:right="113"/>
              <w:jc w:val="right"/>
              <w:rPr>
                <w:rFonts w:ascii="Times New Roman" w:eastAsia="Times New Roman" w:hAnsi="Times New Roman" w:cs="Times New Roman"/>
                <w:sz w:val="20"/>
                <w:szCs w:val="20"/>
              </w:rPr>
            </w:pPr>
            <w:r w:rsidRPr="00E803F6">
              <w:rPr>
                <w:rFonts w:ascii="Times New Roman" w:eastAsia="Times New Roman" w:hAnsi="Times New Roman" w:cs="Times New Roman"/>
                <w:sz w:val="20"/>
                <w:szCs w:val="20"/>
              </w:rPr>
              <w:t>103</w:t>
            </w:r>
            <w:r>
              <w:rPr>
                <w:rFonts w:ascii="Times New Roman" w:eastAsia="Times New Roman" w:hAnsi="Times New Roman" w:cs="Times New Roman"/>
                <w:sz w:val="20"/>
                <w:szCs w:val="20"/>
              </w:rPr>
              <w:t>,0</w:t>
            </w:r>
          </w:p>
        </w:tc>
        <w:tc>
          <w:tcPr>
            <w:tcW w:w="743" w:type="pct"/>
            <w:tcBorders>
              <w:right w:val="single" w:sz="4" w:space="0" w:color="auto"/>
            </w:tcBorders>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108,7</w:t>
            </w:r>
          </w:p>
        </w:tc>
      </w:tr>
      <w:tr w:rsidR="00A66D97" w:rsidRPr="00040929" w:rsidTr="00346776">
        <w:trPr>
          <w:jc w:val="center"/>
        </w:trPr>
        <w:tc>
          <w:tcPr>
            <w:tcW w:w="1706" w:type="pct"/>
          </w:tcPr>
          <w:p w:rsidR="00A66D97" w:rsidRPr="00040929" w:rsidRDefault="00A66D97" w:rsidP="00040929">
            <w:pPr>
              <w:rPr>
                <w:rFonts w:ascii="Times New Roman" w:eastAsia="Times New Roman" w:hAnsi="Times New Roman" w:cs="Times New Roman"/>
                <w:color w:val="000000"/>
                <w:sz w:val="20"/>
                <w:szCs w:val="20"/>
              </w:rPr>
            </w:pPr>
            <w:r w:rsidRPr="00040929">
              <w:rPr>
                <w:rFonts w:ascii="Times New Roman" w:eastAsia="Times New Roman" w:hAnsi="Times New Roman" w:cs="Times New Roman"/>
                <w:color w:val="000000"/>
                <w:sz w:val="20"/>
                <w:szCs w:val="20"/>
              </w:rPr>
              <w:t xml:space="preserve">           bezp. nośniki energii</w:t>
            </w:r>
          </w:p>
        </w:tc>
        <w:tc>
          <w:tcPr>
            <w:tcW w:w="628" w:type="pct"/>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94,4</w:t>
            </w:r>
          </w:p>
        </w:tc>
        <w:tc>
          <w:tcPr>
            <w:tcW w:w="628" w:type="pct"/>
          </w:tcPr>
          <w:p w:rsidR="00A66D97" w:rsidRPr="00E803F6" w:rsidRDefault="00A66D97" w:rsidP="00346776">
            <w:pPr>
              <w:ind w:right="113"/>
              <w:jc w:val="right"/>
              <w:rPr>
                <w:rFonts w:ascii="Times New Roman" w:eastAsia="Times New Roman" w:hAnsi="Times New Roman" w:cs="Times New Roman"/>
                <w:sz w:val="20"/>
                <w:szCs w:val="20"/>
              </w:rPr>
            </w:pPr>
            <w:r w:rsidRPr="00E803F6">
              <w:rPr>
                <w:rFonts w:ascii="Times New Roman" w:eastAsia="Times New Roman" w:hAnsi="Times New Roman" w:cs="Times New Roman"/>
                <w:sz w:val="20"/>
                <w:szCs w:val="20"/>
              </w:rPr>
              <w:t>95,1</w:t>
            </w:r>
          </w:p>
        </w:tc>
        <w:tc>
          <w:tcPr>
            <w:tcW w:w="550" w:type="pct"/>
            <w:tcBorders>
              <w:right w:val="single" w:sz="4" w:space="0" w:color="auto"/>
            </w:tcBorders>
          </w:tcPr>
          <w:p w:rsidR="00A66D97" w:rsidRPr="00E803F6" w:rsidRDefault="00A66D97" w:rsidP="00346776">
            <w:pPr>
              <w:ind w:right="113"/>
              <w:jc w:val="right"/>
              <w:rPr>
                <w:rFonts w:ascii="Times New Roman" w:eastAsia="Times New Roman" w:hAnsi="Times New Roman" w:cs="Times New Roman"/>
                <w:sz w:val="20"/>
                <w:szCs w:val="20"/>
              </w:rPr>
            </w:pPr>
            <w:r w:rsidRPr="00E803F6">
              <w:rPr>
                <w:rFonts w:ascii="Times New Roman" w:eastAsia="Times New Roman" w:hAnsi="Times New Roman" w:cs="Times New Roman"/>
                <w:sz w:val="20"/>
                <w:szCs w:val="20"/>
              </w:rPr>
              <w:t>98,6</w:t>
            </w:r>
          </w:p>
        </w:tc>
        <w:tc>
          <w:tcPr>
            <w:tcW w:w="745" w:type="pct"/>
          </w:tcPr>
          <w:p w:rsidR="00A66D97" w:rsidRPr="00E803F6" w:rsidRDefault="00A66D97" w:rsidP="00346776">
            <w:pPr>
              <w:ind w:right="113"/>
              <w:jc w:val="right"/>
              <w:rPr>
                <w:rFonts w:ascii="Times New Roman" w:eastAsia="Times New Roman" w:hAnsi="Times New Roman" w:cs="Times New Roman"/>
                <w:sz w:val="20"/>
                <w:szCs w:val="20"/>
              </w:rPr>
            </w:pPr>
            <w:r w:rsidRPr="00E803F6">
              <w:rPr>
                <w:rFonts w:ascii="Times New Roman" w:eastAsia="Times New Roman" w:hAnsi="Times New Roman" w:cs="Times New Roman"/>
                <w:sz w:val="20"/>
                <w:szCs w:val="20"/>
              </w:rPr>
              <w:t>100,9</w:t>
            </w:r>
          </w:p>
        </w:tc>
        <w:tc>
          <w:tcPr>
            <w:tcW w:w="743" w:type="pct"/>
            <w:tcBorders>
              <w:right w:val="single" w:sz="4" w:space="0" w:color="auto"/>
            </w:tcBorders>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100,0</w:t>
            </w:r>
          </w:p>
        </w:tc>
      </w:tr>
      <w:tr w:rsidR="00A66D97" w:rsidRPr="00040929" w:rsidTr="00346776">
        <w:trPr>
          <w:jc w:val="center"/>
        </w:trPr>
        <w:tc>
          <w:tcPr>
            <w:tcW w:w="1706" w:type="pct"/>
          </w:tcPr>
          <w:p w:rsidR="00A66D97" w:rsidRPr="00040929" w:rsidRDefault="00A66D97" w:rsidP="00040929">
            <w:pPr>
              <w:rPr>
                <w:rFonts w:ascii="Times New Roman" w:eastAsia="Times New Roman" w:hAnsi="Times New Roman" w:cs="Times New Roman"/>
                <w:color w:val="000000"/>
                <w:sz w:val="20"/>
                <w:szCs w:val="20"/>
              </w:rPr>
            </w:pPr>
            <w:r w:rsidRPr="00040929">
              <w:rPr>
                <w:rFonts w:ascii="Times New Roman" w:eastAsia="Times New Roman" w:hAnsi="Times New Roman" w:cs="Times New Roman"/>
                <w:color w:val="000000"/>
                <w:sz w:val="20"/>
                <w:szCs w:val="20"/>
              </w:rPr>
              <w:t xml:space="preserve">           </w:t>
            </w:r>
            <w:r w:rsidR="005767E1">
              <w:rPr>
                <w:rFonts w:ascii="Times New Roman" w:eastAsia="Times New Roman" w:hAnsi="Times New Roman" w:cs="Times New Roman"/>
                <w:color w:val="000000"/>
                <w:sz w:val="20"/>
                <w:szCs w:val="20"/>
              </w:rPr>
              <w:t>m</w:t>
            </w:r>
            <w:r w:rsidRPr="00040929">
              <w:rPr>
                <w:rFonts w:ascii="Times New Roman" w:eastAsia="Times New Roman" w:hAnsi="Times New Roman" w:cs="Times New Roman"/>
                <w:color w:val="000000"/>
                <w:sz w:val="20"/>
                <w:szCs w:val="20"/>
              </w:rPr>
              <w:t>aszyny</w:t>
            </w:r>
          </w:p>
        </w:tc>
        <w:tc>
          <w:tcPr>
            <w:tcW w:w="628" w:type="pct"/>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103,5</w:t>
            </w:r>
          </w:p>
        </w:tc>
        <w:tc>
          <w:tcPr>
            <w:tcW w:w="628" w:type="pct"/>
          </w:tcPr>
          <w:p w:rsidR="00A66D97" w:rsidRPr="00E803F6" w:rsidRDefault="00A66D97" w:rsidP="00346776">
            <w:pPr>
              <w:ind w:right="113"/>
              <w:jc w:val="right"/>
              <w:rPr>
                <w:rFonts w:ascii="Times New Roman" w:eastAsia="Times New Roman" w:hAnsi="Times New Roman" w:cs="Times New Roman"/>
                <w:sz w:val="20"/>
                <w:szCs w:val="20"/>
              </w:rPr>
            </w:pPr>
            <w:r w:rsidRPr="00E803F6">
              <w:rPr>
                <w:rFonts w:ascii="Times New Roman" w:eastAsia="Times New Roman" w:hAnsi="Times New Roman" w:cs="Times New Roman"/>
                <w:sz w:val="20"/>
                <w:szCs w:val="20"/>
              </w:rPr>
              <w:t>102,2</w:t>
            </w:r>
          </w:p>
        </w:tc>
        <w:tc>
          <w:tcPr>
            <w:tcW w:w="550" w:type="pct"/>
            <w:tcBorders>
              <w:right w:val="single" w:sz="4" w:space="0" w:color="auto"/>
            </w:tcBorders>
          </w:tcPr>
          <w:p w:rsidR="00A66D97" w:rsidRPr="00E803F6" w:rsidRDefault="00A66D97" w:rsidP="00346776">
            <w:pPr>
              <w:ind w:right="113"/>
              <w:jc w:val="right"/>
              <w:rPr>
                <w:rFonts w:ascii="Times New Roman" w:eastAsia="Times New Roman" w:hAnsi="Times New Roman" w:cs="Times New Roman"/>
                <w:sz w:val="20"/>
                <w:szCs w:val="20"/>
              </w:rPr>
            </w:pPr>
            <w:r w:rsidRPr="00E803F6">
              <w:rPr>
                <w:rFonts w:ascii="Times New Roman" w:eastAsia="Times New Roman" w:hAnsi="Times New Roman" w:cs="Times New Roman"/>
                <w:sz w:val="20"/>
                <w:szCs w:val="20"/>
              </w:rPr>
              <w:t>103,5</w:t>
            </w:r>
          </w:p>
        </w:tc>
        <w:tc>
          <w:tcPr>
            <w:tcW w:w="745" w:type="pct"/>
          </w:tcPr>
          <w:p w:rsidR="00A66D97" w:rsidRPr="00E803F6" w:rsidRDefault="00A66D97" w:rsidP="00346776">
            <w:pPr>
              <w:ind w:right="113"/>
              <w:jc w:val="right"/>
              <w:rPr>
                <w:rFonts w:ascii="Times New Roman" w:eastAsia="Times New Roman" w:hAnsi="Times New Roman" w:cs="Times New Roman"/>
                <w:sz w:val="20"/>
                <w:szCs w:val="20"/>
              </w:rPr>
            </w:pPr>
            <w:r w:rsidRPr="00E803F6">
              <w:rPr>
                <w:rFonts w:ascii="Times New Roman" w:eastAsia="Times New Roman" w:hAnsi="Times New Roman" w:cs="Times New Roman"/>
                <w:sz w:val="20"/>
                <w:szCs w:val="20"/>
              </w:rPr>
              <w:t>105</w:t>
            </w:r>
            <w:r>
              <w:rPr>
                <w:rFonts w:ascii="Times New Roman" w:eastAsia="Times New Roman" w:hAnsi="Times New Roman" w:cs="Times New Roman"/>
                <w:sz w:val="20"/>
                <w:szCs w:val="20"/>
              </w:rPr>
              <w:t>,0</w:t>
            </w:r>
          </w:p>
        </w:tc>
        <w:tc>
          <w:tcPr>
            <w:tcW w:w="743" w:type="pct"/>
            <w:tcBorders>
              <w:right w:val="single" w:sz="4" w:space="0" w:color="auto"/>
            </w:tcBorders>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121,2</w:t>
            </w:r>
          </w:p>
        </w:tc>
      </w:tr>
      <w:tr w:rsidR="00A66D97" w:rsidRPr="00040929" w:rsidTr="00346776">
        <w:trPr>
          <w:jc w:val="center"/>
        </w:trPr>
        <w:tc>
          <w:tcPr>
            <w:tcW w:w="1706" w:type="pct"/>
          </w:tcPr>
          <w:p w:rsidR="00A66D97" w:rsidRPr="00040929" w:rsidRDefault="00A66D97" w:rsidP="00040929">
            <w:pPr>
              <w:rPr>
                <w:rFonts w:ascii="Times New Roman" w:eastAsia="Times New Roman" w:hAnsi="Times New Roman" w:cs="Times New Roman"/>
                <w:color w:val="000000"/>
                <w:sz w:val="20"/>
                <w:szCs w:val="20"/>
              </w:rPr>
            </w:pPr>
            <w:r w:rsidRPr="00040929">
              <w:rPr>
                <w:rFonts w:ascii="Times New Roman" w:eastAsia="Times New Roman" w:hAnsi="Times New Roman" w:cs="Times New Roman"/>
                <w:color w:val="000000"/>
                <w:sz w:val="20"/>
                <w:szCs w:val="20"/>
              </w:rPr>
              <w:t xml:space="preserve">           materiały budowlane</w:t>
            </w:r>
          </w:p>
        </w:tc>
        <w:tc>
          <w:tcPr>
            <w:tcW w:w="628" w:type="pct"/>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97,7</w:t>
            </w:r>
          </w:p>
        </w:tc>
        <w:tc>
          <w:tcPr>
            <w:tcW w:w="628" w:type="pct"/>
          </w:tcPr>
          <w:p w:rsidR="00A66D97" w:rsidRPr="00E803F6" w:rsidRDefault="00A66D97" w:rsidP="00346776">
            <w:pPr>
              <w:ind w:right="113"/>
              <w:jc w:val="right"/>
              <w:rPr>
                <w:rFonts w:ascii="Times New Roman" w:eastAsia="Times New Roman" w:hAnsi="Times New Roman" w:cs="Times New Roman"/>
                <w:sz w:val="20"/>
                <w:szCs w:val="20"/>
              </w:rPr>
            </w:pPr>
            <w:r w:rsidRPr="00E803F6">
              <w:rPr>
                <w:rFonts w:ascii="Times New Roman" w:eastAsia="Times New Roman" w:hAnsi="Times New Roman" w:cs="Times New Roman"/>
                <w:sz w:val="20"/>
                <w:szCs w:val="20"/>
              </w:rPr>
              <w:t>99,3</w:t>
            </w:r>
          </w:p>
        </w:tc>
        <w:tc>
          <w:tcPr>
            <w:tcW w:w="550" w:type="pct"/>
            <w:tcBorders>
              <w:right w:val="single" w:sz="4" w:space="0" w:color="auto"/>
            </w:tcBorders>
          </w:tcPr>
          <w:p w:rsidR="00A66D97" w:rsidRPr="00E803F6" w:rsidRDefault="00A66D97" w:rsidP="00346776">
            <w:pPr>
              <w:ind w:right="113"/>
              <w:jc w:val="right"/>
              <w:rPr>
                <w:rFonts w:ascii="Times New Roman" w:eastAsia="Times New Roman" w:hAnsi="Times New Roman" w:cs="Times New Roman"/>
                <w:sz w:val="20"/>
                <w:szCs w:val="20"/>
              </w:rPr>
            </w:pPr>
            <w:r w:rsidRPr="00E803F6">
              <w:rPr>
                <w:rFonts w:ascii="Times New Roman" w:eastAsia="Times New Roman" w:hAnsi="Times New Roman" w:cs="Times New Roman"/>
                <w:sz w:val="20"/>
                <w:szCs w:val="20"/>
              </w:rPr>
              <w:t>99,7</w:t>
            </w:r>
          </w:p>
        </w:tc>
        <w:tc>
          <w:tcPr>
            <w:tcW w:w="745" w:type="pct"/>
          </w:tcPr>
          <w:p w:rsidR="00A66D97" w:rsidRPr="00E803F6" w:rsidRDefault="00A66D97" w:rsidP="00346776">
            <w:pPr>
              <w:ind w:right="113"/>
              <w:jc w:val="right"/>
              <w:rPr>
                <w:rFonts w:ascii="Times New Roman" w:eastAsia="Times New Roman" w:hAnsi="Times New Roman" w:cs="Times New Roman"/>
                <w:sz w:val="20"/>
                <w:szCs w:val="20"/>
              </w:rPr>
            </w:pPr>
            <w:r w:rsidRPr="00E803F6">
              <w:rPr>
                <w:rFonts w:ascii="Times New Roman" w:eastAsia="Times New Roman" w:hAnsi="Times New Roman" w:cs="Times New Roman"/>
                <w:sz w:val="20"/>
                <w:szCs w:val="20"/>
              </w:rPr>
              <w:t>101,3</w:t>
            </w:r>
          </w:p>
        </w:tc>
        <w:tc>
          <w:tcPr>
            <w:tcW w:w="743" w:type="pct"/>
            <w:tcBorders>
              <w:right w:val="single" w:sz="4" w:space="0" w:color="auto"/>
            </w:tcBorders>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104,3</w:t>
            </w:r>
          </w:p>
        </w:tc>
      </w:tr>
      <w:tr w:rsidR="00A66D97" w:rsidRPr="00040929" w:rsidTr="00346776">
        <w:trPr>
          <w:jc w:val="center"/>
        </w:trPr>
        <w:tc>
          <w:tcPr>
            <w:tcW w:w="1706" w:type="pct"/>
          </w:tcPr>
          <w:p w:rsidR="00A66D97" w:rsidRPr="00040929" w:rsidRDefault="00A66D97" w:rsidP="00040929">
            <w:pPr>
              <w:rPr>
                <w:rFonts w:ascii="Times New Roman" w:eastAsia="Times New Roman" w:hAnsi="Times New Roman" w:cs="Times New Roman"/>
                <w:b/>
                <w:color w:val="000000"/>
                <w:sz w:val="20"/>
                <w:szCs w:val="20"/>
              </w:rPr>
            </w:pPr>
            <w:r w:rsidRPr="00040929">
              <w:rPr>
                <w:rFonts w:ascii="Times New Roman" w:eastAsia="Times New Roman" w:hAnsi="Times New Roman" w:cs="Times New Roman"/>
                <w:b/>
                <w:color w:val="000000"/>
                <w:sz w:val="20"/>
                <w:szCs w:val="20"/>
              </w:rPr>
              <w:t>Nożyce cen koszyka skupu</w:t>
            </w:r>
          </w:p>
        </w:tc>
        <w:tc>
          <w:tcPr>
            <w:tcW w:w="628" w:type="pct"/>
            <w:vAlign w:val="bottom"/>
          </w:tcPr>
          <w:p w:rsidR="00A66D97" w:rsidRPr="00A66D97" w:rsidRDefault="00A66D97" w:rsidP="00A66D97">
            <w:pPr>
              <w:ind w:right="113"/>
              <w:jc w:val="right"/>
              <w:rPr>
                <w:rFonts w:ascii="Times New Roman" w:eastAsia="Times New Roman" w:hAnsi="Times New Roman" w:cs="Times New Roman"/>
                <w:b/>
                <w:bCs/>
                <w:sz w:val="20"/>
                <w:szCs w:val="20"/>
              </w:rPr>
            </w:pPr>
            <w:r w:rsidRPr="00A66D97">
              <w:rPr>
                <w:rFonts w:ascii="Times New Roman" w:eastAsia="Times New Roman" w:hAnsi="Times New Roman" w:cs="Times New Roman"/>
                <w:b/>
                <w:bCs/>
                <w:sz w:val="20"/>
                <w:szCs w:val="20"/>
              </w:rPr>
              <w:t>95,3</w:t>
            </w:r>
          </w:p>
        </w:tc>
        <w:tc>
          <w:tcPr>
            <w:tcW w:w="628" w:type="pct"/>
          </w:tcPr>
          <w:p w:rsidR="00A66D97" w:rsidRPr="009508A0" w:rsidRDefault="00A66D97" w:rsidP="00346776">
            <w:pPr>
              <w:ind w:right="113"/>
              <w:jc w:val="right"/>
              <w:rPr>
                <w:rFonts w:ascii="Times New Roman" w:eastAsia="Times New Roman" w:hAnsi="Times New Roman" w:cs="Times New Roman"/>
                <w:b/>
                <w:bCs/>
                <w:sz w:val="20"/>
                <w:szCs w:val="20"/>
              </w:rPr>
            </w:pPr>
            <w:r w:rsidRPr="009508A0">
              <w:rPr>
                <w:rFonts w:ascii="Times New Roman" w:eastAsia="Times New Roman" w:hAnsi="Times New Roman" w:cs="Times New Roman"/>
                <w:b/>
                <w:bCs/>
                <w:sz w:val="20"/>
                <w:szCs w:val="20"/>
              </w:rPr>
              <w:t>89,7</w:t>
            </w:r>
          </w:p>
        </w:tc>
        <w:tc>
          <w:tcPr>
            <w:tcW w:w="550" w:type="pct"/>
            <w:tcBorders>
              <w:right w:val="single" w:sz="4" w:space="0" w:color="auto"/>
            </w:tcBorders>
          </w:tcPr>
          <w:p w:rsidR="00A66D97" w:rsidRPr="009508A0" w:rsidRDefault="00A66D97" w:rsidP="00346776">
            <w:pPr>
              <w:ind w:right="113"/>
              <w:jc w:val="right"/>
              <w:rPr>
                <w:rFonts w:ascii="Times New Roman" w:eastAsia="Times New Roman" w:hAnsi="Times New Roman" w:cs="Times New Roman"/>
                <w:b/>
                <w:bCs/>
                <w:sz w:val="20"/>
                <w:szCs w:val="20"/>
              </w:rPr>
            </w:pPr>
            <w:r w:rsidRPr="009508A0">
              <w:rPr>
                <w:rFonts w:ascii="Times New Roman" w:eastAsia="Times New Roman" w:hAnsi="Times New Roman" w:cs="Times New Roman"/>
                <w:b/>
                <w:bCs/>
                <w:sz w:val="20"/>
                <w:szCs w:val="20"/>
              </w:rPr>
              <w:t>104,8</w:t>
            </w:r>
          </w:p>
        </w:tc>
        <w:tc>
          <w:tcPr>
            <w:tcW w:w="745" w:type="pct"/>
          </w:tcPr>
          <w:p w:rsidR="00A66D97" w:rsidRPr="009508A0" w:rsidRDefault="00A66D97" w:rsidP="00346776">
            <w:pPr>
              <w:ind w:right="113"/>
              <w:jc w:val="right"/>
              <w:rPr>
                <w:rFonts w:ascii="Times New Roman" w:eastAsia="Times New Roman" w:hAnsi="Times New Roman" w:cs="Times New Roman"/>
                <w:b/>
                <w:bCs/>
                <w:sz w:val="20"/>
                <w:szCs w:val="20"/>
              </w:rPr>
            </w:pPr>
            <w:r w:rsidRPr="009508A0">
              <w:rPr>
                <w:rFonts w:ascii="Times New Roman" w:eastAsia="Times New Roman" w:hAnsi="Times New Roman" w:cs="Times New Roman"/>
                <w:b/>
                <w:bCs/>
                <w:sz w:val="20"/>
                <w:szCs w:val="20"/>
              </w:rPr>
              <w:t>96,6</w:t>
            </w:r>
          </w:p>
        </w:tc>
        <w:tc>
          <w:tcPr>
            <w:tcW w:w="743" w:type="pct"/>
            <w:tcBorders>
              <w:right w:val="single" w:sz="4" w:space="0" w:color="auto"/>
            </w:tcBorders>
            <w:vAlign w:val="bottom"/>
          </w:tcPr>
          <w:p w:rsidR="00A66D97" w:rsidRPr="00A66D97" w:rsidRDefault="00A66D97" w:rsidP="00A66D97">
            <w:pPr>
              <w:ind w:right="113"/>
              <w:jc w:val="right"/>
              <w:rPr>
                <w:rFonts w:ascii="Times New Roman" w:eastAsia="Times New Roman" w:hAnsi="Times New Roman" w:cs="Times New Roman"/>
                <w:b/>
                <w:bCs/>
                <w:sz w:val="20"/>
                <w:szCs w:val="20"/>
              </w:rPr>
            </w:pPr>
            <w:r w:rsidRPr="00A66D97">
              <w:rPr>
                <w:rFonts w:ascii="Times New Roman" w:eastAsia="Times New Roman" w:hAnsi="Times New Roman" w:cs="Times New Roman"/>
                <w:b/>
                <w:bCs/>
                <w:sz w:val="20"/>
                <w:szCs w:val="20"/>
              </w:rPr>
              <w:t>94,1</w:t>
            </w:r>
          </w:p>
        </w:tc>
      </w:tr>
      <w:tr w:rsidR="00A66D97" w:rsidRPr="00040929" w:rsidTr="00346776">
        <w:trPr>
          <w:jc w:val="center"/>
        </w:trPr>
        <w:tc>
          <w:tcPr>
            <w:tcW w:w="1706" w:type="pct"/>
          </w:tcPr>
          <w:p w:rsidR="00A66D97" w:rsidRPr="00040929" w:rsidRDefault="00A66D97" w:rsidP="00040929">
            <w:pPr>
              <w:rPr>
                <w:rFonts w:ascii="Times New Roman" w:eastAsia="Times New Roman" w:hAnsi="Times New Roman" w:cs="Times New Roman"/>
                <w:b/>
                <w:color w:val="000000"/>
                <w:sz w:val="20"/>
                <w:szCs w:val="20"/>
              </w:rPr>
            </w:pPr>
            <w:r w:rsidRPr="00040929">
              <w:rPr>
                <w:rFonts w:ascii="Times New Roman" w:eastAsia="Times New Roman" w:hAnsi="Times New Roman" w:cs="Times New Roman"/>
                <w:b/>
                <w:color w:val="000000"/>
                <w:sz w:val="20"/>
                <w:szCs w:val="20"/>
              </w:rPr>
              <w:t>Koszyk skupu</w:t>
            </w:r>
          </w:p>
        </w:tc>
        <w:tc>
          <w:tcPr>
            <w:tcW w:w="628" w:type="pct"/>
            <w:vAlign w:val="bottom"/>
          </w:tcPr>
          <w:p w:rsidR="00A66D97" w:rsidRPr="00A66D97" w:rsidRDefault="00A66D97" w:rsidP="00A66D97">
            <w:pPr>
              <w:ind w:right="113"/>
              <w:jc w:val="right"/>
              <w:rPr>
                <w:rFonts w:ascii="Times New Roman" w:eastAsia="Times New Roman" w:hAnsi="Times New Roman" w:cs="Times New Roman"/>
                <w:b/>
                <w:bCs/>
                <w:sz w:val="20"/>
                <w:szCs w:val="20"/>
              </w:rPr>
            </w:pPr>
            <w:r w:rsidRPr="00A66D97">
              <w:rPr>
                <w:rFonts w:ascii="Times New Roman" w:eastAsia="Times New Roman" w:hAnsi="Times New Roman" w:cs="Times New Roman"/>
                <w:b/>
                <w:bCs/>
                <w:sz w:val="20"/>
                <w:szCs w:val="20"/>
              </w:rPr>
              <w:t>94,8</w:t>
            </w:r>
          </w:p>
        </w:tc>
        <w:tc>
          <w:tcPr>
            <w:tcW w:w="628" w:type="pct"/>
          </w:tcPr>
          <w:p w:rsidR="00A66D97" w:rsidRPr="009508A0" w:rsidRDefault="00A66D97" w:rsidP="00346776">
            <w:pPr>
              <w:ind w:right="113"/>
              <w:jc w:val="right"/>
              <w:rPr>
                <w:rFonts w:ascii="Times New Roman" w:eastAsia="Times New Roman" w:hAnsi="Times New Roman" w:cs="Times New Roman"/>
                <w:b/>
                <w:bCs/>
                <w:sz w:val="20"/>
                <w:szCs w:val="20"/>
              </w:rPr>
            </w:pPr>
            <w:r w:rsidRPr="009508A0">
              <w:rPr>
                <w:rFonts w:ascii="Times New Roman" w:eastAsia="Times New Roman" w:hAnsi="Times New Roman" w:cs="Times New Roman"/>
                <w:b/>
                <w:bCs/>
                <w:sz w:val="20"/>
                <w:szCs w:val="20"/>
              </w:rPr>
              <w:t>88,1</w:t>
            </w:r>
          </w:p>
        </w:tc>
        <w:tc>
          <w:tcPr>
            <w:tcW w:w="550" w:type="pct"/>
            <w:tcBorders>
              <w:right w:val="single" w:sz="4" w:space="0" w:color="auto"/>
            </w:tcBorders>
          </w:tcPr>
          <w:p w:rsidR="00A66D97" w:rsidRPr="009508A0" w:rsidRDefault="00A66D97" w:rsidP="00346776">
            <w:pPr>
              <w:ind w:right="113"/>
              <w:jc w:val="right"/>
              <w:rPr>
                <w:rFonts w:ascii="Times New Roman" w:eastAsia="Times New Roman" w:hAnsi="Times New Roman" w:cs="Times New Roman"/>
                <w:b/>
                <w:bCs/>
                <w:sz w:val="20"/>
                <w:szCs w:val="20"/>
              </w:rPr>
            </w:pPr>
            <w:r w:rsidRPr="009508A0">
              <w:rPr>
                <w:rFonts w:ascii="Times New Roman" w:eastAsia="Times New Roman" w:hAnsi="Times New Roman" w:cs="Times New Roman"/>
                <w:b/>
                <w:bCs/>
                <w:sz w:val="20"/>
                <w:szCs w:val="20"/>
              </w:rPr>
              <w:t>104,5</w:t>
            </w:r>
          </w:p>
        </w:tc>
        <w:tc>
          <w:tcPr>
            <w:tcW w:w="745" w:type="pct"/>
          </w:tcPr>
          <w:p w:rsidR="00A66D97" w:rsidRPr="009508A0" w:rsidRDefault="00A66D97" w:rsidP="00346776">
            <w:pPr>
              <w:ind w:right="113"/>
              <w:jc w:val="right"/>
              <w:rPr>
                <w:rFonts w:ascii="Times New Roman" w:eastAsia="Times New Roman" w:hAnsi="Times New Roman" w:cs="Times New Roman"/>
                <w:b/>
                <w:bCs/>
                <w:sz w:val="20"/>
                <w:szCs w:val="20"/>
              </w:rPr>
            </w:pPr>
            <w:r w:rsidRPr="009508A0">
              <w:rPr>
                <w:rFonts w:ascii="Times New Roman" w:eastAsia="Times New Roman" w:hAnsi="Times New Roman" w:cs="Times New Roman"/>
                <w:b/>
                <w:bCs/>
                <w:sz w:val="20"/>
                <w:szCs w:val="20"/>
              </w:rPr>
              <w:t>99,5</w:t>
            </w:r>
          </w:p>
        </w:tc>
        <w:tc>
          <w:tcPr>
            <w:tcW w:w="743" w:type="pct"/>
            <w:tcBorders>
              <w:right w:val="single" w:sz="4" w:space="0" w:color="auto"/>
            </w:tcBorders>
            <w:vAlign w:val="bottom"/>
          </w:tcPr>
          <w:p w:rsidR="00A66D97" w:rsidRPr="00A66D97" w:rsidRDefault="00A66D97" w:rsidP="00A66D97">
            <w:pPr>
              <w:ind w:right="113"/>
              <w:jc w:val="right"/>
              <w:rPr>
                <w:rFonts w:ascii="Times New Roman" w:eastAsia="Times New Roman" w:hAnsi="Times New Roman" w:cs="Times New Roman"/>
                <w:b/>
                <w:bCs/>
                <w:sz w:val="20"/>
                <w:szCs w:val="20"/>
              </w:rPr>
            </w:pPr>
            <w:r w:rsidRPr="00A66D97">
              <w:rPr>
                <w:rFonts w:ascii="Times New Roman" w:eastAsia="Times New Roman" w:hAnsi="Times New Roman" w:cs="Times New Roman"/>
                <w:b/>
                <w:bCs/>
                <w:sz w:val="20"/>
                <w:szCs w:val="20"/>
              </w:rPr>
              <w:t>102,3</w:t>
            </w:r>
          </w:p>
        </w:tc>
      </w:tr>
      <w:tr w:rsidR="00A66D97" w:rsidRPr="00040929" w:rsidTr="00346776">
        <w:trPr>
          <w:jc w:val="center"/>
        </w:trPr>
        <w:tc>
          <w:tcPr>
            <w:tcW w:w="1706" w:type="pct"/>
          </w:tcPr>
          <w:p w:rsidR="00A66D97" w:rsidRPr="00040929" w:rsidRDefault="00A66D97" w:rsidP="00040929">
            <w:pPr>
              <w:rPr>
                <w:rFonts w:ascii="Times New Roman" w:eastAsia="Times New Roman" w:hAnsi="Times New Roman" w:cs="Times New Roman"/>
                <w:color w:val="000000"/>
                <w:sz w:val="20"/>
                <w:szCs w:val="20"/>
              </w:rPr>
            </w:pPr>
            <w:r w:rsidRPr="00040929">
              <w:rPr>
                <w:rFonts w:ascii="Times New Roman" w:eastAsia="Times New Roman" w:hAnsi="Times New Roman" w:cs="Times New Roman"/>
                <w:color w:val="000000"/>
                <w:sz w:val="20"/>
                <w:szCs w:val="20"/>
              </w:rPr>
              <w:t>w tym pszenica</w:t>
            </w:r>
          </w:p>
        </w:tc>
        <w:tc>
          <w:tcPr>
            <w:tcW w:w="628" w:type="pct"/>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100,9</w:t>
            </w:r>
          </w:p>
        </w:tc>
        <w:tc>
          <w:tcPr>
            <w:tcW w:w="628" w:type="pct"/>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88,4</w:t>
            </w:r>
          </w:p>
        </w:tc>
        <w:tc>
          <w:tcPr>
            <w:tcW w:w="550" w:type="pct"/>
            <w:tcBorders>
              <w:right w:val="single" w:sz="4" w:space="0" w:color="auto"/>
            </w:tcBorders>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74,8</w:t>
            </w:r>
          </w:p>
        </w:tc>
        <w:tc>
          <w:tcPr>
            <w:tcW w:w="745" w:type="pct"/>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133,9</w:t>
            </w:r>
          </w:p>
        </w:tc>
        <w:tc>
          <w:tcPr>
            <w:tcW w:w="743" w:type="pct"/>
            <w:tcBorders>
              <w:right w:val="single" w:sz="4" w:space="0" w:color="auto"/>
            </w:tcBorders>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87,0</w:t>
            </w:r>
          </w:p>
        </w:tc>
      </w:tr>
      <w:tr w:rsidR="00A66D97" w:rsidRPr="00040929" w:rsidTr="00346776">
        <w:trPr>
          <w:jc w:val="center"/>
        </w:trPr>
        <w:tc>
          <w:tcPr>
            <w:tcW w:w="1706" w:type="pct"/>
          </w:tcPr>
          <w:p w:rsidR="00A66D97" w:rsidRPr="00040929" w:rsidRDefault="00A66D97" w:rsidP="00040929">
            <w:pPr>
              <w:rPr>
                <w:rFonts w:ascii="Times New Roman" w:eastAsia="Times New Roman" w:hAnsi="Times New Roman" w:cs="Times New Roman"/>
                <w:color w:val="000000"/>
                <w:sz w:val="20"/>
                <w:szCs w:val="20"/>
              </w:rPr>
            </w:pPr>
            <w:r w:rsidRPr="00040929">
              <w:rPr>
                <w:rFonts w:ascii="Times New Roman" w:eastAsia="Times New Roman" w:hAnsi="Times New Roman" w:cs="Times New Roman"/>
                <w:color w:val="000000"/>
                <w:sz w:val="20"/>
                <w:szCs w:val="20"/>
              </w:rPr>
              <w:t xml:space="preserve">           </w:t>
            </w:r>
            <w:r w:rsidR="005767E1">
              <w:rPr>
                <w:rFonts w:ascii="Times New Roman" w:eastAsia="Times New Roman" w:hAnsi="Times New Roman" w:cs="Times New Roman"/>
                <w:color w:val="000000"/>
                <w:sz w:val="20"/>
                <w:szCs w:val="20"/>
              </w:rPr>
              <w:t>ż</w:t>
            </w:r>
            <w:r w:rsidRPr="00040929">
              <w:rPr>
                <w:rFonts w:ascii="Times New Roman" w:eastAsia="Times New Roman" w:hAnsi="Times New Roman" w:cs="Times New Roman"/>
                <w:color w:val="000000"/>
                <w:sz w:val="20"/>
                <w:szCs w:val="20"/>
              </w:rPr>
              <w:t>yto</w:t>
            </w:r>
          </w:p>
        </w:tc>
        <w:tc>
          <w:tcPr>
            <w:tcW w:w="628" w:type="pct"/>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105,3</w:t>
            </w:r>
          </w:p>
        </w:tc>
        <w:tc>
          <w:tcPr>
            <w:tcW w:w="628" w:type="pct"/>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92,1</w:t>
            </w:r>
          </w:p>
        </w:tc>
        <w:tc>
          <w:tcPr>
            <w:tcW w:w="550" w:type="pct"/>
            <w:tcBorders>
              <w:right w:val="single" w:sz="4" w:space="0" w:color="auto"/>
            </w:tcBorders>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76</w:t>
            </w:r>
          </w:p>
        </w:tc>
        <w:tc>
          <w:tcPr>
            <w:tcW w:w="745" w:type="pct"/>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93,5</w:t>
            </w:r>
          </w:p>
        </w:tc>
        <w:tc>
          <w:tcPr>
            <w:tcW w:w="743" w:type="pct"/>
            <w:tcBorders>
              <w:right w:val="single" w:sz="4" w:space="0" w:color="auto"/>
            </w:tcBorders>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89,0</w:t>
            </w:r>
          </w:p>
        </w:tc>
      </w:tr>
      <w:tr w:rsidR="00A66D97" w:rsidRPr="00040929" w:rsidTr="00346776">
        <w:trPr>
          <w:jc w:val="center"/>
        </w:trPr>
        <w:tc>
          <w:tcPr>
            <w:tcW w:w="1706" w:type="pct"/>
          </w:tcPr>
          <w:p w:rsidR="00A66D97" w:rsidRPr="00040929" w:rsidRDefault="00A66D97" w:rsidP="00040929">
            <w:pPr>
              <w:rPr>
                <w:rFonts w:ascii="Times New Roman" w:eastAsia="Times New Roman" w:hAnsi="Times New Roman" w:cs="Times New Roman"/>
                <w:color w:val="000000"/>
                <w:sz w:val="20"/>
                <w:szCs w:val="20"/>
              </w:rPr>
            </w:pPr>
            <w:r w:rsidRPr="00040929">
              <w:rPr>
                <w:rFonts w:ascii="Times New Roman" w:eastAsia="Times New Roman" w:hAnsi="Times New Roman" w:cs="Times New Roman"/>
                <w:color w:val="000000"/>
                <w:sz w:val="20"/>
                <w:szCs w:val="20"/>
              </w:rPr>
              <w:t xml:space="preserve">           </w:t>
            </w:r>
            <w:r w:rsidR="005767E1">
              <w:rPr>
                <w:rFonts w:ascii="Times New Roman" w:eastAsia="Times New Roman" w:hAnsi="Times New Roman" w:cs="Times New Roman"/>
                <w:color w:val="000000"/>
                <w:sz w:val="20"/>
                <w:szCs w:val="20"/>
              </w:rPr>
              <w:t>j</w:t>
            </w:r>
            <w:r w:rsidRPr="00040929">
              <w:rPr>
                <w:rFonts w:ascii="Times New Roman" w:eastAsia="Times New Roman" w:hAnsi="Times New Roman" w:cs="Times New Roman"/>
                <w:color w:val="000000"/>
                <w:sz w:val="20"/>
                <w:szCs w:val="20"/>
              </w:rPr>
              <w:t>ęczmień</w:t>
            </w:r>
          </w:p>
        </w:tc>
        <w:tc>
          <w:tcPr>
            <w:tcW w:w="628" w:type="pct"/>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104,3</w:t>
            </w:r>
          </w:p>
        </w:tc>
        <w:tc>
          <w:tcPr>
            <w:tcW w:w="628" w:type="pct"/>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79,4</w:t>
            </w:r>
          </w:p>
        </w:tc>
        <w:tc>
          <w:tcPr>
            <w:tcW w:w="550" w:type="pct"/>
            <w:tcBorders>
              <w:right w:val="single" w:sz="4" w:space="0" w:color="auto"/>
            </w:tcBorders>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88,8</w:t>
            </w:r>
          </w:p>
        </w:tc>
        <w:tc>
          <w:tcPr>
            <w:tcW w:w="745" w:type="pct"/>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114,2</w:t>
            </w:r>
          </w:p>
        </w:tc>
        <w:tc>
          <w:tcPr>
            <w:tcW w:w="743" w:type="pct"/>
            <w:tcBorders>
              <w:right w:val="single" w:sz="4" w:space="0" w:color="auto"/>
            </w:tcBorders>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98,0</w:t>
            </w:r>
          </w:p>
        </w:tc>
      </w:tr>
      <w:tr w:rsidR="00A66D97" w:rsidRPr="00040929" w:rsidTr="00346776">
        <w:trPr>
          <w:jc w:val="center"/>
        </w:trPr>
        <w:tc>
          <w:tcPr>
            <w:tcW w:w="1706" w:type="pct"/>
          </w:tcPr>
          <w:p w:rsidR="00A66D97" w:rsidRPr="00040929" w:rsidRDefault="00A66D97" w:rsidP="00C43E9E">
            <w:pPr>
              <w:rPr>
                <w:rFonts w:ascii="Times New Roman" w:eastAsia="Times New Roman" w:hAnsi="Times New Roman" w:cs="Times New Roman"/>
                <w:color w:val="000000"/>
                <w:sz w:val="20"/>
                <w:szCs w:val="20"/>
              </w:rPr>
            </w:pPr>
            <w:r w:rsidRPr="00040929">
              <w:rPr>
                <w:rFonts w:ascii="Times New Roman" w:eastAsia="Times New Roman" w:hAnsi="Times New Roman" w:cs="Times New Roman"/>
                <w:color w:val="000000"/>
                <w:sz w:val="20"/>
                <w:szCs w:val="20"/>
              </w:rPr>
              <w:t xml:space="preserve">           </w:t>
            </w:r>
            <w:r w:rsidR="00C43E9E">
              <w:rPr>
                <w:rFonts w:ascii="Times New Roman" w:eastAsia="Times New Roman" w:hAnsi="Times New Roman" w:cs="Times New Roman"/>
                <w:color w:val="000000"/>
                <w:sz w:val="20"/>
                <w:szCs w:val="20"/>
              </w:rPr>
              <w:t>k</w:t>
            </w:r>
            <w:r w:rsidRPr="00040929">
              <w:rPr>
                <w:rFonts w:ascii="Times New Roman" w:eastAsia="Times New Roman" w:hAnsi="Times New Roman" w:cs="Times New Roman"/>
                <w:color w:val="000000"/>
                <w:sz w:val="20"/>
                <w:szCs w:val="20"/>
              </w:rPr>
              <w:t>ukurydza</w:t>
            </w:r>
          </w:p>
        </w:tc>
        <w:tc>
          <w:tcPr>
            <w:tcW w:w="628" w:type="pct"/>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127,2</w:t>
            </w:r>
          </w:p>
        </w:tc>
        <w:tc>
          <w:tcPr>
            <w:tcW w:w="628" w:type="pct"/>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80,6</w:t>
            </w:r>
          </w:p>
        </w:tc>
        <w:tc>
          <w:tcPr>
            <w:tcW w:w="550" w:type="pct"/>
            <w:tcBorders>
              <w:right w:val="single" w:sz="4" w:space="0" w:color="auto"/>
            </w:tcBorders>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79,2</w:t>
            </w:r>
          </w:p>
        </w:tc>
        <w:tc>
          <w:tcPr>
            <w:tcW w:w="745" w:type="pct"/>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118,4</w:t>
            </w:r>
          </w:p>
        </w:tc>
        <w:tc>
          <w:tcPr>
            <w:tcW w:w="743" w:type="pct"/>
            <w:tcBorders>
              <w:right w:val="single" w:sz="4" w:space="0" w:color="auto"/>
            </w:tcBorders>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96,9</w:t>
            </w:r>
          </w:p>
        </w:tc>
      </w:tr>
      <w:tr w:rsidR="00A66D97" w:rsidRPr="00040929" w:rsidTr="00346776">
        <w:trPr>
          <w:jc w:val="center"/>
        </w:trPr>
        <w:tc>
          <w:tcPr>
            <w:tcW w:w="1706" w:type="pct"/>
          </w:tcPr>
          <w:p w:rsidR="00A66D97" w:rsidRPr="00040929" w:rsidRDefault="00A66D97" w:rsidP="00040929">
            <w:pPr>
              <w:rPr>
                <w:rFonts w:ascii="Times New Roman" w:eastAsia="Times New Roman" w:hAnsi="Times New Roman" w:cs="Times New Roman"/>
                <w:color w:val="000000"/>
                <w:sz w:val="20"/>
                <w:szCs w:val="20"/>
              </w:rPr>
            </w:pPr>
            <w:r w:rsidRPr="00040929">
              <w:rPr>
                <w:rFonts w:ascii="Times New Roman" w:eastAsia="Times New Roman" w:hAnsi="Times New Roman" w:cs="Times New Roman"/>
                <w:color w:val="000000"/>
                <w:sz w:val="20"/>
                <w:szCs w:val="20"/>
              </w:rPr>
              <w:t xml:space="preserve">           </w:t>
            </w:r>
            <w:r w:rsidR="00C43E9E">
              <w:rPr>
                <w:rFonts w:ascii="Times New Roman" w:eastAsia="Times New Roman" w:hAnsi="Times New Roman" w:cs="Times New Roman"/>
                <w:color w:val="000000"/>
                <w:sz w:val="20"/>
                <w:szCs w:val="20"/>
              </w:rPr>
              <w:t>z</w:t>
            </w:r>
            <w:r w:rsidRPr="00040929">
              <w:rPr>
                <w:rFonts w:ascii="Times New Roman" w:eastAsia="Times New Roman" w:hAnsi="Times New Roman" w:cs="Times New Roman"/>
                <w:color w:val="000000"/>
                <w:sz w:val="20"/>
                <w:szCs w:val="20"/>
              </w:rPr>
              <w:t>iemniaki</w:t>
            </w:r>
          </w:p>
        </w:tc>
        <w:tc>
          <w:tcPr>
            <w:tcW w:w="628" w:type="pct"/>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131,0</w:t>
            </w:r>
          </w:p>
        </w:tc>
        <w:tc>
          <w:tcPr>
            <w:tcW w:w="628" w:type="pct"/>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70,9</w:t>
            </w:r>
          </w:p>
        </w:tc>
        <w:tc>
          <w:tcPr>
            <w:tcW w:w="550" w:type="pct"/>
            <w:tcBorders>
              <w:right w:val="single" w:sz="4" w:space="0" w:color="auto"/>
            </w:tcBorders>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125,6</w:t>
            </w:r>
          </w:p>
        </w:tc>
        <w:tc>
          <w:tcPr>
            <w:tcW w:w="745" w:type="pct"/>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122,3</w:t>
            </w:r>
          </w:p>
        </w:tc>
        <w:tc>
          <w:tcPr>
            <w:tcW w:w="743" w:type="pct"/>
            <w:tcBorders>
              <w:right w:val="single" w:sz="4" w:space="0" w:color="auto"/>
            </w:tcBorders>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131,1</w:t>
            </w:r>
          </w:p>
        </w:tc>
      </w:tr>
      <w:tr w:rsidR="00A66D97" w:rsidRPr="00040929" w:rsidTr="00346776">
        <w:trPr>
          <w:jc w:val="center"/>
        </w:trPr>
        <w:tc>
          <w:tcPr>
            <w:tcW w:w="1706" w:type="pct"/>
          </w:tcPr>
          <w:p w:rsidR="00A66D97" w:rsidRPr="00040929" w:rsidRDefault="00A66D97" w:rsidP="00040929">
            <w:pPr>
              <w:rPr>
                <w:rFonts w:ascii="Times New Roman" w:eastAsia="Times New Roman" w:hAnsi="Times New Roman" w:cs="Times New Roman"/>
                <w:color w:val="000000"/>
                <w:sz w:val="20"/>
                <w:szCs w:val="20"/>
              </w:rPr>
            </w:pPr>
            <w:r w:rsidRPr="00040929">
              <w:rPr>
                <w:rFonts w:ascii="Times New Roman" w:eastAsia="Times New Roman" w:hAnsi="Times New Roman" w:cs="Times New Roman"/>
                <w:color w:val="000000"/>
                <w:sz w:val="20"/>
                <w:szCs w:val="20"/>
              </w:rPr>
              <w:t xml:space="preserve">           </w:t>
            </w:r>
            <w:r w:rsidR="00C43E9E">
              <w:rPr>
                <w:rFonts w:ascii="Times New Roman" w:eastAsia="Times New Roman" w:hAnsi="Times New Roman" w:cs="Times New Roman"/>
                <w:color w:val="000000"/>
                <w:sz w:val="20"/>
                <w:szCs w:val="20"/>
              </w:rPr>
              <w:t>b</w:t>
            </w:r>
            <w:r w:rsidRPr="00040929">
              <w:rPr>
                <w:rFonts w:ascii="Times New Roman" w:eastAsia="Times New Roman" w:hAnsi="Times New Roman" w:cs="Times New Roman"/>
                <w:color w:val="000000"/>
                <w:sz w:val="20"/>
                <w:szCs w:val="20"/>
              </w:rPr>
              <w:t>ydło</w:t>
            </w:r>
          </w:p>
        </w:tc>
        <w:tc>
          <w:tcPr>
            <w:tcW w:w="628" w:type="pct"/>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107,2</w:t>
            </w:r>
          </w:p>
        </w:tc>
        <w:tc>
          <w:tcPr>
            <w:tcW w:w="628" w:type="pct"/>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94,3</w:t>
            </w:r>
          </w:p>
        </w:tc>
        <w:tc>
          <w:tcPr>
            <w:tcW w:w="550" w:type="pct"/>
            <w:tcBorders>
              <w:right w:val="single" w:sz="4" w:space="0" w:color="auto"/>
            </w:tcBorders>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92,7</w:t>
            </w:r>
          </w:p>
        </w:tc>
        <w:tc>
          <w:tcPr>
            <w:tcW w:w="745" w:type="pct"/>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103,6</w:t>
            </w:r>
          </w:p>
        </w:tc>
        <w:tc>
          <w:tcPr>
            <w:tcW w:w="743" w:type="pct"/>
            <w:tcBorders>
              <w:right w:val="single" w:sz="4" w:space="0" w:color="auto"/>
            </w:tcBorders>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119,5</w:t>
            </w:r>
          </w:p>
        </w:tc>
      </w:tr>
      <w:tr w:rsidR="00A66D97" w:rsidRPr="00040929" w:rsidTr="00346776">
        <w:trPr>
          <w:jc w:val="center"/>
        </w:trPr>
        <w:tc>
          <w:tcPr>
            <w:tcW w:w="1706" w:type="pct"/>
          </w:tcPr>
          <w:p w:rsidR="00A66D97" w:rsidRPr="00040929" w:rsidRDefault="00C43E9E" w:rsidP="0004092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w:t>
            </w:r>
            <w:r w:rsidR="00A66D97" w:rsidRPr="00040929">
              <w:rPr>
                <w:rFonts w:ascii="Times New Roman" w:eastAsia="Times New Roman" w:hAnsi="Times New Roman" w:cs="Times New Roman"/>
                <w:color w:val="000000"/>
                <w:sz w:val="20"/>
                <w:szCs w:val="20"/>
              </w:rPr>
              <w:t>rzoda chlewna</w:t>
            </w:r>
          </w:p>
        </w:tc>
        <w:tc>
          <w:tcPr>
            <w:tcW w:w="628" w:type="pct"/>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92,3</w:t>
            </w:r>
          </w:p>
        </w:tc>
        <w:tc>
          <w:tcPr>
            <w:tcW w:w="628" w:type="pct"/>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78,8</w:t>
            </w:r>
          </w:p>
        </w:tc>
        <w:tc>
          <w:tcPr>
            <w:tcW w:w="550" w:type="pct"/>
            <w:tcBorders>
              <w:right w:val="single" w:sz="4" w:space="0" w:color="auto"/>
            </w:tcBorders>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98,5</w:t>
            </w:r>
          </w:p>
        </w:tc>
        <w:tc>
          <w:tcPr>
            <w:tcW w:w="745" w:type="pct"/>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96,1</w:t>
            </w:r>
          </w:p>
        </w:tc>
        <w:tc>
          <w:tcPr>
            <w:tcW w:w="743" w:type="pct"/>
            <w:tcBorders>
              <w:right w:val="single" w:sz="4" w:space="0" w:color="auto"/>
            </w:tcBorders>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98,7</w:t>
            </w:r>
          </w:p>
        </w:tc>
      </w:tr>
      <w:tr w:rsidR="00A66D97" w:rsidRPr="00040929" w:rsidTr="00346776">
        <w:trPr>
          <w:jc w:val="center"/>
        </w:trPr>
        <w:tc>
          <w:tcPr>
            <w:tcW w:w="1706" w:type="pct"/>
          </w:tcPr>
          <w:p w:rsidR="00A66D97" w:rsidRPr="00040929" w:rsidRDefault="00A66D97" w:rsidP="00C43E9E">
            <w:pPr>
              <w:rPr>
                <w:rFonts w:ascii="Times New Roman" w:eastAsia="Times New Roman" w:hAnsi="Times New Roman" w:cs="Times New Roman"/>
                <w:color w:val="000000"/>
                <w:sz w:val="20"/>
                <w:szCs w:val="20"/>
              </w:rPr>
            </w:pPr>
            <w:r w:rsidRPr="00040929">
              <w:rPr>
                <w:rFonts w:ascii="Times New Roman" w:eastAsia="Times New Roman" w:hAnsi="Times New Roman" w:cs="Times New Roman"/>
                <w:color w:val="000000"/>
                <w:sz w:val="20"/>
                <w:szCs w:val="20"/>
              </w:rPr>
              <w:t xml:space="preserve">           </w:t>
            </w:r>
            <w:r w:rsidR="00C43E9E">
              <w:rPr>
                <w:rFonts w:ascii="Times New Roman" w:eastAsia="Times New Roman" w:hAnsi="Times New Roman" w:cs="Times New Roman"/>
                <w:color w:val="000000"/>
                <w:sz w:val="20"/>
                <w:szCs w:val="20"/>
              </w:rPr>
              <w:t>d</w:t>
            </w:r>
            <w:r w:rsidRPr="00040929">
              <w:rPr>
                <w:rFonts w:ascii="Times New Roman" w:eastAsia="Times New Roman" w:hAnsi="Times New Roman" w:cs="Times New Roman"/>
                <w:color w:val="000000"/>
                <w:sz w:val="20"/>
                <w:szCs w:val="20"/>
              </w:rPr>
              <w:t>rób</w:t>
            </w:r>
          </w:p>
        </w:tc>
        <w:tc>
          <w:tcPr>
            <w:tcW w:w="628" w:type="pct"/>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93,0</w:t>
            </w:r>
          </w:p>
        </w:tc>
        <w:tc>
          <w:tcPr>
            <w:tcW w:w="628" w:type="pct"/>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100</w:t>
            </w:r>
          </w:p>
        </w:tc>
        <w:tc>
          <w:tcPr>
            <w:tcW w:w="550" w:type="pct"/>
            <w:tcBorders>
              <w:right w:val="single" w:sz="4" w:space="0" w:color="auto"/>
            </w:tcBorders>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98,3</w:t>
            </w:r>
          </w:p>
        </w:tc>
        <w:tc>
          <w:tcPr>
            <w:tcW w:w="745" w:type="pct"/>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93,6</w:t>
            </w:r>
          </w:p>
        </w:tc>
        <w:tc>
          <w:tcPr>
            <w:tcW w:w="743" w:type="pct"/>
            <w:tcBorders>
              <w:right w:val="single" w:sz="4" w:space="0" w:color="auto"/>
            </w:tcBorders>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109,4</w:t>
            </w:r>
          </w:p>
        </w:tc>
      </w:tr>
      <w:tr w:rsidR="00A66D97" w:rsidRPr="00040929" w:rsidTr="00346776">
        <w:trPr>
          <w:jc w:val="center"/>
        </w:trPr>
        <w:tc>
          <w:tcPr>
            <w:tcW w:w="1706" w:type="pct"/>
          </w:tcPr>
          <w:p w:rsidR="00A66D97" w:rsidRPr="00040929" w:rsidRDefault="00A66D97" w:rsidP="00040929">
            <w:pPr>
              <w:rPr>
                <w:rFonts w:ascii="Times New Roman" w:eastAsia="Times New Roman" w:hAnsi="Times New Roman" w:cs="Times New Roman"/>
                <w:color w:val="000000"/>
                <w:sz w:val="20"/>
                <w:szCs w:val="20"/>
              </w:rPr>
            </w:pPr>
            <w:r w:rsidRPr="00040929">
              <w:rPr>
                <w:rFonts w:ascii="Times New Roman" w:eastAsia="Times New Roman" w:hAnsi="Times New Roman" w:cs="Times New Roman"/>
                <w:color w:val="000000"/>
                <w:sz w:val="20"/>
                <w:szCs w:val="20"/>
              </w:rPr>
              <w:t xml:space="preserve">           </w:t>
            </w:r>
            <w:r w:rsidR="00C43E9E">
              <w:rPr>
                <w:rFonts w:ascii="Times New Roman" w:eastAsia="Times New Roman" w:hAnsi="Times New Roman" w:cs="Times New Roman"/>
                <w:color w:val="000000"/>
                <w:sz w:val="20"/>
                <w:szCs w:val="20"/>
              </w:rPr>
              <w:t>c</w:t>
            </w:r>
            <w:r w:rsidRPr="00040929">
              <w:rPr>
                <w:rFonts w:ascii="Times New Roman" w:eastAsia="Times New Roman" w:hAnsi="Times New Roman" w:cs="Times New Roman"/>
                <w:color w:val="000000"/>
                <w:sz w:val="20"/>
                <w:szCs w:val="20"/>
              </w:rPr>
              <w:t>ielęta</w:t>
            </w:r>
          </w:p>
        </w:tc>
        <w:tc>
          <w:tcPr>
            <w:tcW w:w="628" w:type="pct"/>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100,7</w:t>
            </w:r>
          </w:p>
        </w:tc>
        <w:tc>
          <w:tcPr>
            <w:tcW w:w="628" w:type="pct"/>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101</w:t>
            </w:r>
          </w:p>
        </w:tc>
        <w:tc>
          <w:tcPr>
            <w:tcW w:w="550" w:type="pct"/>
            <w:tcBorders>
              <w:right w:val="single" w:sz="4" w:space="0" w:color="auto"/>
            </w:tcBorders>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89,7</w:t>
            </w:r>
          </w:p>
        </w:tc>
        <w:tc>
          <w:tcPr>
            <w:tcW w:w="745" w:type="pct"/>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108,5</w:t>
            </w:r>
          </w:p>
        </w:tc>
        <w:tc>
          <w:tcPr>
            <w:tcW w:w="743" w:type="pct"/>
            <w:tcBorders>
              <w:right w:val="single" w:sz="4" w:space="0" w:color="auto"/>
            </w:tcBorders>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131,3</w:t>
            </w:r>
          </w:p>
        </w:tc>
      </w:tr>
      <w:tr w:rsidR="00A66D97" w:rsidRPr="00040929" w:rsidTr="00346776">
        <w:trPr>
          <w:jc w:val="center"/>
        </w:trPr>
        <w:tc>
          <w:tcPr>
            <w:tcW w:w="1706" w:type="pct"/>
          </w:tcPr>
          <w:p w:rsidR="00A66D97" w:rsidRPr="00040929" w:rsidRDefault="00A66D97" w:rsidP="00B03946">
            <w:pPr>
              <w:rPr>
                <w:rFonts w:ascii="Times New Roman" w:eastAsia="Times New Roman" w:hAnsi="Times New Roman" w:cs="Times New Roman"/>
                <w:color w:val="000000"/>
                <w:sz w:val="20"/>
                <w:szCs w:val="20"/>
              </w:rPr>
            </w:pPr>
            <w:r w:rsidRPr="00040929">
              <w:rPr>
                <w:rFonts w:ascii="Times New Roman" w:eastAsia="Times New Roman" w:hAnsi="Times New Roman" w:cs="Times New Roman"/>
                <w:color w:val="000000"/>
                <w:sz w:val="20"/>
                <w:szCs w:val="20"/>
              </w:rPr>
              <w:t xml:space="preserve">           </w:t>
            </w:r>
            <w:r w:rsidR="00C43E9E">
              <w:rPr>
                <w:rFonts w:ascii="Times New Roman" w:eastAsia="Times New Roman" w:hAnsi="Times New Roman" w:cs="Times New Roman"/>
                <w:color w:val="000000"/>
                <w:sz w:val="20"/>
                <w:szCs w:val="20"/>
              </w:rPr>
              <w:t>m</w:t>
            </w:r>
            <w:r w:rsidRPr="00040929">
              <w:rPr>
                <w:rFonts w:ascii="Times New Roman" w:eastAsia="Times New Roman" w:hAnsi="Times New Roman" w:cs="Times New Roman"/>
                <w:color w:val="000000"/>
                <w:sz w:val="20"/>
                <w:szCs w:val="20"/>
              </w:rPr>
              <w:t>leko</w:t>
            </w:r>
          </w:p>
        </w:tc>
        <w:tc>
          <w:tcPr>
            <w:tcW w:w="628" w:type="pct"/>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91,4</w:t>
            </w:r>
          </w:p>
        </w:tc>
        <w:tc>
          <w:tcPr>
            <w:tcW w:w="628" w:type="pct"/>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80,2</w:t>
            </w:r>
          </w:p>
        </w:tc>
        <w:tc>
          <w:tcPr>
            <w:tcW w:w="550" w:type="pct"/>
            <w:tcBorders>
              <w:right w:val="single" w:sz="4" w:space="0" w:color="auto"/>
            </w:tcBorders>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122,4</w:t>
            </w:r>
          </w:p>
        </w:tc>
        <w:tc>
          <w:tcPr>
            <w:tcW w:w="745" w:type="pct"/>
          </w:tcPr>
          <w:p w:rsidR="00A66D97" w:rsidRPr="009508A0" w:rsidRDefault="00A66D97" w:rsidP="00346776">
            <w:pPr>
              <w:ind w:right="113"/>
              <w:jc w:val="right"/>
              <w:rPr>
                <w:rFonts w:ascii="Times New Roman" w:eastAsia="Times New Roman" w:hAnsi="Times New Roman" w:cs="Times New Roman"/>
                <w:sz w:val="20"/>
                <w:szCs w:val="20"/>
              </w:rPr>
            </w:pPr>
            <w:r w:rsidRPr="009508A0">
              <w:rPr>
                <w:rFonts w:ascii="Times New Roman" w:eastAsia="Times New Roman" w:hAnsi="Times New Roman" w:cs="Times New Roman"/>
                <w:sz w:val="20"/>
                <w:szCs w:val="20"/>
              </w:rPr>
              <w:t>97,2</w:t>
            </w:r>
          </w:p>
        </w:tc>
        <w:tc>
          <w:tcPr>
            <w:tcW w:w="743" w:type="pct"/>
            <w:tcBorders>
              <w:right w:val="single" w:sz="4" w:space="0" w:color="auto"/>
            </w:tcBorders>
            <w:vAlign w:val="bottom"/>
          </w:tcPr>
          <w:p w:rsidR="00A66D97" w:rsidRPr="00A66D97" w:rsidRDefault="00A66D97" w:rsidP="00A66D97">
            <w:pPr>
              <w:ind w:right="113"/>
              <w:jc w:val="right"/>
              <w:rPr>
                <w:rFonts w:ascii="Times New Roman" w:eastAsia="Times New Roman" w:hAnsi="Times New Roman" w:cs="Times New Roman"/>
                <w:sz w:val="20"/>
                <w:szCs w:val="20"/>
              </w:rPr>
            </w:pPr>
            <w:r w:rsidRPr="00A66D97">
              <w:rPr>
                <w:rFonts w:ascii="Times New Roman" w:eastAsia="Times New Roman" w:hAnsi="Times New Roman" w:cs="Times New Roman"/>
                <w:sz w:val="20"/>
                <w:szCs w:val="20"/>
              </w:rPr>
              <w:t>95,3</w:t>
            </w:r>
          </w:p>
        </w:tc>
      </w:tr>
    </w:tbl>
    <w:p w:rsidR="00040929" w:rsidRPr="00040929" w:rsidRDefault="00040929" w:rsidP="00040929">
      <w:pPr>
        <w:spacing w:before="40" w:after="0" w:line="240" w:lineRule="auto"/>
        <w:ind w:left="45"/>
        <w:jc w:val="both"/>
        <w:rPr>
          <w:rFonts w:ascii="Times New Roman" w:eastAsia="Times New Roman" w:hAnsi="Times New Roman" w:cs="Times New Roman"/>
          <w:i/>
          <w:iCs/>
          <w:sz w:val="20"/>
          <w:szCs w:val="20"/>
        </w:rPr>
      </w:pPr>
      <w:r w:rsidRPr="00B03946">
        <w:rPr>
          <w:rFonts w:ascii="Times New Roman" w:eastAsia="Times New Roman" w:hAnsi="Times New Roman" w:cs="Times New Roman"/>
          <w:b/>
          <w:iCs/>
          <w:sz w:val="20"/>
          <w:szCs w:val="20"/>
        </w:rPr>
        <w:t>Źród</w:t>
      </w:r>
      <w:r w:rsidR="006050E4" w:rsidRPr="00B03946">
        <w:rPr>
          <w:rFonts w:ascii="Times New Roman" w:eastAsia="Times New Roman" w:hAnsi="Times New Roman" w:cs="Times New Roman"/>
          <w:b/>
          <w:iCs/>
          <w:sz w:val="20"/>
          <w:szCs w:val="20"/>
        </w:rPr>
        <w:t>ło</w:t>
      </w:r>
      <w:r w:rsidR="00E803F6">
        <w:rPr>
          <w:rFonts w:ascii="Times New Roman" w:eastAsia="Times New Roman" w:hAnsi="Times New Roman" w:cs="Times New Roman"/>
          <w:i/>
          <w:iCs/>
          <w:sz w:val="20"/>
          <w:szCs w:val="20"/>
        </w:rPr>
        <w:t>: Rynek Rolny nr 2</w:t>
      </w:r>
      <w:r w:rsidR="00415AB8">
        <w:rPr>
          <w:rFonts w:ascii="Times New Roman" w:eastAsia="Times New Roman" w:hAnsi="Times New Roman" w:cs="Times New Roman"/>
          <w:i/>
          <w:iCs/>
          <w:sz w:val="20"/>
          <w:szCs w:val="20"/>
        </w:rPr>
        <w:t>/</w:t>
      </w:r>
      <w:r w:rsidR="00363DD9">
        <w:rPr>
          <w:rFonts w:ascii="Times New Roman" w:eastAsia="Times New Roman" w:hAnsi="Times New Roman" w:cs="Times New Roman"/>
          <w:i/>
          <w:iCs/>
          <w:sz w:val="20"/>
          <w:szCs w:val="20"/>
        </w:rPr>
        <w:t>2016</w:t>
      </w:r>
      <w:r w:rsidR="006050E4">
        <w:rPr>
          <w:rFonts w:ascii="Times New Roman" w:eastAsia="Times New Roman" w:hAnsi="Times New Roman" w:cs="Times New Roman"/>
          <w:i/>
          <w:iCs/>
          <w:sz w:val="20"/>
          <w:szCs w:val="20"/>
        </w:rPr>
        <w:t>r.</w:t>
      </w:r>
    </w:p>
    <w:p w:rsidR="00040929" w:rsidRDefault="00040929" w:rsidP="006B66D2">
      <w:pPr>
        <w:spacing w:after="0" w:line="264" w:lineRule="auto"/>
        <w:jc w:val="both"/>
        <w:rPr>
          <w:rFonts w:ascii="Times New Roman" w:eastAsia="Times New Roman" w:hAnsi="Times New Roman" w:cs="Times New Roman"/>
          <w:sz w:val="24"/>
          <w:szCs w:val="24"/>
        </w:rPr>
      </w:pPr>
    </w:p>
    <w:p w:rsidR="00C43E9E" w:rsidRDefault="00C43E9E" w:rsidP="006B66D2">
      <w:pPr>
        <w:spacing w:after="0" w:line="264" w:lineRule="auto"/>
        <w:jc w:val="both"/>
        <w:rPr>
          <w:rFonts w:ascii="Times New Roman" w:eastAsia="Times New Roman" w:hAnsi="Times New Roman" w:cs="Times New Roman"/>
          <w:sz w:val="24"/>
          <w:szCs w:val="24"/>
        </w:rPr>
      </w:pPr>
    </w:p>
    <w:p w:rsidR="00C43E9E" w:rsidRPr="00040929" w:rsidRDefault="00C43E9E" w:rsidP="006B66D2">
      <w:pPr>
        <w:spacing w:after="0" w:line="264" w:lineRule="auto"/>
        <w:jc w:val="both"/>
        <w:rPr>
          <w:rFonts w:ascii="Times New Roman" w:eastAsia="Times New Roman" w:hAnsi="Times New Roman" w:cs="Times New Roman"/>
          <w:sz w:val="24"/>
          <w:szCs w:val="24"/>
        </w:rPr>
      </w:pPr>
    </w:p>
    <w:p w:rsidR="00040929" w:rsidRDefault="008351E6" w:rsidP="008351E6">
      <w:pPr>
        <w:spacing w:after="60" w:line="240" w:lineRule="auto"/>
        <w:jc w:val="center"/>
        <w:rPr>
          <w:rFonts w:ascii="Times New Roman" w:eastAsia="Times New Roman" w:hAnsi="Times New Roman" w:cs="Times New Roman"/>
          <w:sz w:val="20"/>
          <w:szCs w:val="20"/>
        </w:rPr>
      </w:pPr>
      <w:r w:rsidRPr="008351E6">
        <w:rPr>
          <w:rFonts w:ascii="Times New Roman" w:eastAsia="Times New Roman" w:hAnsi="Times New Roman" w:cs="Times New Roman"/>
          <w:sz w:val="20"/>
          <w:szCs w:val="20"/>
        </w:rPr>
        <w:lastRenderedPageBreak/>
        <w:t>Wskaźniki obrazujące zmiany rynkowych uwarunkowań prod</w:t>
      </w:r>
      <w:r w:rsidR="00657F2B">
        <w:rPr>
          <w:rFonts w:ascii="Times New Roman" w:eastAsia="Times New Roman" w:hAnsi="Times New Roman" w:cs="Times New Roman"/>
          <w:sz w:val="20"/>
          <w:szCs w:val="20"/>
        </w:rPr>
        <w:t xml:space="preserve">ukcji w rolnictwie </w:t>
      </w:r>
    </w:p>
    <w:tbl>
      <w:tblPr>
        <w:tblW w:w="2082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7"/>
        <w:gridCol w:w="5207"/>
        <w:gridCol w:w="5207"/>
        <w:gridCol w:w="5208"/>
      </w:tblGrid>
      <w:tr w:rsidR="00852253" w:rsidTr="00852253">
        <w:trPr>
          <w:trHeight w:val="3851"/>
        </w:trPr>
        <w:tc>
          <w:tcPr>
            <w:tcW w:w="5207" w:type="dxa"/>
            <w:tcBorders>
              <w:top w:val="single" w:sz="4" w:space="0" w:color="auto"/>
              <w:left w:val="single" w:sz="4" w:space="0" w:color="auto"/>
              <w:bottom w:val="single" w:sz="4" w:space="0" w:color="auto"/>
              <w:right w:val="single" w:sz="4" w:space="0" w:color="auto"/>
            </w:tcBorders>
          </w:tcPr>
          <w:p w:rsidR="00852253" w:rsidRPr="00852253" w:rsidRDefault="00852253" w:rsidP="00852253">
            <w:pPr>
              <w:rPr>
                <w:rFonts w:ascii="Times New Roman" w:eastAsia="Times New Roman" w:hAnsi="Times New Roman" w:cs="Times New Roman"/>
                <w:b/>
                <w:bCs/>
                <w:sz w:val="20"/>
                <w:szCs w:val="20"/>
              </w:rPr>
            </w:pPr>
            <w:r w:rsidRPr="00852253">
              <w:rPr>
                <w:rFonts w:ascii="Times New Roman" w:eastAsia="Times New Roman" w:hAnsi="Times New Roman" w:cs="Times New Roman"/>
                <w:b/>
                <w:bCs/>
                <w:sz w:val="20"/>
                <w:szCs w:val="20"/>
              </w:rPr>
              <w:t>Rys. 1. Wyrównane wskaźniki koniunktury w rolnictwie</w:t>
            </w:r>
          </w:p>
          <w:p w:rsidR="00852253" w:rsidRPr="00852253" w:rsidRDefault="00852253" w:rsidP="00852253">
            <w:pPr>
              <w:rPr>
                <w:rFonts w:ascii="Times New Roman" w:eastAsia="Times New Roman" w:hAnsi="Times New Roman" w:cs="Times New Roman"/>
                <w:b/>
                <w:bCs/>
                <w:sz w:val="20"/>
                <w:szCs w:val="20"/>
              </w:rPr>
            </w:pPr>
            <w:r w:rsidRPr="00852253">
              <w:rPr>
                <w:rFonts w:ascii="Times New Roman" w:eastAsia="Times New Roman" w:hAnsi="Times New Roman" w:cs="Times New Roman"/>
                <w:b/>
                <w:bCs/>
                <w:noProof/>
                <w:sz w:val="20"/>
                <w:szCs w:val="20"/>
              </w:rPr>
              <w:drawing>
                <wp:inline distT="0" distB="0" distL="0" distR="0" wp14:anchorId="49D52D4E" wp14:editId="1237DFA8">
                  <wp:extent cx="3165475" cy="2327275"/>
                  <wp:effectExtent l="0" t="0" r="0" b="0"/>
                  <wp:docPr id="4" name="Wykres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5207" w:type="dxa"/>
            <w:tcBorders>
              <w:top w:val="single" w:sz="4" w:space="0" w:color="auto"/>
              <w:left w:val="single" w:sz="4" w:space="0" w:color="auto"/>
              <w:bottom w:val="single" w:sz="4" w:space="0" w:color="auto"/>
              <w:right w:val="single" w:sz="4" w:space="0" w:color="auto"/>
            </w:tcBorders>
          </w:tcPr>
          <w:p w:rsidR="00852253" w:rsidRPr="00852253" w:rsidRDefault="00852253" w:rsidP="00852253">
            <w:pPr>
              <w:rPr>
                <w:rFonts w:ascii="Times New Roman" w:eastAsia="Times New Roman" w:hAnsi="Times New Roman" w:cs="Times New Roman"/>
                <w:b/>
                <w:bCs/>
                <w:sz w:val="20"/>
                <w:szCs w:val="20"/>
              </w:rPr>
            </w:pPr>
            <w:r w:rsidRPr="00852253">
              <w:rPr>
                <w:rFonts w:ascii="Times New Roman" w:eastAsia="Times New Roman" w:hAnsi="Times New Roman" w:cs="Times New Roman"/>
                <w:b/>
                <w:bCs/>
                <w:sz w:val="20"/>
                <w:szCs w:val="20"/>
              </w:rPr>
              <w:t>Rys. 2. Wyrównane wskaźniki zmian cen</w:t>
            </w:r>
          </w:p>
          <w:p w:rsidR="00852253" w:rsidRPr="00852253" w:rsidRDefault="00852253" w:rsidP="00852253">
            <w:pPr>
              <w:rPr>
                <w:rFonts w:ascii="Times New Roman" w:eastAsia="Times New Roman" w:hAnsi="Times New Roman" w:cs="Times New Roman"/>
                <w:b/>
                <w:bCs/>
                <w:sz w:val="20"/>
                <w:szCs w:val="20"/>
              </w:rPr>
            </w:pPr>
            <w:r w:rsidRPr="00852253">
              <w:rPr>
                <w:rFonts w:ascii="Times New Roman" w:eastAsia="Times New Roman" w:hAnsi="Times New Roman" w:cs="Times New Roman"/>
                <w:b/>
                <w:bCs/>
                <w:noProof/>
                <w:sz w:val="20"/>
                <w:szCs w:val="20"/>
              </w:rPr>
              <w:drawing>
                <wp:inline distT="0" distB="0" distL="0" distR="0" wp14:anchorId="048BED1A" wp14:editId="0713B359">
                  <wp:extent cx="3172460" cy="2327275"/>
                  <wp:effectExtent l="0" t="0" r="0" b="0"/>
                  <wp:docPr id="3" name="Wykres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207" w:type="dxa"/>
            <w:tcBorders>
              <w:top w:val="single" w:sz="4" w:space="0" w:color="auto"/>
              <w:left w:val="single" w:sz="4" w:space="0" w:color="auto"/>
              <w:bottom w:val="single" w:sz="4" w:space="0" w:color="auto"/>
              <w:right w:val="single" w:sz="4" w:space="0" w:color="auto"/>
            </w:tcBorders>
          </w:tcPr>
          <w:p w:rsidR="00852253" w:rsidRPr="00852253" w:rsidRDefault="00852253" w:rsidP="00852253">
            <w:pPr>
              <w:jc w:val="both"/>
              <w:rPr>
                <w:rFonts w:ascii="Times New Roman" w:eastAsia="Times New Roman" w:hAnsi="Times New Roman" w:cs="Times New Roman"/>
                <w:b/>
                <w:bCs/>
                <w:sz w:val="20"/>
                <w:szCs w:val="20"/>
              </w:rPr>
            </w:pPr>
          </w:p>
        </w:tc>
        <w:tc>
          <w:tcPr>
            <w:tcW w:w="5208" w:type="dxa"/>
            <w:tcBorders>
              <w:top w:val="single" w:sz="4" w:space="0" w:color="auto"/>
              <w:left w:val="single" w:sz="4" w:space="0" w:color="auto"/>
              <w:bottom w:val="single" w:sz="4" w:space="0" w:color="auto"/>
              <w:right w:val="single" w:sz="4" w:space="0" w:color="auto"/>
            </w:tcBorders>
          </w:tcPr>
          <w:p w:rsidR="00852253" w:rsidRPr="00852253" w:rsidRDefault="00852253" w:rsidP="00852253">
            <w:pPr>
              <w:jc w:val="both"/>
              <w:rPr>
                <w:rFonts w:ascii="Times New Roman" w:eastAsia="Times New Roman" w:hAnsi="Times New Roman" w:cs="Times New Roman"/>
                <w:b/>
                <w:bCs/>
                <w:sz w:val="20"/>
                <w:szCs w:val="20"/>
              </w:rPr>
            </w:pPr>
          </w:p>
        </w:tc>
      </w:tr>
      <w:tr w:rsidR="00852253" w:rsidTr="00852253">
        <w:trPr>
          <w:trHeight w:val="3851"/>
        </w:trPr>
        <w:tc>
          <w:tcPr>
            <w:tcW w:w="5207" w:type="dxa"/>
            <w:tcBorders>
              <w:top w:val="single" w:sz="4" w:space="0" w:color="auto"/>
              <w:left w:val="single" w:sz="4" w:space="0" w:color="auto"/>
              <w:bottom w:val="single" w:sz="4" w:space="0" w:color="auto"/>
              <w:right w:val="single" w:sz="4" w:space="0" w:color="auto"/>
            </w:tcBorders>
          </w:tcPr>
          <w:p w:rsidR="00852253" w:rsidRPr="00852253" w:rsidRDefault="00852253" w:rsidP="00852253">
            <w:pPr>
              <w:rPr>
                <w:rFonts w:ascii="Times New Roman" w:eastAsia="Times New Roman" w:hAnsi="Times New Roman" w:cs="Times New Roman"/>
                <w:b/>
                <w:bCs/>
                <w:sz w:val="20"/>
                <w:szCs w:val="20"/>
              </w:rPr>
            </w:pPr>
            <w:r w:rsidRPr="00852253">
              <w:rPr>
                <w:rFonts w:ascii="Times New Roman" w:eastAsia="Times New Roman" w:hAnsi="Times New Roman" w:cs="Times New Roman"/>
                <w:b/>
                <w:bCs/>
                <w:sz w:val="20"/>
                <w:szCs w:val="20"/>
              </w:rPr>
              <w:t>Rys. 3. Wyrównane wskaźniki zmian cen</w:t>
            </w:r>
          </w:p>
          <w:p w:rsidR="00852253" w:rsidRPr="00852253" w:rsidRDefault="00852253" w:rsidP="00852253">
            <w:pPr>
              <w:rPr>
                <w:rFonts w:ascii="Times New Roman" w:eastAsia="Times New Roman" w:hAnsi="Times New Roman" w:cs="Times New Roman"/>
                <w:b/>
                <w:bCs/>
                <w:sz w:val="20"/>
                <w:szCs w:val="20"/>
              </w:rPr>
            </w:pPr>
            <w:r w:rsidRPr="00852253">
              <w:rPr>
                <w:rFonts w:ascii="Times New Roman" w:eastAsia="Times New Roman" w:hAnsi="Times New Roman" w:cs="Times New Roman"/>
                <w:b/>
                <w:bCs/>
                <w:noProof/>
                <w:sz w:val="20"/>
                <w:szCs w:val="20"/>
              </w:rPr>
              <w:drawing>
                <wp:inline distT="0" distB="0" distL="0" distR="0" wp14:anchorId="19D419F4" wp14:editId="78F45717">
                  <wp:extent cx="3145155" cy="2230755"/>
                  <wp:effectExtent l="0" t="0" r="0" b="0"/>
                  <wp:docPr id="2" name="Wykres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207" w:type="dxa"/>
            <w:tcBorders>
              <w:top w:val="single" w:sz="4" w:space="0" w:color="auto"/>
              <w:left w:val="single" w:sz="4" w:space="0" w:color="auto"/>
              <w:bottom w:val="single" w:sz="4" w:space="0" w:color="auto"/>
              <w:right w:val="single" w:sz="4" w:space="0" w:color="auto"/>
            </w:tcBorders>
          </w:tcPr>
          <w:p w:rsidR="00852253" w:rsidRPr="00852253" w:rsidRDefault="00852253" w:rsidP="00852253">
            <w:pPr>
              <w:rPr>
                <w:rFonts w:ascii="Times New Roman" w:eastAsia="Times New Roman" w:hAnsi="Times New Roman" w:cs="Times New Roman"/>
                <w:b/>
                <w:bCs/>
                <w:sz w:val="20"/>
                <w:szCs w:val="20"/>
              </w:rPr>
            </w:pPr>
            <w:r w:rsidRPr="00852253">
              <w:rPr>
                <w:rFonts w:ascii="Times New Roman" w:eastAsia="Times New Roman" w:hAnsi="Times New Roman" w:cs="Times New Roman"/>
                <w:b/>
                <w:bCs/>
                <w:sz w:val="20"/>
                <w:szCs w:val="20"/>
              </w:rPr>
              <w:t>Rys. 4. Skumulowany wskaźnik nożyc cen</w:t>
            </w:r>
          </w:p>
          <w:p w:rsidR="00852253" w:rsidRPr="00852253" w:rsidRDefault="00852253" w:rsidP="00852253">
            <w:pPr>
              <w:rPr>
                <w:rFonts w:ascii="Times New Roman" w:eastAsia="Times New Roman" w:hAnsi="Times New Roman" w:cs="Times New Roman"/>
                <w:b/>
                <w:bCs/>
                <w:sz w:val="20"/>
                <w:szCs w:val="20"/>
              </w:rPr>
            </w:pPr>
            <w:r w:rsidRPr="00852253">
              <w:rPr>
                <w:rFonts w:ascii="Times New Roman" w:eastAsia="Times New Roman" w:hAnsi="Times New Roman" w:cs="Times New Roman"/>
                <w:b/>
                <w:bCs/>
                <w:noProof/>
                <w:sz w:val="20"/>
                <w:szCs w:val="20"/>
              </w:rPr>
              <w:drawing>
                <wp:inline distT="0" distB="0" distL="0" distR="0" wp14:anchorId="50BE0910" wp14:editId="256E8075">
                  <wp:extent cx="3165475" cy="2168525"/>
                  <wp:effectExtent l="0" t="0" r="0" b="0"/>
                  <wp:docPr id="1" name="Wykres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5207" w:type="dxa"/>
            <w:tcBorders>
              <w:top w:val="single" w:sz="4" w:space="0" w:color="auto"/>
              <w:left w:val="single" w:sz="4" w:space="0" w:color="auto"/>
              <w:bottom w:val="single" w:sz="4" w:space="0" w:color="auto"/>
              <w:right w:val="single" w:sz="4" w:space="0" w:color="auto"/>
            </w:tcBorders>
          </w:tcPr>
          <w:p w:rsidR="00852253" w:rsidRPr="00852253" w:rsidRDefault="00852253" w:rsidP="00852253">
            <w:pPr>
              <w:jc w:val="both"/>
              <w:rPr>
                <w:rFonts w:ascii="Times New Roman" w:eastAsia="Times New Roman" w:hAnsi="Times New Roman" w:cs="Times New Roman"/>
                <w:b/>
                <w:bCs/>
                <w:sz w:val="20"/>
                <w:szCs w:val="20"/>
              </w:rPr>
            </w:pPr>
          </w:p>
        </w:tc>
        <w:tc>
          <w:tcPr>
            <w:tcW w:w="5208" w:type="dxa"/>
            <w:tcBorders>
              <w:top w:val="single" w:sz="4" w:space="0" w:color="auto"/>
              <w:left w:val="single" w:sz="4" w:space="0" w:color="auto"/>
              <w:bottom w:val="single" w:sz="4" w:space="0" w:color="auto"/>
              <w:right w:val="single" w:sz="4" w:space="0" w:color="auto"/>
            </w:tcBorders>
          </w:tcPr>
          <w:p w:rsidR="00852253" w:rsidRPr="00852253" w:rsidRDefault="00852253" w:rsidP="00852253">
            <w:pPr>
              <w:jc w:val="both"/>
              <w:rPr>
                <w:rFonts w:ascii="Times New Roman" w:eastAsia="Times New Roman" w:hAnsi="Times New Roman" w:cs="Times New Roman"/>
                <w:b/>
                <w:bCs/>
                <w:sz w:val="20"/>
                <w:szCs w:val="20"/>
              </w:rPr>
            </w:pPr>
          </w:p>
        </w:tc>
      </w:tr>
    </w:tbl>
    <w:p w:rsidR="00CD5CEA" w:rsidRPr="00040929" w:rsidRDefault="00CD5CEA" w:rsidP="003F129D">
      <w:pPr>
        <w:spacing w:after="0" w:line="240" w:lineRule="auto"/>
        <w:jc w:val="both"/>
        <w:rPr>
          <w:rFonts w:ascii="Times New Roman" w:eastAsia="Times New Roman" w:hAnsi="Times New Roman" w:cs="Times New Roman"/>
          <w:b/>
          <w:bCs/>
          <w:sz w:val="24"/>
          <w:szCs w:val="24"/>
        </w:rPr>
      </w:pPr>
    </w:p>
    <w:p w:rsidR="008351E6" w:rsidRDefault="006F10BF" w:rsidP="008351E6">
      <w:pPr>
        <w:spacing w:after="0" w:line="240" w:lineRule="auto"/>
        <w:jc w:val="right"/>
        <w:rPr>
          <w:rFonts w:ascii="Times New Roman" w:hAnsi="Times New Roman"/>
          <w:sz w:val="24"/>
          <w:szCs w:val="24"/>
        </w:rPr>
      </w:pPr>
      <w:r>
        <w:rPr>
          <w:rFonts w:ascii="Times New Roman" w:hAnsi="Times New Roman"/>
          <w:sz w:val="24"/>
          <w:szCs w:val="24"/>
        </w:rPr>
        <w:t>Tabela 2</w:t>
      </w:r>
    </w:p>
    <w:p w:rsidR="00040929" w:rsidRPr="00040929" w:rsidRDefault="00040929" w:rsidP="00040929">
      <w:pPr>
        <w:spacing w:after="120" w:line="240" w:lineRule="auto"/>
        <w:jc w:val="both"/>
        <w:rPr>
          <w:rFonts w:ascii="Times New Roman" w:hAnsi="Times New Roman"/>
          <w:sz w:val="24"/>
          <w:szCs w:val="24"/>
        </w:rPr>
      </w:pPr>
      <w:r w:rsidRPr="00040929">
        <w:rPr>
          <w:rFonts w:ascii="Times New Roman" w:hAnsi="Times New Roman"/>
          <w:sz w:val="24"/>
          <w:szCs w:val="24"/>
        </w:rPr>
        <w:t>Ceny skupu p</w:t>
      </w:r>
      <w:r w:rsidR="00E57464">
        <w:rPr>
          <w:rFonts w:ascii="Times New Roman" w:hAnsi="Times New Roman"/>
          <w:sz w:val="24"/>
          <w:szCs w:val="24"/>
        </w:rPr>
        <w:t>łodów rolnych w latach 201</w:t>
      </w:r>
      <w:r w:rsidR="00ED3492">
        <w:rPr>
          <w:rFonts w:ascii="Times New Roman" w:hAnsi="Times New Roman"/>
          <w:sz w:val="24"/>
          <w:szCs w:val="24"/>
        </w:rPr>
        <w:t>2-2015</w:t>
      </w:r>
      <w:r w:rsidRPr="00040929">
        <w:rPr>
          <w:rFonts w:ascii="Times New Roman" w:hAnsi="Times New Roman"/>
          <w:sz w:val="24"/>
          <w:szCs w:val="24"/>
        </w:rPr>
        <w:t xml:space="preserve"> (dane z miesiąca grudnia w zł) </w:t>
      </w:r>
    </w:p>
    <w:tbl>
      <w:tblPr>
        <w:tblW w:w="8653"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851"/>
        <w:gridCol w:w="590"/>
        <w:gridCol w:w="885"/>
        <w:gridCol w:w="1076"/>
        <w:gridCol w:w="993"/>
        <w:gridCol w:w="708"/>
        <w:gridCol w:w="851"/>
        <w:gridCol w:w="567"/>
        <w:gridCol w:w="709"/>
        <w:gridCol w:w="708"/>
      </w:tblGrid>
      <w:tr w:rsidR="00040929" w:rsidRPr="00040929" w:rsidTr="002A2404">
        <w:trPr>
          <w:trHeight w:val="285"/>
          <w:jc w:val="center"/>
        </w:trPr>
        <w:tc>
          <w:tcPr>
            <w:tcW w:w="715" w:type="dxa"/>
            <w:shd w:val="clear" w:color="auto" w:fill="auto"/>
            <w:noWrap/>
            <w:vAlign w:val="center"/>
            <w:hideMark/>
          </w:tcPr>
          <w:p w:rsidR="00040929" w:rsidRPr="00040929" w:rsidRDefault="00040929" w:rsidP="0068458B">
            <w:pPr>
              <w:spacing w:after="120" w:line="240" w:lineRule="auto"/>
              <w:jc w:val="center"/>
              <w:rPr>
                <w:rFonts w:ascii="Times New Roman" w:hAnsi="Times New Roman"/>
                <w:sz w:val="20"/>
                <w:szCs w:val="20"/>
              </w:rPr>
            </w:pPr>
            <w:r w:rsidRPr="00040929">
              <w:rPr>
                <w:rFonts w:ascii="Times New Roman" w:hAnsi="Times New Roman"/>
                <w:sz w:val="20"/>
                <w:szCs w:val="20"/>
              </w:rPr>
              <w:t>Lata</w:t>
            </w:r>
          </w:p>
        </w:tc>
        <w:tc>
          <w:tcPr>
            <w:tcW w:w="851" w:type="dxa"/>
            <w:shd w:val="clear" w:color="auto" w:fill="auto"/>
            <w:noWrap/>
            <w:vAlign w:val="center"/>
            <w:hideMark/>
          </w:tcPr>
          <w:p w:rsidR="00040929" w:rsidRPr="00040929" w:rsidRDefault="00040929" w:rsidP="0068458B">
            <w:pPr>
              <w:spacing w:after="120" w:line="240" w:lineRule="auto"/>
              <w:jc w:val="center"/>
              <w:rPr>
                <w:rFonts w:ascii="Times New Roman" w:hAnsi="Times New Roman"/>
                <w:sz w:val="20"/>
                <w:szCs w:val="20"/>
              </w:rPr>
            </w:pPr>
            <w:r w:rsidRPr="00040929">
              <w:rPr>
                <w:rFonts w:ascii="Times New Roman" w:hAnsi="Times New Roman"/>
                <w:sz w:val="20"/>
                <w:szCs w:val="20"/>
              </w:rPr>
              <w:t xml:space="preserve">Pszenica </w:t>
            </w:r>
            <w:r w:rsidRPr="00040929">
              <w:rPr>
                <w:rFonts w:ascii="Times New Roman" w:hAnsi="Times New Roman"/>
                <w:sz w:val="16"/>
                <w:szCs w:val="16"/>
              </w:rPr>
              <w:t>(dt)</w:t>
            </w:r>
          </w:p>
        </w:tc>
        <w:tc>
          <w:tcPr>
            <w:tcW w:w="590" w:type="dxa"/>
            <w:shd w:val="clear" w:color="auto" w:fill="auto"/>
            <w:noWrap/>
            <w:vAlign w:val="center"/>
            <w:hideMark/>
          </w:tcPr>
          <w:p w:rsidR="00040929" w:rsidRPr="00040929" w:rsidRDefault="00040929" w:rsidP="0068458B">
            <w:pPr>
              <w:spacing w:after="120" w:line="240" w:lineRule="auto"/>
              <w:jc w:val="center"/>
              <w:rPr>
                <w:rFonts w:ascii="Times New Roman" w:hAnsi="Times New Roman"/>
                <w:sz w:val="20"/>
                <w:szCs w:val="20"/>
              </w:rPr>
            </w:pPr>
            <w:r w:rsidRPr="00040929">
              <w:rPr>
                <w:rFonts w:ascii="Times New Roman" w:hAnsi="Times New Roman"/>
                <w:sz w:val="20"/>
                <w:szCs w:val="20"/>
              </w:rPr>
              <w:t xml:space="preserve">Żyto </w:t>
            </w:r>
            <w:r w:rsidRPr="00040929">
              <w:rPr>
                <w:rFonts w:ascii="Times New Roman" w:hAnsi="Times New Roman"/>
                <w:sz w:val="16"/>
                <w:szCs w:val="16"/>
              </w:rPr>
              <w:t>(dt)</w:t>
            </w:r>
          </w:p>
        </w:tc>
        <w:tc>
          <w:tcPr>
            <w:tcW w:w="885" w:type="dxa"/>
            <w:shd w:val="clear" w:color="auto" w:fill="auto"/>
            <w:noWrap/>
            <w:vAlign w:val="center"/>
            <w:hideMark/>
          </w:tcPr>
          <w:p w:rsidR="00040929" w:rsidRPr="00040929" w:rsidRDefault="00040929" w:rsidP="0068458B">
            <w:pPr>
              <w:spacing w:after="120" w:line="240" w:lineRule="auto"/>
              <w:jc w:val="center"/>
              <w:rPr>
                <w:rFonts w:ascii="Times New Roman" w:hAnsi="Times New Roman"/>
                <w:sz w:val="20"/>
                <w:szCs w:val="20"/>
              </w:rPr>
            </w:pPr>
            <w:r w:rsidRPr="00040929">
              <w:rPr>
                <w:rFonts w:ascii="Times New Roman" w:hAnsi="Times New Roman"/>
                <w:sz w:val="20"/>
                <w:szCs w:val="20"/>
              </w:rPr>
              <w:t xml:space="preserve">Jęczmień </w:t>
            </w:r>
            <w:r w:rsidRPr="00040929">
              <w:rPr>
                <w:rFonts w:ascii="Times New Roman" w:hAnsi="Times New Roman"/>
                <w:sz w:val="16"/>
                <w:szCs w:val="16"/>
              </w:rPr>
              <w:t>(dt)</w:t>
            </w:r>
          </w:p>
        </w:tc>
        <w:tc>
          <w:tcPr>
            <w:tcW w:w="1076" w:type="dxa"/>
            <w:shd w:val="clear" w:color="auto" w:fill="auto"/>
            <w:noWrap/>
            <w:vAlign w:val="center"/>
            <w:hideMark/>
          </w:tcPr>
          <w:p w:rsidR="00040929" w:rsidRPr="00040929" w:rsidRDefault="00040929" w:rsidP="0068458B">
            <w:pPr>
              <w:spacing w:after="120" w:line="240" w:lineRule="auto"/>
              <w:jc w:val="center"/>
              <w:rPr>
                <w:rFonts w:ascii="Times New Roman" w:hAnsi="Times New Roman"/>
                <w:sz w:val="20"/>
                <w:szCs w:val="20"/>
              </w:rPr>
            </w:pPr>
            <w:r w:rsidRPr="00040929">
              <w:rPr>
                <w:rFonts w:ascii="Times New Roman" w:hAnsi="Times New Roman"/>
                <w:sz w:val="20"/>
                <w:szCs w:val="20"/>
              </w:rPr>
              <w:t xml:space="preserve">Kukurydza </w:t>
            </w:r>
            <w:r w:rsidRPr="00040929">
              <w:rPr>
                <w:rFonts w:ascii="Times New Roman" w:hAnsi="Times New Roman"/>
                <w:sz w:val="16"/>
                <w:szCs w:val="16"/>
              </w:rPr>
              <w:t>(dt)</w:t>
            </w:r>
          </w:p>
        </w:tc>
        <w:tc>
          <w:tcPr>
            <w:tcW w:w="993" w:type="dxa"/>
            <w:shd w:val="clear" w:color="auto" w:fill="auto"/>
            <w:noWrap/>
            <w:vAlign w:val="center"/>
            <w:hideMark/>
          </w:tcPr>
          <w:p w:rsidR="00040929" w:rsidRPr="00040929" w:rsidRDefault="00344F0F" w:rsidP="0068458B">
            <w:pPr>
              <w:spacing w:after="120" w:line="240" w:lineRule="auto"/>
              <w:jc w:val="center"/>
              <w:rPr>
                <w:rFonts w:ascii="Times New Roman" w:hAnsi="Times New Roman"/>
                <w:sz w:val="20"/>
                <w:szCs w:val="20"/>
              </w:rPr>
            </w:pPr>
            <w:r>
              <w:rPr>
                <w:rFonts w:ascii="Times New Roman" w:hAnsi="Times New Roman"/>
                <w:sz w:val="20"/>
                <w:szCs w:val="20"/>
              </w:rPr>
              <w:t>Rzepak</w:t>
            </w:r>
            <w:r w:rsidR="00040929" w:rsidRPr="00040929">
              <w:rPr>
                <w:rFonts w:ascii="Times New Roman" w:hAnsi="Times New Roman"/>
                <w:sz w:val="20"/>
                <w:szCs w:val="20"/>
              </w:rPr>
              <w:t xml:space="preserve"> </w:t>
            </w:r>
            <w:r w:rsidR="00040929" w:rsidRPr="00040929">
              <w:rPr>
                <w:rFonts w:ascii="Times New Roman" w:hAnsi="Times New Roman"/>
                <w:sz w:val="16"/>
                <w:szCs w:val="16"/>
              </w:rPr>
              <w:t>(dt)</w:t>
            </w:r>
          </w:p>
        </w:tc>
        <w:tc>
          <w:tcPr>
            <w:tcW w:w="708" w:type="dxa"/>
            <w:shd w:val="clear" w:color="auto" w:fill="auto"/>
            <w:noWrap/>
            <w:vAlign w:val="center"/>
            <w:hideMark/>
          </w:tcPr>
          <w:p w:rsidR="00040929" w:rsidRPr="00040929" w:rsidRDefault="00040929" w:rsidP="0068458B">
            <w:pPr>
              <w:spacing w:after="120" w:line="240" w:lineRule="auto"/>
              <w:jc w:val="center"/>
              <w:rPr>
                <w:rFonts w:ascii="Times New Roman" w:hAnsi="Times New Roman"/>
                <w:sz w:val="20"/>
                <w:szCs w:val="20"/>
              </w:rPr>
            </w:pPr>
            <w:r w:rsidRPr="00040929">
              <w:rPr>
                <w:rFonts w:ascii="Times New Roman" w:hAnsi="Times New Roman"/>
                <w:sz w:val="20"/>
                <w:szCs w:val="20"/>
              </w:rPr>
              <w:t xml:space="preserve">Bydło </w:t>
            </w:r>
            <w:r w:rsidRPr="00040929">
              <w:rPr>
                <w:rFonts w:ascii="Times New Roman" w:hAnsi="Times New Roman"/>
                <w:sz w:val="16"/>
                <w:szCs w:val="16"/>
              </w:rPr>
              <w:t>(kg)</w:t>
            </w:r>
          </w:p>
        </w:tc>
        <w:tc>
          <w:tcPr>
            <w:tcW w:w="851" w:type="dxa"/>
            <w:shd w:val="clear" w:color="auto" w:fill="auto"/>
            <w:noWrap/>
            <w:vAlign w:val="center"/>
            <w:hideMark/>
          </w:tcPr>
          <w:p w:rsidR="00040929" w:rsidRPr="00040929" w:rsidRDefault="00040929" w:rsidP="0068458B">
            <w:pPr>
              <w:spacing w:after="120" w:line="240" w:lineRule="auto"/>
              <w:ind w:right="-70"/>
              <w:jc w:val="center"/>
              <w:rPr>
                <w:rFonts w:ascii="Times New Roman" w:hAnsi="Times New Roman"/>
                <w:sz w:val="20"/>
                <w:szCs w:val="20"/>
              </w:rPr>
            </w:pPr>
            <w:r w:rsidRPr="00040929">
              <w:rPr>
                <w:rFonts w:ascii="Times New Roman" w:hAnsi="Times New Roman"/>
                <w:sz w:val="20"/>
                <w:szCs w:val="20"/>
              </w:rPr>
              <w:t xml:space="preserve">Trzoda chlewna </w:t>
            </w:r>
            <w:r w:rsidRPr="00040929">
              <w:rPr>
                <w:rFonts w:ascii="Times New Roman" w:hAnsi="Times New Roman"/>
                <w:sz w:val="16"/>
                <w:szCs w:val="16"/>
              </w:rPr>
              <w:t>(kg)</w:t>
            </w:r>
          </w:p>
        </w:tc>
        <w:tc>
          <w:tcPr>
            <w:tcW w:w="567" w:type="dxa"/>
            <w:shd w:val="clear" w:color="auto" w:fill="auto"/>
            <w:noWrap/>
            <w:vAlign w:val="center"/>
            <w:hideMark/>
          </w:tcPr>
          <w:p w:rsidR="00040929" w:rsidRPr="00040929" w:rsidRDefault="00040929" w:rsidP="0068458B">
            <w:pPr>
              <w:spacing w:after="120" w:line="240" w:lineRule="auto"/>
              <w:jc w:val="center"/>
              <w:rPr>
                <w:rFonts w:ascii="Times New Roman" w:hAnsi="Times New Roman"/>
                <w:sz w:val="20"/>
                <w:szCs w:val="20"/>
              </w:rPr>
            </w:pPr>
            <w:r w:rsidRPr="00040929">
              <w:rPr>
                <w:rFonts w:ascii="Times New Roman" w:hAnsi="Times New Roman"/>
                <w:sz w:val="20"/>
                <w:szCs w:val="20"/>
              </w:rPr>
              <w:t xml:space="preserve">Drób </w:t>
            </w:r>
            <w:r w:rsidRPr="00040929">
              <w:rPr>
                <w:rFonts w:ascii="Times New Roman" w:hAnsi="Times New Roman"/>
                <w:sz w:val="16"/>
                <w:szCs w:val="16"/>
              </w:rPr>
              <w:t>(kg)</w:t>
            </w:r>
          </w:p>
        </w:tc>
        <w:tc>
          <w:tcPr>
            <w:tcW w:w="709" w:type="dxa"/>
            <w:shd w:val="clear" w:color="auto" w:fill="auto"/>
            <w:noWrap/>
            <w:vAlign w:val="center"/>
            <w:hideMark/>
          </w:tcPr>
          <w:p w:rsidR="00040929" w:rsidRPr="00040929" w:rsidRDefault="00040929" w:rsidP="0068458B">
            <w:pPr>
              <w:spacing w:after="120" w:line="240" w:lineRule="auto"/>
              <w:jc w:val="center"/>
              <w:rPr>
                <w:rFonts w:ascii="Times New Roman" w:hAnsi="Times New Roman"/>
                <w:sz w:val="20"/>
                <w:szCs w:val="20"/>
              </w:rPr>
            </w:pPr>
            <w:r w:rsidRPr="00040929">
              <w:rPr>
                <w:rFonts w:ascii="Times New Roman" w:hAnsi="Times New Roman"/>
                <w:sz w:val="20"/>
                <w:szCs w:val="20"/>
              </w:rPr>
              <w:t xml:space="preserve">Cielęta </w:t>
            </w:r>
            <w:r w:rsidRPr="00040929">
              <w:rPr>
                <w:rFonts w:ascii="Times New Roman" w:hAnsi="Times New Roman"/>
                <w:sz w:val="16"/>
                <w:szCs w:val="16"/>
              </w:rPr>
              <w:t>(kg)</w:t>
            </w:r>
          </w:p>
        </w:tc>
        <w:tc>
          <w:tcPr>
            <w:tcW w:w="708" w:type="dxa"/>
            <w:shd w:val="clear" w:color="auto" w:fill="auto"/>
            <w:noWrap/>
            <w:vAlign w:val="center"/>
            <w:hideMark/>
          </w:tcPr>
          <w:p w:rsidR="00040929" w:rsidRPr="00040929" w:rsidRDefault="00040929" w:rsidP="0068458B">
            <w:pPr>
              <w:spacing w:after="120" w:line="240" w:lineRule="auto"/>
              <w:jc w:val="center"/>
              <w:rPr>
                <w:rFonts w:ascii="Times New Roman" w:hAnsi="Times New Roman"/>
                <w:sz w:val="20"/>
                <w:szCs w:val="20"/>
              </w:rPr>
            </w:pPr>
            <w:r w:rsidRPr="00040929">
              <w:rPr>
                <w:rFonts w:ascii="Times New Roman" w:hAnsi="Times New Roman"/>
                <w:sz w:val="20"/>
                <w:szCs w:val="20"/>
              </w:rPr>
              <w:t xml:space="preserve">Mleko </w:t>
            </w:r>
            <w:r w:rsidR="00B03946">
              <w:rPr>
                <w:rFonts w:ascii="Times New Roman" w:hAnsi="Times New Roman"/>
                <w:sz w:val="16"/>
                <w:szCs w:val="16"/>
              </w:rPr>
              <w:t>(l</w:t>
            </w:r>
            <w:r w:rsidRPr="00040929">
              <w:rPr>
                <w:rFonts w:ascii="Times New Roman" w:hAnsi="Times New Roman"/>
                <w:sz w:val="16"/>
                <w:szCs w:val="16"/>
              </w:rPr>
              <w:t>)</w:t>
            </w:r>
          </w:p>
        </w:tc>
      </w:tr>
      <w:tr w:rsidR="00ED3492" w:rsidRPr="00040929" w:rsidTr="002A2404">
        <w:trPr>
          <w:trHeight w:val="285"/>
          <w:jc w:val="center"/>
        </w:trPr>
        <w:tc>
          <w:tcPr>
            <w:tcW w:w="715" w:type="dxa"/>
            <w:shd w:val="clear" w:color="auto" w:fill="auto"/>
            <w:noWrap/>
            <w:vAlign w:val="bottom"/>
          </w:tcPr>
          <w:p w:rsidR="00ED3492" w:rsidRPr="00040929" w:rsidRDefault="00ED3492" w:rsidP="00ED3492">
            <w:pPr>
              <w:spacing w:after="120" w:line="240" w:lineRule="auto"/>
              <w:jc w:val="both"/>
              <w:rPr>
                <w:rFonts w:ascii="Times New Roman" w:hAnsi="Times New Roman"/>
                <w:sz w:val="20"/>
                <w:szCs w:val="20"/>
              </w:rPr>
            </w:pPr>
            <w:r>
              <w:rPr>
                <w:rFonts w:ascii="Times New Roman" w:hAnsi="Times New Roman"/>
                <w:sz w:val="20"/>
                <w:szCs w:val="20"/>
              </w:rPr>
              <w:t>2015</w:t>
            </w:r>
          </w:p>
        </w:tc>
        <w:tc>
          <w:tcPr>
            <w:tcW w:w="851"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Pr>
                <w:rFonts w:ascii="Times New Roman" w:hAnsi="Times New Roman"/>
                <w:sz w:val="20"/>
                <w:szCs w:val="20"/>
              </w:rPr>
              <w:t>67,82</w:t>
            </w:r>
          </w:p>
        </w:tc>
        <w:tc>
          <w:tcPr>
            <w:tcW w:w="590"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Pr>
                <w:rFonts w:ascii="Times New Roman" w:hAnsi="Times New Roman"/>
                <w:sz w:val="20"/>
                <w:szCs w:val="20"/>
              </w:rPr>
              <w:t>55,12</w:t>
            </w:r>
          </w:p>
        </w:tc>
        <w:tc>
          <w:tcPr>
            <w:tcW w:w="885"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Pr>
                <w:rFonts w:ascii="Times New Roman" w:hAnsi="Times New Roman"/>
                <w:sz w:val="20"/>
                <w:szCs w:val="20"/>
              </w:rPr>
              <w:t>62,88</w:t>
            </w:r>
          </w:p>
        </w:tc>
        <w:tc>
          <w:tcPr>
            <w:tcW w:w="1076"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Pr>
                <w:rFonts w:ascii="Times New Roman" w:hAnsi="Times New Roman"/>
                <w:sz w:val="20"/>
                <w:szCs w:val="20"/>
              </w:rPr>
              <w:t>64,85</w:t>
            </w:r>
          </w:p>
        </w:tc>
        <w:tc>
          <w:tcPr>
            <w:tcW w:w="993"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Pr>
                <w:rFonts w:ascii="Times New Roman" w:hAnsi="Times New Roman"/>
                <w:sz w:val="20"/>
                <w:szCs w:val="20"/>
              </w:rPr>
              <w:t>166,70</w:t>
            </w:r>
          </w:p>
        </w:tc>
        <w:tc>
          <w:tcPr>
            <w:tcW w:w="708" w:type="dxa"/>
            <w:shd w:val="clear" w:color="auto" w:fill="auto"/>
            <w:noWrap/>
            <w:vAlign w:val="bottom"/>
          </w:tcPr>
          <w:p w:rsidR="00ED3492" w:rsidRPr="00040929" w:rsidRDefault="00F414A6" w:rsidP="00ED3492">
            <w:pPr>
              <w:spacing w:after="120" w:line="240" w:lineRule="auto"/>
              <w:jc w:val="right"/>
              <w:rPr>
                <w:rFonts w:ascii="Times New Roman" w:hAnsi="Times New Roman"/>
                <w:sz w:val="20"/>
                <w:szCs w:val="20"/>
              </w:rPr>
            </w:pPr>
            <w:r>
              <w:rPr>
                <w:rFonts w:ascii="Times New Roman" w:hAnsi="Times New Roman"/>
                <w:sz w:val="20"/>
                <w:szCs w:val="20"/>
              </w:rPr>
              <w:t>6,16</w:t>
            </w:r>
          </w:p>
        </w:tc>
        <w:tc>
          <w:tcPr>
            <w:tcW w:w="851" w:type="dxa"/>
            <w:shd w:val="clear" w:color="auto" w:fill="auto"/>
            <w:noWrap/>
            <w:vAlign w:val="bottom"/>
          </w:tcPr>
          <w:p w:rsidR="00ED3492" w:rsidRPr="00040929" w:rsidRDefault="00F414A6" w:rsidP="00ED3492">
            <w:pPr>
              <w:spacing w:after="120" w:line="240" w:lineRule="auto"/>
              <w:jc w:val="right"/>
              <w:rPr>
                <w:rFonts w:ascii="Times New Roman" w:hAnsi="Times New Roman"/>
                <w:sz w:val="20"/>
                <w:szCs w:val="20"/>
              </w:rPr>
            </w:pPr>
            <w:r>
              <w:rPr>
                <w:rFonts w:ascii="Times New Roman" w:hAnsi="Times New Roman"/>
                <w:sz w:val="20"/>
                <w:szCs w:val="20"/>
              </w:rPr>
              <w:t>3,84</w:t>
            </w:r>
          </w:p>
        </w:tc>
        <w:tc>
          <w:tcPr>
            <w:tcW w:w="567" w:type="dxa"/>
            <w:shd w:val="clear" w:color="auto" w:fill="auto"/>
            <w:noWrap/>
            <w:vAlign w:val="bottom"/>
          </w:tcPr>
          <w:p w:rsidR="00ED3492" w:rsidRPr="00040929" w:rsidRDefault="00ED3492" w:rsidP="00C67031">
            <w:pPr>
              <w:spacing w:after="120" w:line="240" w:lineRule="auto"/>
              <w:jc w:val="right"/>
              <w:rPr>
                <w:rFonts w:ascii="Times New Roman" w:hAnsi="Times New Roman"/>
                <w:sz w:val="20"/>
                <w:szCs w:val="20"/>
              </w:rPr>
            </w:pPr>
            <w:r>
              <w:rPr>
                <w:rFonts w:ascii="Times New Roman" w:hAnsi="Times New Roman"/>
                <w:sz w:val="20"/>
                <w:szCs w:val="20"/>
              </w:rPr>
              <w:t>3,</w:t>
            </w:r>
            <w:r w:rsidR="00C67031">
              <w:rPr>
                <w:rFonts w:ascii="Times New Roman" w:hAnsi="Times New Roman"/>
                <w:sz w:val="20"/>
                <w:szCs w:val="20"/>
              </w:rPr>
              <w:t>7</w:t>
            </w:r>
          </w:p>
        </w:tc>
        <w:tc>
          <w:tcPr>
            <w:tcW w:w="709" w:type="dxa"/>
            <w:shd w:val="clear" w:color="auto" w:fill="auto"/>
            <w:noWrap/>
            <w:vAlign w:val="bottom"/>
          </w:tcPr>
          <w:p w:rsidR="00ED3492" w:rsidRPr="00040929" w:rsidRDefault="00F414A6" w:rsidP="00F414A6">
            <w:pPr>
              <w:spacing w:after="120" w:line="240" w:lineRule="auto"/>
              <w:jc w:val="right"/>
              <w:rPr>
                <w:rFonts w:ascii="Times New Roman" w:hAnsi="Times New Roman"/>
                <w:sz w:val="20"/>
                <w:szCs w:val="20"/>
              </w:rPr>
            </w:pPr>
            <w:r>
              <w:rPr>
                <w:rFonts w:ascii="Times New Roman" w:hAnsi="Times New Roman"/>
                <w:sz w:val="20"/>
                <w:szCs w:val="20"/>
              </w:rPr>
              <w:t>9,84</w:t>
            </w:r>
          </w:p>
        </w:tc>
        <w:tc>
          <w:tcPr>
            <w:tcW w:w="708"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Pr>
                <w:rFonts w:ascii="Times New Roman" w:hAnsi="Times New Roman"/>
                <w:sz w:val="20"/>
                <w:szCs w:val="20"/>
              </w:rPr>
              <w:t>1,13</w:t>
            </w:r>
          </w:p>
        </w:tc>
      </w:tr>
      <w:tr w:rsidR="00ED3492" w:rsidRPr="00040929" w:rsidTr="002A2404">
        <w:trPr>
          <w:trHeight w:val="285"/>
          <w:jc w:val="center"/>
        </w:trPr>
        <w:tc>
          <w:tcPr>
            <w:tcW w:w="715" w:type="dxa"/>
            <w:shd w:val="clear" w:color="auto" w:fill="auto"/>
            <w:noWrap/>
            <w:vAlign w:val="bottom"/>
          </w:tcPr>
          <w:p w:rsidR="00ED3492" w:rsidRPr="00040929" w:rsidRDefault="00ED3492" w:rsidP="00ED3492">
            <w:pPr>
              <w:spacing w:after="120" w:line="240" w:lineRule="auto"/>
              <w:jc w:val="both"/>
              <w:rPr>
                <w:rFonts w:ascii="Times New Roman" w:hAnsi="Times New Roman"/>
                <w:sz w:val="20"/>
                <w:szCs w:val="20"/>
              </w:rPr>
            </w:pPr>
            <w:r>
              <w:rPr>
                <w:rFonts w:ascii="Times New Roman" w:hAnsi="Times New Roman"/>
                <w:sz w:val="20"/>
                <w:szCs w:val="20"/>
              </w:rPr>
              <w:t>2014</w:t>
            </w:r>
          </w:p>
        </w:tc>
        <w:tc>
          <w:tcPr>
            <w:tcW w:w="851"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Pr>
                <w:rFonts w:ascii="Times New Roman" w:hAnsi="Times New Roman"/>
                <w:sz w:val="20"/>
                <w:szCs w:val="20"/>
              </w:rPr>
              <w:t>67,23</w:t>
            </w:r>
          </w:p>
        </w:tc>
        <w:tc>
          <w:tcPr>
            <w:tcW w:w="590"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Pr>
                <w:rFonts w:ascii="Times New Roman" w:hAnsi="Times New Roman"/>
                <w:sz w:val="20"/>
                <w:szCs w:val="20"/>
              </w:rPr>
              <w:t>52,36</w:t>
            </w:r>
          </w:p>
        </w:tc>
        <w:tc>
          <w:tcPr>
            <w:tcW w:w="885"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Pr>
                <w:rFonts w:ascii="Times New Roman" w:hAnsi="Times New Roman"/>
                <w:sz w:val="20"/>
                <w:szCs w:val="20"/>
              </w:rPr>
              <w:t>60,31</w:t>
            </w:r>
          </w:p>
        </w:tc>
        <w:tc>
          <w:tcPr>
            <w:tcW w:w="1076"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Pr>
                <w:rFonts w:ascii="Times New Roman" w:hAnsi="Times New Roman"/>
                <w:sz w:val="20"/>
                <w:szCs w:val="20"/>
              </w:rPr>
              <w:t>50,99</w:t>
            </w:r>
          </w:p>
        </w:tc>
        <w:tc>
          <w:tcPr>
            <w:tcW w:w="993"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Pr>
                <w:rFonts w:ascii="Times New Roman" w:hAnsi="Times New Roman"/>
                <w:sz w:val="20"/>
                <w:szCs w:val="20"/>
              </w:rPr>
              <w:t>140,40</w:t>
            </w:r>
          </w:p>
        </w:tc>
        <w:tc>
          <w:tcPr>
            <w:tcW w:w="708"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Pr>
                <w:rFonts w:ascii="Times New Roman" w:hAnsi="Times New Roman"/>
                <w:sz w:val="20"/>
                <w:szCs w:val="20"/>
              </w:rPr>
              <w:t>5,75</w:t>
            </w:r>
          </w:p>
        </w:tc>
        <w:tc>
          <w:tcPr>
            <w:tcW w:w="851"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Pr>
                <w:rFonts w:ascii="Times New Roman" w:hAnsi="Times New Roman"/>
                <w:sz w:val="20"/>
                <w:szCs w:val="20"/>
              </w:rPr>
              <w:t>4,16</w:t>
            </w:r>
          </w:p>
        </w:tc>
        <w:tc>
          <w:tcPr>
            <w:tcW w:w="567"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Pr>
                <w:rFonts w:ascii="Times New Roman" w:hAnsi="Times New Roman"/>
                <w:sz w:val="20"/>
                <w:szCs w:val="20"/>
              </w:rPr>
              <w:t>3,9</w:t>
            </w:r>
          </w:p>
        </w:tc>
        <w:tc>
          <w:tcPr>
            <w:tcW w:w="709"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Pr>
                <w:rFonts w:ascii="Times New Roman" w:hAnsi="Times New Roman"/>
                <w:sz w:val="20"/>
                <w:szCs w:val="20"/>
              </w:rPr>
              <w:t>9,52</w:t>
            </w:r>
          </w:p>
        </w:tc>
        <w:tc>
          <w:tcPr>
            <w:tcW w:w="708"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Pr>
                <w:rFonts w:ascii="Times New Roman" w:hAnsi="Times New Roman"/>
                <w:sz w:val="20"/>
                <w:szCs w:val="20"/>
              </w:rPr>
              <w:t>1,23</w:t>
            </w:r>
          </w:p>
        </w:tc>
      </w:tr>
      <w:tr w:rsidR="00ED3492" w:rsidRPr="00040929" w:rsidTr="00ED3492">
        <w:trPr>
          <w:trHeight w:val="285"/>
          <w:jc w:val="center"/>
        </w:trPr>
        <w:tc>
          <w:tcPr>
            <w:tcW w:w="715" w:type="dxa"/>
            <w:shd w:val="clear" w:color="auto" w:fill="auto"/>
            <w:noWrap/>
            <w:vAlign w:val="bottom"/>
          </w:tcPr>
          <w:p w:rsidR="00ED3492" w:rsidRPr="00040929" w:rsidRDefault="00ED3492" w:rsidP="00ED3492">
            <w:pPr>
              <w:spacing w:after="120" w:line="240" w:lineRule="auto"/>
              <w:jc w:val="both"/>
              <w:rPr>
                <w:rFonts w:ascii="Times New Roman" w:hAnsi="Times New Roman"/>
                <w:sz w:val="20"/>
                <w:szCs w:val="20"/>
              </w:rPr>
            </w:pPr>
            <w:r w:rsidRPr="00040929">
              <w:rPr>
                <w:rFonts w:ascii="Times New Roman" w:hAnsi="Times New Roman"/>
                <w:sz w:val="20"/>
                <w:szCs w:val="20"/>
              </w:rPr>
              <w:t>2013</w:t>
            </w:r>
          </w:p>
        </w:tc>
        <w:tc>
          <w:tcPr>
            <w:tcW w:w="851"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sidRPr="00040929">
              <w:rPr>
                <w:rFonts w:ascii="Times New Roman" w:hAnsi="Times New Roman"/>
                <w:sz w:val="20"/>
                <w:szCs w:val="20"/>
              </w:rPr>
              <w:t>76,05</w:t>
            </w:r>
          </w:p>
        </w:tc>
        <w:tc>
          <w:tcPr>
            <w:tcW w:w="590"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sidRPr="00040929">
              <w:rPr>
                <w:rFonts w:ascii="Times New Roman" w:hAnsi="Times New Roman"/>
                <w:sz w:val="20"/>
                <w:szCs w:val="20"/>
              </w:rPr>
              <w:t>56,85</w:t>
            </w:r>
          </w:p>
        </w:tc>
        <w:tc>
          <w:tcPr>
            <w:tcW w:w="885"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sidRPr="00040929">
              <w:rPr>
                <w:rFonts w:ascii="Times New Roman" w:hAnsi="Times New Roman"/>
                <w:sz w:val="20"/>
                <w:szCs w:val="20"/>
              </w:rPr>
              <w:t>75,95</w:t>
            </w:r>
          </w:p>
        </w:tc>
        <w:tc>
          <w:tcPr>
            <w:tcW w:w="1076"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sidRPr="00040929">
              <w:rPr>
                <w:rFonts w:ascii="Times New Roman" w:hAnsi="Times New Roman"/>
                <w:sz w:val="20"/>
                <w:szCs w:val="20"/>
              </w:rPr>
              <w:t>63,23</w:t>
            </w:r>
          </w:p>
        </w:tc>
        <w:tc>
          <w:tcPr>
            <w:tcW w:w="993"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Pr>
                <w:rFonts w:ascii="Times New Roman" w:hAnsi="Times New Roman"/>
                <w:sz w:val="20"/>
                <w:szCs w:val="20"/>
              </w:rPr>
              <w:t>153,10</w:t>
            </w:r>
          </w:p>
        </w:tc>
        <w:tc>
          <w:tcPr>
            <w:tcW w:w="708"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sidRPr="00040929">
              <w:rPr>
                <w:rFonts w:ascii="Times New Roman" w:hAnsi="Times New Roman"/>
                <w:sz w:val="20"/>
                <w:szCs w:val="20"/>
              </w:rPr>
              <w:t>6,10</w:t>
            </w:r>
          </w:p>
        </w:tc>
        <w:tc>
          <w:tcPr>
            <w:tcW w:w="851"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sidRPr="00040929">
              <w:rPr>
                <w:rFonts w:ascii="Times New Roman" w:hAnsi="Times New Roman"/>
                <w:sz w:val="20"/>
                <w:szCs w:val="20"/>
              </w:rPr>
              <w:t>5,28</w:t>
            </w:r>
          </w:p>
        </w:tc>
        <w:tc>
          <w:tcPr>
            <w:tcW w:w="567"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sidRPr="00040929">
              <w:rPr>
                <w:rFonts w:ascii="Times New Roman" w:hAnsi="Times New Roman"/>
                <w:sz w:val="20"/>
                <w:szCs w:val="20"/>
              </w:rPr>
              <w:t>4,0</w:t>
            </w:r>
          </w:p>
        </w:tc>
        <w:tc>
          <w:tcPr>
            <w:tcW w:w="709"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sidRPr="00040929">
              <w:rPr>
                <w:rFonts w:ascii="Times New Roman" w:hAnsi="Times New Roman"/>
                <w:sz w:val="20"/>
                <w:szCs w:val="20"/>
              </w:rPr>
              <w:t>9,69</w:t>
            </w:r>
          </w:p>
        </w:tc>
        <w:tc>
          <w:tcPr>
            <w:tcW w:w="708" w:type="dxa"/>
            <w:shd w:val="clear" w:color="auto" w:fill="auto"/>
            <w:noWrap/>
            <w:vAlign w:val="bottom"/>
          </w:tcPr>
          <w:p w:rsidR="00ED3492" w:rsidRPr="00040929" w:rsidRDefault="00ED3492" w:rsidP="00ED3492">
            <w:pPr>
              <w:spacing w:after="120" w:line="240" w:lineRule="auto"/>
              <w:jc w:val="right"/>
              <w:rPr>
                <w:rFonts w:ascii="Times New Roman" w:hAnsi="Times New Roman"/>
                <w:sz w:val="20"/>
                <w:szCs w:val="20"/>
              </w:rPr>
            </w:pPr>
            <w:r w:rsidRPr="00040929">
              <w:rPr>
                <w:rFonts w:ascii="Times New Roman" w:hAnsi="Times New Roman"/>
                <w:sz w:val="20"/>
                <w:szCs w:val="20"/>
              </w:rPr>
              <w:t>1,54</w:t>
            </w:r>
          </w:p>
        </w:tc>
      </w:tr>
      <w:tr w:rsidR="00ED3492" w:rsidRPr="00040929" w:rsidTr="002A2404">
        <w:trPr>
          <w:trHeight w:val="285"/>
          <w:jc w:val="center"/>
        </w:trPr>
        <w:tc>
          <w:tcPr>
            <w:tcW w:w="715" w:type="dxa"/>
            <w:shd w:val="clear" w:color="auto" w:fill="auto"/>
            <w:noWrap/>
            <w:hideMark/>
          </w:tcPr>
          <w:p w:rsidR="00ED3492" w:rsidRPr="00040929" w:rsidRDefault="00ED3492" w:rsidP="00ED3492">
            <w:pPr>
              <w:spacing w:after="120" w:line="240" w:lineRule="auto"/>
              <w:jc w:val="both"/>
              <w:rPr>
                <w:rFonts w:ascii="Times New Roman" w:hAnsi="Times New Roman"/>
                <w:sz w:val="20"/>
                <w:szCs w:val="20"/>
              </w:rPr>
            </w:pPr>
            <w:r w:rsidRPr="00040929">
              <w:rPr>
                <w:rFonts w:ascii="Times New Roman" w:hAnsi="Times New Roman"/>
                <w:sz w:val="20"/>
                <w:szCs w:val="20"/>
              </w:rPr>
              <w:t>2012</w:t>
            </w:r>
          </w:p>
        </w:tc>
        <w:tc>
          <w:tcPr>
            <w:tcW w:w="851" w:type="dxa"/>
            <w:shd w:val="clear" w:color="auto" w:fill="auto"/>
            <w:noWrap/>
            <w:hideMark/>
          </w:tcPr>
          <w:p w:rsidR="00ED3492" w:rsidRPr="00040929" w:rsidRDefault="00ED3492" w:rsidP="00ED3492">
            <w:pPr>
              <w:spacing w:after="120" w:line="240" w:lineRule="auto"/>
              <w:jc w:val="right"/>
              <w:rPr>
                <w:rFonts w:ascii="Times New Roman" w:hAnsi="Times New Roman"/>
                <w:sz w:val="20"/>
                <w:szCs w:val="20"/>
              </w:rPr>
            </w:pPr>
            <w:r w:rsidRPr="00040929">
              <w:rPr>
                <w:rFonts w:ascii="Times New Roman" w:hAnsi="Times New Roman"/>
                <w:sz w:val="20"/>
                <w:szCs w:val="20"/>
              </w:rPr>
              <w:t>101,68</w:t>
            </w:r>
          </w:p>
        </w:tc>
        <w:tc>
          <w:tcPr>
            <w:tcW w:w="590" w:type="dxa"/>
            <w:shd w:val="clear" w:color="auto" w:fill="auto"/>
            <w:noWrap/>
            <w:hideMark/>
          </w:tcPr>
          <w:p w:rsidR="00ED3492" w:rsidRPr="00040929" w:rsidRDefault="00ED3492" w:rsidP="00ED3492">
            <w:pPr>
              <w:spacing w:after="120" w:line="240" w:lineRule="auto"/>
              <w:jc w:val="right"/>
              <w:rPr>
                <w:rFonts w:ascii="Times New Roman" w:hAnsi="Times New Roman"/>
                <w:sz w:val="20"/>
                <w:szCs w:val="20"/>
              </w:rPr>
            </w:pPr>
            <w:r w:rsidRPr="00040929">
              <w:rPr>
                <w:rFonts w:ascii="Times New Roman" w:hAnsi="Times New Roman"/>
                <w:sz w:val="20"/>
                <w:szCs w:val="20"/>
              </w:rPr>
              <w:t>74,81</w:t>
            </w:r>
          </w:p>
        </w:tc>
        <w:tc>
          <w:tcPr>
            <w:tcW w:w="885" w:type="dxa"/>
            <w:shd w:val="clear" w:color="auto" w:fill="auto"/>
            <w:noWrap/>
            <w:hideMark/>
          </w:tcPr>
          <w:p w:rsidR="00ED3492" w:rsidRPr="00040929" w:rsidRDefault="00ED3492" w:rsidP="00ED3492">
            <w:pPr>
              <w:spacing w:after="120" w:line="240" w:lineRule="auto"/>
              <w:jc w:val="right"/>
              <w:rPr>
                <w:rFonts w:ascii="Times New Roman" w:hAnsi="Times New Roman"/>
                <w:sz w:val="20"/>
                <w:szCs w:val="20"/>
              </w:rPr>
            </w:pPr>
            <w:r w:rsidRPr="00040929">
              <w:rPr>
                <w:rFonts w:ascii="Times New Roman" w:hAnsi="Times New Roman"/>
                <w:sz w:val="20"/>
                <w:szCs w:val="20"/>
              </w:rPr>
              <w:t>85,56</w:t>
            </w:r>
          </w:p>
        </w:tc>
        <w:tc>
          <w:tcPr>
            <w:tcW w:w="1076" w:type="dxa"/>
            <w:shd w:val="clear" w:color="auto" w:fill="auto"/>
            <w:noWrap/>
            <w:hideMark/>
          </w:tcPr>
          <w:p w:rsidR="00ED3492" w:rsidRPr="00040929" w:rsidRDefault="00ED3492" w:rsidP="00ED3492">
            <w:pPr>
              <w:spacing w:after="120" w:line="240" w:lineRule="auto"/>
              <w:jc w:val="right"/>
              <w:rPr>
                <w:rFonts w:ascii="Times New Roman" w:hAnsi="Times New Roman"/>
                <w:sz w:val="20"/>
                <w:szCs w:val="20"/>
              </w:rPr>
            </w:pPr>
            <w:r w:rsidRPr="00040929">
              <w:rPr>
                <w:rFonts w:ascii="Times New Roman" w:hAnsi="Times New Roman"/>
                <w:sz w:val="20"/>
                <w:szCs w:val="20"/>
              </w:rPr>
              <w:t>87,19</w:t>
            </w:r>
          </w:p>
        </w:tc>
        <w:tc>
          <w:tcPr>
            <w:tcW w:w="993" w:type="dxa"/>
            <w:shd w:val="clear" w:color="auto" w:fill="auto"/>
            <w:noWrap/>
            <w:hideMark/>
          </w:tcPr>
          <w:p w:rsidR="00ED3492" w:rsidRPr="00040929" w:rsidRDefault="00ED3492" w:rsidP="00ED3492">
            <w:pPr>
              <w:spacing w:after="120" w:line="240" w:lineRule="auto"/>
              <w:jc w:val="right"/>
              <w:rPr>
                <w:rFonts w:ascii="Times New Roman" w:hAnsi="Times New Roman"/>
                <w:sz w:val="20"/>
                <w:szCs w:val="20"/>
              </w:rPr>
            </w:pPr>
            <w:r>
              <w:rPr>
                <w:rFonts w:ascii="Times New Roman" w:hAnsi="Times New Roman"/>
                <w:sz w:val="20"/>
                <w:szCs w:val="20"/>
              </w:rPr>
              <w:t>200,70</w:t>
            </w:r>
          </w:p>
        </w:tc>
        <w:tc>
          <w:tcPr>
            <w:tcW w:w="708" w:type="dxa"/>
            <w:shd w:val="clear" w:color="auto" w:fill="auto"/>
            <w:noWrap/>
            <w:hideMark/>
          </w:tcPr>
          <w:p w:rsidR="00ED3492" w:rsidRPr="00040929" w:rsidRDefault="00ED3492" w:rsidP="00ED3492">
            <w:pPr>
              <w:spacing w:after="120" w:line="240" w:lineRule="auto"/>
              <w:jc w:val="right"/>
              <w:rPr>
                <w:rFonts w:ascii="Times New Roman" w:hAnsi="Times New Roman"/>
                <w:sz w:val="20"/>
                <w:szCs w:val="20"/>
              </w:rPr>
            </w:pPr>
            <w:r w:rsidRPr="00040929">
              <w:rPr>
                <w:rFonts w:ascii="Times New Roman" w:hAnsi="Times New Roman"/>
                <w:sz w:val="20"/>
                <w:szCs w:val="20"/>
              </w:rPr>
              <w:t>6,58</w:t>
            </w:r>
          </w:p>
        </w:tc>
        <w:tc>
          <w:tcPr>
            <w:tcW w:w="851" w:type="dxa"/>
            <w:shd w:val="clear" w:color="auto" w:fill="auto"/>
            <w:noWrap/>
            <w:hideMark/>
          </w:tcPr>
          <w:p w:rsidR="00ED3492" w:rsidRPr="00040929" w:rsidRDefault="00ED3492" w:rsidP="00ED3492">
            <w:pPr>
              <w:spacing w:after="120" w:line="240" w:lineRule="auto"/>
              <w:jc w:val="right"/>
              <w:rPr>
                <w:rFonts w:ascii="Times New Roman" w:hAnsi="Times New Roman"/>
                <w:sz w:val="20"/>
                <w:szCs w:val="20"/>
              </w:rPr>
            </w:pPr>
            <w:r w:rsidRPr="00040929">
              <w:rPr>
                <w:rFonts w:ascii="Times New Roman" w:hAnsi="Times New Roman"/>
                <w:sz w:val="20"/>
                <w:szCs w:val="20"/>
              </w:rPr>
              <w:t>5,36</w:t>
            </w:r>
          </w:p>
        </w:tc>
        <w:tc>
          <w:tcPr>
            <w:tcW w:w="567" w:type="dxa"/>
            <w:shd w:val="clear" w:color="auto" w:fill="auto"/>
            <w:noWrap/>
            <w:hideMark/>
          </w:tcPr>
          <w:p w:rsidR="00ED3492" w:rsidRPr="00040929" w:rsidRDefault="00ED3492" w:rsidP="00ED3492">
            <w:pPr>
              <w:spacing w:after="120" w:line="240" w:lineRule="auto"/>
              <w:jc w:val="right"/>
              <w:rPr>
                <w:rFonts w:ascii="Times New Roman" w:hAnsi="Times New Roman"/>
                <w:sz w:val="20"/>
                <w:szCs w:val="20"/>
              </w:rPr>
            </w:pPr>
            <w:r w:rsidRPr="00040929">
              <w:rPr>
                <w:rFonts w:ascii="Times New Roman" w:hAnsi="Times New Roman"/>
                <w:sz w:val="20"/>
                <w:szCs w:val="20"/>
              </w:rPr>
              <w:t>4,0</w:t>
            </w:r>
          </w:p>
        </w:tc>
        <w:tc>
          <w:tcPr>
            <w:tcW w:w="709" w:type="dxa"/>
            <w:shd w:val="clear" w:color="auto" w:fill="auto"/>
            <w:noWrap/>
            <w:hideMark/>
          </w:tcPr>
          <w:p w:rsidR="00ED3492" w:rsidRPr="00040929" w:rsidRDefault="00ED3492" w:rsidP="00ED3492">
            <w:pPr>
              <w:spacing w:after="120" w:line="240" w:lineRule="auto"/>
              <w:jc w:val="right"/>
              <w:rPr>
                <w:rFonts w:ascii="Times New Roman" w:hAnsi="Times New Roman"/>
                <w:sz w:val="20"/>
                <w:szCs w:val="20"/>
              </w:rPr>
            </w:pPr>
            <w:r w:rsidRPr="00040929">
              <w:rPr>
                <w:rFonts w:ascii="Times New Roman" w:hAnsi="Times New Roman"/>
                <w:sz w:val="20"/>
                <w:szCs w:val="20"/>
              </w:rPr>
              <w:t>10,80</w:t>
            </w:r>
          </w:p>
        </w:tc>
        <w:tc>
          <w:tcPr>
            <w:tcW w:w="708" w:type="dxa"/>
            <w:shd w:val="clear" w:color="auto" w:fill="auto"/>
            <w:noWrap/>
            <w:hideMark/>
          </w:tcPr>
          <w:p w:rsidR="00ED3492" w:rsidRPr="00040929" w:rsidRDefault="00ED3492" w:rsidP="00ED3492">
            <w:pPr>
              <w:spacing w:after="120" w:line="240" w:lineRule="auto"/>
              <w:jc w:val="right"/>
              <w:rPr>
                <w:rFonts w:ascii="Times New Roman" w:hAnsi="Times New Roman"/>
                <w:sz w:val="20"/>
                <w:szCs w:val="20"/>
              </w:rPr>
            </w:pPr>
            <w:r w:rsidRPr="00040929">
              <w:rPr>
                <w:rFonts w:ascii="Times New Roman" w:hAnsi="Times New Roman"/>
                <w:sz w:val="20"/>
                <w:szCs w:val="20"/>
              </w:rPr>
              <w:t>1,25</w:t>
            </w:r>
          </w:p>
        </w:tc>
      </w:tr>
    </w:tbl>
    <w:p w:rsidR="00DC20D2" w:rsidRDefault="00040929" w:rsidP="00DC20D2">
      <w:pPr>
        <w:spacing w:after="240"/>
        <w:rPr>
          <w:rFonts w:ascii="Times New Roman" w:hAnsi="Times New Roman" w:cs="Times New Roman"/>
          <w:i/>
          <w:iCs/>
          <w:sz w:val="20"/>
        </w:rPr>
      </w:pPr>
      <w:r w:rsidRPr="00B03946">
        <w:rPr>
          <w:rFonts w:ascii="Times New Roman" w:hAnsi="Times New Roman" w:cs="Times New Roman"/>
          <w:b/>
          <w:sz w:val="20"/>
        </w:rPr>
        <w:t>Źródło</w:t>
      </w:r>
      <w:r w:rsidRPr="00040929">
        <w:rPr>
          <w:rFonts w:ascii="Times New Roman" w:hAnsi="Times New Roman" w:cs="Times New Roman"/>
          <w:sz w:val="20"/>
        </w:rPr>
        <w:t xml:space="preserve">: </w:t>
      </w:r>
      <w:r w:rsidRPr="00B03946">
        <w:rPr>
          <w:rFonts w:ascii="Times New Roman" w:hAnsi="Times New Roman" w:cs="Times New Roman"/>
          <w:i/>
          <w:sz w:val="20"/>
        </w:rPr>
        <w:t>„</w:t>
      </w:r>
      <w:r w:rsidRPr="00B03946">
        <w:rPr>
          <w:rFonts w:ascii="Times New Roman" w:hAnsi="Times New Roman" w:cs="Times New Roman"/>
          <w:i/>
          <w:iCs/>
          <w:sz w:val="20"/>
        </w:rPr>
        <w:t xml:space="preserve">Skup i ceny produktów rolnych </w:t>
      </w:r>
      <w:r w:rsidR="00FF37C4">
        <w:rPr>
          <w:rFonts w:ascii="Times New Roman" w:hAnsi="Times New Roman" w:cs="Times New Roman"/>
          <w:i/>
          <w:iCs/>
          <w:sz w:val="20"/>
        </w:rPr>
        <w:t>w 2015</w:t>
      </w:r>
      <w:r w:rsidR="00F414A6">
        <w:rPr>
          <w:rFonts w:ascii="Times New Roman" w:hAnsi="Times New Roman" w:cs="Times New Roman"/>
          <w:i/>
          <w:iCs/>
          <w:sz w:val="20"/>
        </w:rPr>
        <w:t xml:space="preserve"> r.”, GUS, Warszawa 2016</w:t>
      </w:r>
      <w:r w:rsidR="003A7298" w:rsidRPr="00B03946">
        <w:rPr>
          <w:rFonts w:ascii="Times New Roman" w:hAnsi="Times New Roman" w:cs="Times New Roman"/>
          <w:i/>
          <w:iCs/>
          <w:sz w:val="20"/>
        </w:rPr>
        <w:t>.</w:t>
      </w:r>
    </w:p>
    <w:p w:rsidR="00BA08E2" w:rsidRPr="005767E1" w:rsidRDefault="00796004" w:rsidP="005767E1">
      <w:pPr>
        <w:pStyle w:val="Nagwek2"/>
        <w:spacing w:line="240" w:lineRule="auto"/>
        <w:rPr>
          <w:rFonts w:eastAsia="Times New Roman"/>
          <w:color w:val="000000" w:themeColor="text1"/>
        </w:rPr>
      </w:pPr>
      <w:r w:rsidRPr="005767E1">
        <w:rPr>
          <w:rFonts w:eastAsia="Times New Roman"/>
          <w:color w:val="000000" w:themeColor="text1"/>
        </w:rPr>
        <w:t>Wyniki ekonomiczne spółdzielni</w:t>
      </w:r>
    </w:p>
    <w:p w:rsidR="009F755A" w:rsidRDefault="00917173" w:rsidP="005767E1">
      <w:pPr>
        <w:spacing w:before="80" w:after="0" w:line="264" w:lineRule="auto"/>
        <w:ind w:firstLine="425"/>
        <w:jc w:val="both"/>
        <w:rPr>
          <w:rFonts w:ascii="Times New Roman" w:hAnsi="Times New Roman"/>
          <w:sz w:val="24"/>
          <w:szCs w:val="24"/>
        </w:rPr>
      </w:pPr>
      <w:r>
        <w:rPr>
          <w:rFonts w:ascii="Times New Roman" w:hAnsi="Times New Roman"/>
          <w:sz w:val="24"/>
          <w:szCs w:val="24"/>
        </w:rPr>
        <w:t>Prezentowana a</w:t>
      </w:r>
      <w:r w:rsidR="00811C77">
        <w:rPr>
          <w:rFonts w:ascii="Times New Roman" w:hAnsi="Times New Roman"/>
          <w:sz w:val="24"/>
          <w:szCs w:val="24"/>
        </w:rPr>
        <w:t xml:space="preserve">naliza wyników ekonomicznych powstała w oparciu </w:t>
      </w:r>
      <w:r w:rsidR="0023106E">
        <w:rPr>
          <w:rFonts w:ascii="Times New Roman" w:hAnsi="Times New Roman"/>
          <w:sz w:val="24"/>
          <w:szCs w:val="24"/>
        </w:rPr>
        <w:t>o trzyletnie dane przekrojowe 90</w:t>
      </w:r>
      <w:r w:rsidR="00811C77">
        <w:rPr>
          <w:rFonts w:ascii="Times New Roman" w:hAnsi="Times New Roman"/>
          <w:sz w:val="24"/>
          <w:szCs w:val="24"/>
        </w:rPr>
        <w:t xml:space="preserve"> spółdzielni</w:t>
      </w:r>
      <w:r w:rsidR="00657F2B">
        <w:rPr>
          <w:rFonts w:ascii="Times New Roman" w:hAnsi="Times New Roman"/>
          <w:sz w:val="24"/>
          <w:szCs w:val="24"/>
        </w:rPr>
        <w:t>,</w:t>
      </w:r>
      <w:r w:rsidR="003D5815">
        <w:rPr>
          <w:rFonts w:ascii="Times New Roman" w:hAnsi="Times New Roman"/>
          <w:sz w:val="24"/>
          <w:szCs w:val="24"/>
        </w:rPr>
        <w:t xml:space="preserve"> rok</w:t>
      </w:r>
      <w:r w:rsidR="00811C77">
        <w:rPr>
          <w:rFonts w:ascii="Times New Roman" w:hAnsi="Times New Roman"/>
          <w:sz w:val="24"/>
          <w:szCs w:val="24"/>
        </w:rPr>
        <w:t>rocznie nadsyłając</w:t>
      </w:r>
      <w:r w:rsidR="00234D14">
        <w:rPr>
          <w:rFonts w:ascii="Times New Roman" w:hAnsi="Times New Roman"/>
          <w:sz w:val="24"/>
          <w:szCs w:val="24"/>
        </w:rPr>
        <w:t>ych</w:t>
      </w:r>
      <w:r w:rsidR="00811C77">
        <w:rPr>
          <w:rFonts w:ascii="Times New Roman" w:hAnsi="Times New Roman"/>
          <w:sz w:val="24"/>
          <w:szCs w:val="24"/>
        </w:rPr>
        <w:t xml:space="preserve"> ankiety</w:t>
      </w:r>
      <w:r w:rsidR="005A4CD9">
        <w:rPr>
          <w:rFonts w:ascii="Times New Roman" w:hAnsi="Times New Roman"/>
          <w:sz w:val="24"/>
          <w:szCs w:val="24"/>
        </w:rPr>
        <w:t xml:space="preserve"> (t</w:t>
      </w:r>
      <w:r w:rsidR="004A46F9">
        <w:rPr>
          <w:rFonts w:ascii="Times New Roman" w:hAnsi="Times New Roman"/>
          <w:sz w:val="24"/>
          <w:szCs w:val="24"/>
        </w:rPr>
        <w:t>abela 3)</w:t>
      </w:r>
      <w:r w:rsidR="00811C77">
        <w:rPr>
          <w:rFonts w:ascii="Times New Roman" w:hAnsi="Times New Roman"/>
          <w:sz w:val="24"/>
          <w:szCs w:val="24"/>
        </w:rPr>
        <w:t xml:space="preserve">. </w:t>
      </w:r>
      <w:r>
        <w:rPr>
          <w:rFonts w:ascii="Times New Roman" w:hAnsi="Times New Roman"/>
          <w:sz w:val="24"/>
          <w:szCs w:val="24"/>
        </w:rPr>
        <w:t>Taka wielkość panelu u</w:t>
      </w:r>
      <w:r w:rsidR="00811C77">
        <w:rPr>
          <w:rFonts w:ascii="Times New Roman" w:hAnsi="Times New Roman"/>
          <w:sz w:val="24"/>
          <w:szCs w:val="24"/>
        </w:rPr>
        <w:t>możliwia</w:t>
      </w:r>
      <w:r w:rsidR="009F755A">
        <w:rPr>
          <w:rFonts w:ascii="Times New Roman" w:hAnsi="Times New Roman"/>
          <w:sz w:val="24"/>
          <w:szCs w:val="24"/>
        </w:rPr>
        <w:t xml:space="preserve"> wnioskowanie dla całej grupy tego typu gospodarstw</w:t>
      </w:r>
      <w:r w:rsidR="00D50B4B">
        <w:rPr>
          <w:rFonts w:ascii="Times New Roman" w:hAnsi="Times New Roman"/>
          <w:sz w:val="24"/>
          <w:szCs w:val="24"/>
        </w:rPr>
        <w:t>,</w:t>
      </w:r>
      <w:r w:rsidR="009F755A">
        <w:rPr>
          <w:rFonts w:ascii="Times New Roman" w:hAnsi="Times New Roman"/>
          <w:sz w:val="24"/>
          <w:szCs w:val="24"/>
        </w:rPr>
        <w:t xml:space="preserve"> których</w:t>
      </w:r>
      <w:r>
        <w:rPr>
          <w:rFonts w:ascii="Times New Roman" w:hAnsi="Times New Roman"/>
          <w:sz w:val="24"/>
          <w:szCs w:val="24"/>
        </w:rPr>
        <w:t xml:space="preserve"> w</w:t>
      </w:r>
      <w:r w:rsidR="00234D14">
        <w:rPr>
          <w:rFonts w:ascii="Times New Roman" w:hAnsi="Times New Roman"/>
          <w:sz w:val="24"/>
          <w:szCs w:val="24"/>
        </w:rPr>
        <w:t>g</w:t>
      </w:r>
      <w:r>
        <w:rPr>
          <w:rFonts w:ascii="Times New Roman" w:hAnsi="Times New Roman"/>
          <w:sz w:val="24"/>
          <w:szCs w:val="24"/>
        </w:rPr>
        <w:t xml:space="preserve"> szacunków jest </w:t>
      </w:r>
      <w:r w:rsidR="009F755A">
        <w:rPr>
          <w:rFonts w:ascii="Times New Roman" w:hAnsi="Times New Roman"/>
          <w:sz w:val="24"/>
          <w:szCs w:val="24"/>
        </w:rPr>
        <w:t xml:space="preserve">w Polsce około </w:t>
      </w:r>
      <w:r w:rsidR="00234D14">
        <w:rPr>
          <w:rFonts w:ascii="Times New Roman" w:hAnsi="Times New Roman"/>
          <w:sz w:val="24"/>
          <w:szCs w:val="24"/>
        </w:rPr>
        <w:t>7</w:t>
      </w:r>
      <w:r w:rsidR="009F755A">
        <w:rPr>
          <w:rFonts w:ascii="Times New Roman" w:hAnsi="Times New Roman"/>
          <w:sz w:val="24"/>
          <w:szCs w:val="24"/>
        </w:rPr>
        <w:t>00.</w:t>
      </w:r>
    </w:p>
    <w:p w:rsidR="00B909BA" w:rsidRDefault="00B909BA" w:rsidP="005767E1">
      <w:pPr>
        <w:tabs>
          <w:tab w:val="left" w:pos="426"/>
        </w:tabs>
        <w:spacing w:before="80" w:after="0" w:line="264" w:lineRule="auto"/>
        <w:jc w:val="both"/>
        <w:rPr>
          <w:rFonts w:ascii="Times New Roman" w:hAnsi="Times New Roman"/>
          <w:sz w:val="24"/>
          <w:szCs w:val="24"/>
        </w:rPr>
      </w:pPr>
      <w:r>
        <w:rPr>
          <w:rFonts w:ascii="Times New Roman" w:hAnsi="Times New Roman"/>
          <w:sz w:val="24"/>
          <w:szCs w:val="24"/>
        </w:rPr>
        <w:lastRenderedPageBreak/>
        <w:tab/>
        <w:t>Ostatni rok 2015 nie był dla rolnictwa w naszym regionie udany</w:t>
      </w:r>
      <w:r w:rsidR="00C43E9E">
        <w:rPr>
          <w:rFonts w:ascii="Times New Roman" w:hAnsi="Times New Roman"/>
          <w:sz w:val="24"/>
          <w:szCs w:val="24"/>
        </w:rPr>
        <w:t>.</w:t>
      </w:r>
      <w:r>
        <w:rPr>
          <w:rFonts w:ascii="Times New Roman" w:hAnsi="Times New Roman"/>
          <w:sz w:val="24"/>
          <w:szCs w:val="24"/>
        </w:rPr>
        <w:t xml:space="preserve"> </w:t>
      </w:r>
      <w:r w:rsidR="00C43E9E">
        <w:rPr>
          <w:rFonts w:ascii="Times New Roman" w:hAnsi="Times New Roman"/>
          <w:sz w:val="24"/>
          <w:szCs w:val="24"/>
        </w:rPr>
        <w:t>W</w:t>
      </w:r>
      <w:r>
        <w:rPr>
          <w:rFonts w:ascii="Times New Roman" w:hAnsi="Times New Roman"/>
          <w:sz w:val="24"/>
          <w:szCs w:val="24"/>
        </w:rPr>
        <w:t xml:space="preserve"> wielu obszarach Polski rolnicy musieli borykać się z wielotygodniową suszą, która spowodowała znaczące straty w produkcji. Mimo niekorzystnego przebiegu pogody</w:t>
      </w:r>
      <w:r w:rsidR="00A67324">
        <w:rPr>
          <w:rFonts w:ascii="Times New Roman" w:hAnsi="Times New Roman"/>
          <w:sz w:val="24"/>
          <w:szCs w:val="24"/>
        </w:rPr>
        <w:t>,</w:t>
      </w:r>
      <w:r w:rsidR="00E027BD">
        <w:rPr>
          <w:rFonts w:ascii="Times New Roman" w:hAnsi="Times New Roman"/>
          <w:sz w:val="24"/>
          <w:szCs w:val="24"/>
        </w:rPr>
        <w:t xml:space="preserve"> wyjątkowo niskich plonów,</w:t>
      </w:r>
      <w:r>
        <w:rPr>
          <w:rFonts w:ascii="Times New Roman" w:hAnsi="Times New Roman"/>
          <w:sz w:val="24"/>
          <w:szCs w:val="24"/>
        </w:rPr>
        <w:t xml:space="preserve"> duże zapasy </w:t>
      </w:r>
      <w:r w:rsidR="00A67324">
        <w:rPr>
          <w:rFonts w:ascii="Times New Roman" w:hAnsi="Times New Roman"/>
          <w:sz w:val="24"/>
          <w:szCs w:val="24"/>
        </w:rPr>
        <w:t xml:space="preserve">sprawiły, że ceny </w:t>
      </w:r>
      <w:r w:rsidR="00993CBE">
        <w:rPr>
          <w:rFonts w:ascii="Times New Roman" w:hAnsi="Times New Roman"/>
          <w:sz w:val="24"/>
          <w:szCs w:val="24"/>
        </w:rPr>
        <w:t>płodów</w:t>
      </w:r>
      <w:r w:rsidR="00A67324">
        <w:rPr>
          <w:rFonts w:ascii="Times New Roman" w:hAnsi="Times New Roman"/>
          <w:sz w:val="24"/>
          <w:szCs w:val="24"/>
        </w:rPr>
        <w:t xml:space="preserve"> rolnych wzrosły </w:t>
      </w:r>
      <w:r w:rsidR="00993CBE">
        <w:rPr>
          <w:rFonts w:ascii="Times New Roman" w:hAnsi="Times New Roman"/>
          <w:sz w:val="24"/>
          <w:szCs w:val="24"/>
        </w:rPr>
        <w:t>nieznacznie, co przełożyło się bezpośrednio na obniżenie wielkoś</w:t>
      </w:r>
      <w:r w:rsidR="00FE7995">
        <w:rPr>
          <w:rFonts w:ascii="Times New Roman" w:hAnsi="Times New Roman"/>
          <w:sz w:val="24"/>
          <w:szCs w:val="24"/>
        </w:rPr>
        <w:t>ci</w:t>
      </w:r>
      <w:r w:rsidR="00993CBE">
        <w:rPr>
          <w:rFonts w:ascii="Times New Roman" w:hAnsi="Times New Roman"/>
          <w:sz w:val="24"/>
          <w:szCs w:val="24"/>
        </w:rPr>
        <w:t xml:space="preserve"> sprzeda</w:t>
      </w:r>
      <w:r w:rsidR="00FE7995">
        <w:rPr>
          <w:rFonts w:ascii="Times New Roman" w:hAnsi="Times New Roman"/>
          <w:sz w:val="24"/>
          <w:szCs w:val="24"/>
        </w:rPr>
        <w:t>ż</w:t>
      </w:r>
      <w:r w:rsidR="00993CBE">
        <w:rPr>
          <w:rFonts w:ascii="Times New Roman" w:hAnsi="Times New Roman"/>
          <w:sz w:val="24"/>
          <w:szCs w:val="24"/>
        </w:rPr>
        <w:t>y</w:t>
      </w:r>
      <w:r w:rsidR="00A67324">
        <w:rPr>
          <w:rFonts w:ascii="Times New Roman" w:hAnsi="Times New Roman"/>
          <w:sz w:val="24"/>
          <w:szCs w:val="24"/>
        </w:rPr>
        <w:t>.</w:t>
      </w:r>
      <w:r w:rsidR="009E1F23">
        <w:rPr>
          <w:rFonts w:ascii="Times New Roman" w:hAnsi="Times New Roman"/>
          <w:sz w:val="24"/>
          <w:szCs w:val="24"/>
        </w:rPr>
        <w:t xml:space="preserve"> Ta niekorzystna sytuacja</w:t>
      </w:r>
      <w:r w:rsidR="00E027BD">
        <w:rPr>
          <w:rFonts w:ascii="Times New Roman" w:hAnsi="Times New Roman"/>
          <w:sz w:val="24"/>
          <w:szCs w:val="24"/>
        </w:rPr>
        <w:t xml:space="preserve"> jest </w:t>
      </w:r>
      <w:r w:rsidR="009E1F23">
        <w:rPr>
          <w:rFonts w:ascii="Times New Roman" w:hAnsi="Times New Roman"/>
          <w:sz w:val="24"/>
          <w:szCs w:val="24"/>
        </w:rPr>
        <w:t>wyraźnie</w:t>
      </w:r>
      <w:r w:rsidR="008B169A">
        <w:rPr>
          <w:rFonts w:ascii="Times New Roman" w:hAnsi="Times New Roman"/>
          <w:sz w:val="24"/>
          <w:szCs w:val="24"/>
        </w:rPr>
        <w:t xml:space="preserve"> </w:t>
      </w:r>
      <w:r w:rsidR="00E027BD">
        <w:rPr>
          <w:rFonts w:ascii="Times New Roman" w:hAnsi="Times New Roman"/>
          <w:sz w:val="24"/>
          <w:szCs w:val="24"/>
        </w:rPr>
        <w:t>widoczna</w:t>
      </w:r>
      <w:r>
        <w:rPr>
          <w:rFonts w:ascii="Times New Roman" w:hAnsi="Times New Roman"/>
          <w:sz w:val="24"/>
          <w:szCs w:val="24"/>
        </w:rPr>
        <w:t xml:space="preserve"> w prezentowanych wynikach </w:t>
      </w:r>
      <w:r w:rsidR="008D471E">
        <w:rPr>
          <w:rFonts w:ascii="Times New Roman" w:hAnsi="Times New Roman"/>
          <w:sz w:val="24"/>
          <w:szCs w:val="24"/>
        </w:rPr>
        <w:t xml:space="preserve">spółdzielni </w:t>
      </w:r>
      <w:r>
        <w:rPr>
          <w:rFonts w:ascii="Times New Roman" w:hAnsi="Times New Roman"/>
          <w:sz w:val="24"/>
          <w:szCs w:val="24"/>
        </w:rPr>
        <w:t>za 2015</w:t>
      </w:r>
      <w:r w:rsidR="00C43E9E">
        <w:rPr>
          <w:rFonts w:ascii="Times New Roman" w:hAnsi="Times New Roman"/>
          <w:sz w:val="24"/>
          <w:szCs w:val="24"/>
        </w:rPr>
        <w:t xml:space="preserve"> r.</w:t>
      </w:r>
      <w:r w:rsidR="008B169A">
        <w:rPr>
          <w:rFonts w:ascii="Times New Roman" w:hAnsi="Times New Roman"/>
          <w:sz w:val="24"/>
          <w:szCs w:val="24"/>
        </w:rPr>
        <w:t xml:space="preserve"> (tabela</w:t>
      </w:r>
      <w:r w:rsidR="00AA2781">
        <w:rPr>
          <w:rFonts w:ascii="Times New Roman" w:hAnsi="Times New Roman"/>
          <w:sz w:val="24"/>
          <w:szCs w:val="24"/>
        </w:rPr>
        <w:t xml:space="preserve"> </w:t>
      </w:r>
      <w:r w:rsidR="008B169A">
        <w:rPr>
          <w:rFonts w:ascii="Times New Roman" w:hAnsi="Times New Roman"/>
          <w:sz w:val="24"/>
          <w:szCs w:val="24"/>
        </w:rPr>
        <w:t>3)</w:t>
      </w:r>
      <w:r>
        <w:rPr>
          <w:rFonts w:ascii="Times New Roman" w:hAnsi="Times New Roman"/>
          <w:sz w:val="24"/>
          <w:szCs w:val="24"/>
        </w:rPr>
        <w:t>.</w:t>
      </w:r>
    </w:p>
    <w:p w:rsidR="00D106D1" w:rsidRDefault="00F336F9" w:rsidP="005767E1">
      <w:pPr>
        <w:tabs>
          <w:tab w:val="left" w:pos="426"/>
        </w:tabs>
        <w:spacing w:before="80" w:after="0" w:line="264" w:lineRule="auto"/>
        <w:jc w:val="both"/>
        <w:rPr>
          <w:rFonts w:ascii="Times New Roman" w:hAnsi="Times New Roman"/>
          <w:sz w:val="24"/>
          <w:szCs w:val="24"/>
        </w:rPr>
      </w:pPr>
      <w:r>
        <w:rPr>
          <w:rFonts w:ascii="Times New Roman" w:hAnsi="Times New Roman"/>
          <w:sz w:val="24"/>
          <w:szCs w:val="24"/>
        </w:rPr>
        <w:tab/>
      </w:r>
      <w:r w:rsidR="00B909BA">
        <w:rPr>
          <w:rFonts w:ascii="Times New Roman" w:hAnsi="Times New Roman"/>
          <w:sz w:val="24"/>
          <w:szCs w:val="24"/>
        </w:rPr>
        <w:t>W</w:t>
      </w:r>
      <w:r w:rsidR="001F1EC8" w:rsidRPr="001128E4">
        <w:rPr>
          <w:rFonts w:ascii="Times New Roman" w:hAnsi="Times New Roman"/>
          <w:sz w:val="24"/>
          <w:szCs w:val="24"/>
        </w:rPr>
        <w:t>skaźnik dochodo</w:t>
      </w:r>
      <w:r w:rsidR="00056F1D" w:rsidRPr="001128E4">
        <w:rPr>
          <w:rFonts w:ascii="Times New Roman" w:hAnsi="Times New Roman"/>
          <w:sz w:val="24"/>
          <w:szCs w:val="24"/>
        </w:rPr>
        <w:t>wości działalności gospodarczej</w:t>
      </w:r>
      <w:r w:rsidR="00B909BA">
        <w:rPr>
          <w:rFonts w:ascii="Times New Roman" w:hAnsi="Times New Roman"/>
          <w:sz w:val="24"/>
          <w:szCs w:val="24"/>
        </w:rPr>
        <w:t xml:space="preserve"> </w:t>
      </w:r>
      <w:r w:rsidR="00F35999">
        <w:rPr>
          <w:rFonts w:ascii="Times New Roman" w:hAnsi="Times New Roman"/>
          <w:sz w:val="24"/>
          <w:szCs w:val="24"/>
        </w:rPr>
        <w:t>spadł</w:t>
      </w:r>
      <w:r w:rsidR="001128E4" w:rsidRPr="001128E4">
        <w:rPr>
          <w:rFonts w:ascii="Times New Roman" w:hAnsi="Times New Roman"/>
          <w:sz w:val="24"/>
          <w:szCs w:val="24"/>
        </w:rPr>
        <w:t xml:space="preserve"> w relacji do </w:t>
      </w:r>
      <w:r w:rsidR="001128E4">
        <w:rPr>
          <w:rFonts w:ascii="Times New Roman" w:hAnsi="Times New Roman"/>
          <w:sz w:val="24"/>
          <w:szCs w:val="24"/>
        </w:rPr>
        <w:t>201</w:t>
      </w:r>
      <w:r w:rsidR="00F35999">
        <w:rPr>
          <w:rFonts w:ascii="Times New Roman" w:hAnsi="Times New Roman"/>
          <w:sz w:val="24"/>
          <w:szCs w:val="24"/>
        </w:rPr>
        <w:t>4</w:t>
      </w:r>
      <w:r w:rsidR="001128E4">
        <w:rPr>
          <w:rFonts w:ascii="Times New Roman" w:hAnsi="Times New Roman"/>
          <w:sz w:val="24"/>
          <w:szCs w:val="24"/>
        </w:rPr>
        <w:t xml:space="preserve"> </w:t>
      </w:r>
      <w:r w:rsidR="001128E4" w:rsidRPr="001128E4">
        <w:rPr>
          <w:rFonts w:ascii="Times New Roman" w:hAnsi="Times New Roman"/>
          <w:sz w:val="24"/>
          <w:szCs w:val="24"/>
        </w:rPr>
        <w:t>r</w:t>
      </w:r>
      <w:r w:rsidR="00C43E9E">
        <w:rPr>
          <w:rFonts w:ascii="Times New Roman" w:hAnsi="Times New Roman"/>
          <w:sz w:val="24"/>
          <w:szCs w:val="24"/>
        </w:rPr>
        <w:t>.</w:t>
      </w:r>
      <w:r w:rsidR="00827051" w:rsidRPr="001128E4">
        <w:rPr>
          <w:rFonts w:ascii="Times New Roman" w:hAnsi="Times New Roman"/>
          <w:sz w:val="24"/>
          <w:szCs w:val="24"/>
        </w:rPr>
        <w:t xml:space="preserve"> </w:t>
      </w:r>
      <w:r w:rsidR="000151A8" w:rsidRPr="001128E4">
        <w:rPr>
          <w:rFonts w:ascii="Times New Roman" w:hAnsi="Times New Roman"/>
          <w:sz w:val="24"/>
          <w:szCs w:val="24"/>
        </w:rPr>
        <w:t xml:space="preserve">o </w:t>
      </w:r>
      <w:r w:rsidR="00F35999">
        <w:rPr>
          <w:rFonts w:ascii="Times New Roman" w:hAnsi="Times New Roman"/>
          <w:sz w:val="24"/>
          <w:szCs w:val="24"/>
        </w:rPr>
        <w:t>3</w:t>
      </w:r>
      <w:r w:rsidR="009D1006" w:rsidRPr="001128E4">
        <w:rPr>
          <w:rFonts w:ascii="Times New Roman" w:hAnsi="Times New Roman"/>
          <w:sz w:val="24"/>
          <w:szCs w:val="24"/>
        </w:rPr>
        <w:t xml:space="preserve"> </w:t>
      </w:r>
      <w:r w:rsidR="000151A8" w:rsidRPr="001128E4">
        <w:rPr>
          <w:rFonts w:ascii="Times New Roman" w:hAnsi="Times New Roman"/>
          <w:sz w:val="24"/>
          <w:szCs w:val="24"/>
        </w:rPr>
        <w:t>p.p.,</w:t>
      </w:r>
      <w:r w:rsidR="00F35999">
        <w:rPr>
          <w:rFonts w:ascii="Times New Roman" w:hAnsi="Times New Roman"/>
          <w:sz w:val="24"/>
          <w:szCs w:val="24"/>
        </w:rPr>
        <w:t xml:space="preserve"> była to wi</w:t>
      </w:r>
      <w:r w:rsidR="00AA2781">
        <w:rPr>
          <w:rFonts w:ascii="Times New Roman" w:hAnsi="Times New Roman"/>
          <w:sz w:val="24"/>
          <w:szCs w:val="24"/>
        </w:rPr>
        <w:t>ę</w:t>
      </w:r>
      <w:r w:rsidR="00C43E9E">
        <w:rPr>
          <w:rFonts w:ascii="Times New Roman" w:hAnsi="Times New Roman"/>
          <w:sz w:val="24"/>
          <w:szCs w:val="24"/>
        </w:rPr>
        <w:t>c z</w:t>
      </w:r>
      <w:r w:rsidR="00F35999">
        <w:rPr>
          <w:rFonts w:ascii="Times New Roman" w:hAnsi="Times New Roman"/>
          <w:sz w:val="24"/>
          <w:szCs w:val="24"/>
        </w:rPr>
        <w:t>miana odczuwalna</w:t>
      </w:r>
      <w:r w:rsidR="001128E4">
        <w:rPr>
          <w:rFonts w:ascii="Times New Roman" w:hAnsi="Times New Roman"/>
          <w:sz w:val="24"/>
          <w:szCs w:val="24"/>
        </w:rPr>
        <w:t>.</w:t>
      </w:r>
      <w:r w:rsidR="00F35999">
        <w:rPr>
          <w:rFonts w:ascii="Times New Roman" w:hAnsi="Times New Roman"/>
          <w:sz w:val="24"/>
          <w:szCs w:val="24"/>
        </w:rPr>
        <w:t xml:space="preserve"> Należy przypomnieć</w:t>
      </w:r>
      <w:r w:rsidR="009E1F23">
        <w:rPr>
          <w:rFonts w:ascii="Times New Roman" w:hAnsi="Times New Roman"/>
          <w:sz w:val="24"/>
          <w:szCs w:val="24"/>
        </w:rPr>
        <w:t>,</w:t>
      </w:r>
      <w:r w:rsidR="00F35999">
        <w:rPr>
          <w:rFonts w:ascii="Times New Roman" w:hAnsi="Times New Roman"/>
          <w:sz w:val="24"/>
          <w:szCs w:val="24"/>
        </w:rPr>
        <w:t xml:space="preserve"> że w 2014 r</w:t>
      </w:r>
      <w:r w:rsidR="00C43E9E">
        <w:rPr>
          <w:rFonts w:ascii="Times New Roman" w:hAnsi="Times New Roman"/>
          <w:sz w:val="24"/>
          <w:szCs w:val="24"/>
        </w:rPr>
        <w:t>.</w:t>
      </w:r>
      <w:r w:rsidR="008B169A">
        <w:rPr>
          <w:rFonts w:ascii="Times New Roman" w:hAnsi="Times New Roman"/>
          <w:sz w:val="24"/>
          <w:szCs w:val="24"/>
        </w:rPr>
        <w:t xml:space="preserve"> również mieliśmy do czynienia</w:t>
      </w:r>
      <w:r w:rsidR="00F35999">
        <w:rPr>
          <w:rFonts w:ascii="Times New Roman" w:hAnsi="Times New Roman"/>
          <w:sz w:val="24"/>
          <w:szCs w:val="24"/>
        </w:rPr>
        <w:t xml:space="preserve"> z obniżeniem wartości tego wskaźnika</w:t>
      </w:r>
      <w:r w:rsidR="00E027BD">
        <w:rPr>
          <w:rFonts w:ascii="Times New Roman" w:hAnsi="Times New Roman"/>
          <w:sz w:val="24"/>
          <w:szCs w:val="24"/>
        </w:rPr>
        <w:t xml:space="preserve">, </w:t>
      </w:r>
      <w:r w:rsidR="00F35999">
        <w:rPr>
          <w:rFonts w:ascii="Times New Roman" w:hAnsi="Times New Roman"/>
          <w:sz w:val="24"/>
          <w:szCs w:val="24"/>
        </w:rPr>
        <w:t>ch</w:t>
      </w:r>
      <w:r w:rsidR="00E027BD">
        <w:rPr>
          <w:rFonts w:ascii="Times New Roman" w:hAnsi="Times New Roman"/>
          <w:sz w:val="24"/>
          <w:szCs w:val="24"/>
        </w:rPr>
        <w:t>oć</w:t>
      </w:r>
      <w:r w:rsidR="00F35999">
        <w:rPr>
          <w:rFonts w:ascii="Times New Roman" w:hAnsi="Times New Roman"/>
          <w:sz w:val="24"/>
          <w:szCs w:val="24"/>
        </w:rPr>
        <w:t xml:space="preserve"> nie był on wówczas </w:t>
      </w:r>
      <w:r w:rsidR="008B169A">
        <w:rPr>
          <w:rFonts w:ascii="Times New Roman" w:hAnsi="Times New Roman"/>
          <w:sz w:val="24"/>
          <w:szCs w:val="24"/>
        </w:rPr>
        <w:t>znaczący</w:t>
      </w:r>
      <w:r w:rsidR="00AA2781">
        <w:rPr>
          <w:rFonts w:ascii="Times New Roman" w:hAnsi="Times New Roman"/>
          <w:sz w:val="24"/>
          <w:szCs w:val="24"/>
        </w:rPr>
        <w:t>.</w:t>
      </w:r>
      <w:r w:rsidR="00F35999">
        <w:rPr>
          <w:rFonts w:ascii="Times New Roman" w:hAnsi="Times New Roman"/>
          <w:sz w:val="24"/>
          <w:szCs w:val="24"/>
        </w:rPr>
        <w:t xml:space="preserve"> </w:t>
      </w:r>
      <w:r w:rsidR="00AA2781">
        <w:rPr>
          <w:rFonts w:ascii="Times New Roman" w:hAnsi="Times New Roman"/>
          <w:sz w:val="24"/>
          <w:szCs w:val="24"/>
        </w:rPr>
        <w:t>W</w:t>
      </w:r>
      <w:r w:rsidR="001128E4">
        <w:rPr>
          <w:rFonts w:ascii="Times New Roman" w:hAnsi="Times New Roman"/>
          <w:sz w:val="24"/>
          <w:szCs w:val="24"/>
        </w:rPr>
        <w:t xml:space="preserve"> perspektywie</w:t>
      </w:r>
      <w:r w:rsidR="009E1F23">
        <w:rPr>
          <w:rFonts w:ascii="Times New Roman" w:hAnsi="Times New Roman"/>
          <w:sz w:val="24"/>
          <w:szCs w:val="24"/>
        </w:rPr>
        <w:t xml:space="preserve"> ostatnich 3 lat możemy wię</w:t>
      </w:r>
      <w:r w:rsidR="00F35999">
        <w:rPr>
          <w:rFonts w:ascii="Times New Roman" w:hAnsi="Times New Roman"/>
          <w:sz w:val="24"/>
          <w:szCs w:val="24"/>
        </w:rPr>
        <w:t>c mówić</w:t>
      </w:r>
      <w:r w:rsidR="008B169A">
        <w:rPr>
          <w:rFonts w:ascii="Times New Roman" w:hAnsi="Times New Roman"/>
          <w:sz w:val="24"/>
          <w:szCs w:val="24"/>
        </w:rPr>
        <w:t xml:space="preserve"> o trwałym trendzie, który spowodował</w:t>
      </w:r>
      <w:r w:rsidR="00F35999">
        <w:rPr>
          <w:rFonts w:ascii="Times New Roman" w:hAnsi="Times New Roman"/>
          <w:sz w:val="24"/>
          <w:szCs w:val="24"/>
        </w:rPr>
        <w:t xml:space="preserve"> </w:t>
      </w:r>
      <w:r w:rsidR="00C43E9E">
        <w:rPr>
          <w:rFonts w:ascii="Times New Roman" w:hAnsi="Times New Roman"/>
          <w:sz w:val="24"/>
          <w:szCs w:val="24"/>
        </w:rPr>
        <w:t>10</w:t>
      </w:r>
      <w:r w:rsidR="008B169A">
        <w:rPr>
          <w:rFonts w:ascii="Times New Roman" w:hAnsi="Times New Roman"/>
          <w:sz w:val="24"/>
          <w:szCs w:val="24"/>
        </w:rPr>
        <w:t>% spadek</w:t>
      </w:r>
      <w:r w:rsidR="00F35999">
        <w:rPr>
          <w:rFonts w:ascii="Times New Roman" w:hAnsi="Times New Roman"/>
          <w:sz w:val="24"/>
          <w:szCs w:val="24"/>
        </w:rPr>
        <w:t xml:space="preserve"> dochodowości działalności gospodarczej.</w:t>
      </w:r>
      <w:r w:rsidR="001128E4">
        <w:rPr>
          <w:rFonts w:ascii="Times New Roman" w:hAnsi="Times New Roman"/>
          <w:sz w:val="24"/>
          <w:szCs w:val="24"/>
        </w:rPr>
        <w:t xml:space="preserve"> </w:t>
      </w:r>
      <w:r w:rsidR="00F5382B">
        <w:rPr>
          <w:rFonts w:ascii="Times New Roman" w:hAnsi="Times New Roman"/>
          <w:sz w:val="24"/>
          <w:szCs w:val="24"/>
        </w:rPr>
        <w:t>Podobn</w:t>
      </w:r>
      <w:r w:rsidR="00D106D1">
        <w:rPr>
          <w:rFonts w:ascii="Times New Roman" w:hAnsi="Times New Roman"/>
          <w:sz w:val="24"/>
          <w:szCs w:val="24"/>
        </w:rPr>
        <w:t>e relacje</w:t>
      </w:r>
      <w:r w:rsidR="00E027BD">
        <w:rPr>
          <w:rFonts w:ascii="Times New Roman" w:hAnsi="Times New Roman"/>
          <w:sz w:val="24"/>
          <w:szCs w:val="24"/>
        </w:rPr>
        <w:t xml:space="preserve"> mi</w:t>
      </w:r>
      <w:r w:rsidR="00F5382B">
        <w:rPr>
          <w:rFonts w:ascii="Times New Roman" w:hAnsi="Times New Roman"/>
          <w:sz w:val="24"/>
          <w:szCs w:val="24"/>
        </w:rPr>
        <w:t>ę</w:t>
      </w:r>
      <w:r w:rsidR="00E027BD">
        <w:rPr>
          <w:rFonts w:ascii="Times New Roman" w:hAnsi="Times New Roman"/>
          <w:sz w:val="24"/>
          <w:szCs w:val="24"/>
        </w:rPr>
        <w:t xml:space="preserve">dzy latami 2015 </w:t>
      </w:r>
      <w:r w:rsidR="00E749FF">
        <w:rPr>
          <w:rFonts w:ascii="Times New Roman" w:hAnsi="Times New Roman"/>
          <w:sz w:val="24"/>
          <w:szCs w:val="24"/>
        </w:rPr>
        <w:t>i 2014 obrazuje</w:t>
      </w:r>
      <w:r w:rsidR="00D106D1">
        <w:rPr>
          <w:rFonts w:ascii="Times New Roman" w:hAnsi="Times New Roman"/>
          <w:sz w:val="24"/>
          <w:szCs w:val="24"/>
        </w:rPr>
        <w:t xml:space="preserve"> wskaźnik wartości dodanej, choć tu ze względu na większą </w:t>
      </w:r>
      <w:r w:rsidR="008B169A">
        <w:rPr>
          <w:rFonts w:ascii="Times New Roman" w:hAnsi="Times New Roman"/>
          <w:sz w:val="24"/>
          <w:szCs w:val="24"/>
        </w:rPr>
        <w:t>złożoność</w:t>
      </w:r>
      <w:r w:rsidR="00D106D1">
        <w:rPr>
          <w:rFonts w:ascii="Times New Roman" w:hAnsi="Times New Roman"/>
          <w:sz w:val="24"/>
          <w:szCs w:val="24"/>
        </w:rPr>
        <w:t xml:space="preserve"> miały </w:t>
      </w:r>
      <w:r w:rsidR="0000484E">
        <w:rPr>
          <w:rFonts w:ascii="Times New Roman" w:hAnsi="Times New Roman"/>
          <w:sz w:val="24"/>
          <w:szCs w:val="24"/>
        </w:rPr>
        <w:t xml:space="preserve">one </w:t>
      </w:r>
      <w:r w:rsidR="00E027BD">
        <w:rPr>
          <w:rFonts w:ascii="Times New Roman" w:hAnsi="Times New Roman"/>
          <w:sz w:val="24"/>
          <w:szCs w:val="24"/>
        </w:rPr>
        <w:t>łagodniejszy charakter.</w:t>
      </w:r>
    </w:p>
    <w:p w:rsidR="00D024AD" w:rsidRDefault="00DC3628" w:rsidP="005767E1">
      <w:pPr>
        <w:spacing w:before="80" w:after="0" w:line="264" w:lineRule="auto"/>
        <w:ind w:firstLine="426"/>
        <w:jc w:val="both"/>
        <w:rPr>
          <w:rFonts w:ascii="Times New Roman" w:hAnsi="Times New Roman"/>
          <w:sz w:val="24"/>
          <w:szCs w:val="24"/>
        </w:rPr>
      </w:pPr>
      <w:r>
        <w:rPr>
          <w:rFonts w:ascii="Times New Roman" w:hAnsi="Times New Roman"/>
          <w:sz w:val="24"/>
          <w:szCs w:val="24"/>
        </w:rPr>
        <w:t>Na pogorszenie sytuacji dochodowej RSP</w:t>
      </w:r>
      <w:r w:rsidR="009E1F23">
        <w:rPr>
          <w:rFonts w:ascii="Times New Roman" w:hAnsi="Times New Roman"/>
          <w:sz w:val="24"/>
          <w:szCs w:val="24"/>
        </w:rPr>
        <w:t>,</w:t>
      </w:r>
      <w:r>
        <w:rPr>
          <w:rFonts w:ascii="Times New Roman" w:hAnsi="Times New Roman"/>
          <w:sz w:val="24"/>
          <w:szCs w:val="24"/>
        </w:rPr>
        <w:t xml:space="preserve"> oprócz suszy i sytuacji rynkowej, </w:t>
      </w:r>
      <w:r w:rsidR="008B169A">
        <w:rPr>
          <w:rFonts w:ascii="Times New Roman" w:hAnsi="Times New Roman"/>
          <w:sz w:val="24"/>
          <w:szCs w:val="24"/>
        </w:rPr>
        <w:t>oddziaływał</w:t>
      </w:r>
      <w:r>
        <w:rPr>
          <w:rFonts w:ascii="Times New Roman" w:hAnsi="Times New Roman"/>
          <w:sz w:val="24"/>
          <w:szCs w:val="24"/>
        </w:rPr>
        <w:t xml:space="preserve"> również jeszcze jeden czynnik, </w:t>
      </w:r>
      <w:r w:rsidR="00F5382B">
        <w:rPr>
          <w:rFonts w:ascii="Times New Roman" w:hAnsi="Times New Roman"/>
          <w:sz w:val="24"/>
          <w:szCs w:val="24"/>
        </w:rPr>
        <w:t xml:space="preserve">a </w:t>
      </w:r>
      <w:r>
        <w:rPr>
          <w:rFonts w:ascii="Times New Roman" w:hAnsi="Times New Roman"/>
          <w:sz w:val="24"/>
          <w:szCs w:val="24"/>
        </w:rPr>
        <w:t>mianowicie</w:t>
      </w:r>
      <w:r w:rsidR="008B169A">
        <w:rPr>
          <w:rFonts w:ascii="Times New Roman" w:hAnsi="Times New Roman"/>
          <w:sz w:val="24"/>
          <w:szCs w:val="24"/>
        </w:rPr>
        <w:t xml:space="preserve"> wysokość strumienia</w:t>
      </w:r>
      <w:r>
        <w:rPr>
          <w:rFonts w:ascii="Times New Roman" w:hAnsi="Times New Roman"/>
          <w:sz w:val="24"/>
          <w:szCs w:val="24"/>
        </w:rPr>
        <w:t xml:space="preserve"> </w:t>
      </w:r>
      <w:r w:rsidR="008B169A">
        <w:rPr>
          <w:rFonts w:ascii="Times New Roman" w:hAnsi="Times New Roman"/>
          <w:sz w:val="24"/>
          <w:szCs w:val="24"/>
        </w:rPr>
        <w:t>dotacji</w:t>
      </w:r>
      <w:r>
        <w:rPr>
          <w:rFonts w:ascii="Times New Roman" w:hAnsi="Times New Roman"/>
          <w:sz w:val="24"/>
          <w:szCs w:val="24"/>
        </w:rPr>
        <w:t>. Należy przypomnieć, że płatności</w:t>
      </w:r>
      <w:r w:rsidR="005A3C9D">
        <w:rPr>
          <w:rFonts w:ascii="Times New Roman" w:hAnsi="Times New Roman"/>
          <w:sz w:val="24"/>
          <w:szCs w:val="24"/>
        </w:rPr>
        <w:t>,</w:t>
      </w:r>
      <w:r>
        <w:rPr>
          <w:rFonts w:ascii="Times New Roman" w:hAnsi="Times New Roman"/>
          <w:sz w:val="24"/>
          <w:szCs w:val="24"/>
        </w:rPr>
        <w:t xml:space="preserve"> które sp</w:t>
      </w:r>
      <w:r w:rsidR="00C43E9E">
        <w:rPr>
          <w:rFonts w:ascii="Times New Roman" w:hAnsi="Times New Roman"/>
          <w:sz w:val="24"/>
          <w:szCs w:val="24"/>
        </w:rPr>
        <w:t>ółdzielnie otrzymały za 2015 r.</w:t>
      </w:r>
      <w:r w:rsidR="009E1F23">
        <w:rPr>
          <w:rFonts w:ascii="Times New Roman" w:hAnsi="Times New Roman"/>
          <w:sz w:val="24"/>
          <w:szCs w:val="24"/>
        </w:rPr>
        <w:t>, wypłacane były w</w:t>
      </w:r>
      <w:r w:rsidR="00C43E9E">
        <w:rPr>
          <w:rFonts w:ascii="Times New Roman" w:hAnsi="Times New Roman"/>
          <w:sz w:val="24"/>
          <w:szCs w:val="24"/>
        </w:rPr>
        <w:t>edłu</w:t>
      </w:r>
      <w:r w:rsidR="009E1F23">
        <w:rPr>
          <w:rFonts w:ascii="Times New Roman" w:hAnsi="Times New Roman"/>
          <w:sz w:val="24"/>
          <w:szCs w:val="24"/>
        </w:rPr>
        <w:t>g</w:t>
      </w:r>
      <w:r>
        <w:rPr>
          <w:rFonts w:ascii="Times New Roman" w:hAnsi="Times New Roman"/>
          <w:sz w:val="24"/>
          <w:szCs w:val="24"/>
        </w:rPr>
        <w:t xml:space="preserve"> nowej formuły, która </w:t>
      </w:r>
      <w:r w:rsidR="008B169A">
        <w:rPr>
          <w:rFonts w:ascii="Times New Roman" w:hAnsi="Times New Roman"/>
          <w:sz w:val="24"/>
          <w:szCs w:val="24"/>
        </w:rPr>
        <w:t>była</w:t>
      </w:r>
      <w:r w:rsidR="009E1F23">
        <w:rPr>
          <w:rFonts w:ascii="Times New Roman" w:hAnsi="Times New Roman"/>
          <w:sz w:val="24"/>
          <w:szCs w:val="24"/>
        </w:rPr>
        <w:t xml:space="preserve"> </w:t>
      </w:r>
      <w:r>
        <w:rPr>
          <w:rFonts w:ascii="Times New Roman" w:hAnsi="Times New Roman"/>
          <w:sz w:val="24"/>
          <w:szCs w:val="24"/>
        </w:rPr>
        <w:t xml:space="preserve">korzystniejsza dla średnich gospodarstw, utrzymujących zwierzęta przeżuwające. </w:t>
      </w:r>
      <w:r w:rsidR="00D024AD">
        <w:rPr>
          <w:rFonts w:ascii="Times New Roman" w:hAnsi="Times New Roman"/>
          <w:sz w:val="24"/>
          <w:szCs w:val="24"/>
        </w:rPr>
        <w:t>Spółdzielnie jednak</w:t>
      </w:r>
      <w:r w:rsidR="005A3C9D">
        <w:rPr>
          <w:rFonts w:ascii="Times New Roman" w:hAnsi="Times New Roman"/>
          <w:sz w:val="24"/>
          <w:szCs w:val="24"/>
        </w:rPr>
        <w:t>,</w:t>
      </w:r>
      <w:r w:rsidR="00D024AD">
        <w:rPr>
          <w:rFonts w:ascii="Times New Roman" w:hAnsi="Times New Roman"/>
          <w:sz w:val="24"/>
          <w:szCs w:val="24"/>
        </w:rPr>
        <w:t xml:space="preserve"> mimo swojej wielorodzinnej formy</w:t>
      </w:r>
      <w:r w:rsidR="00F5382B">
        <w:rPr>
          <w:rFonts w:ascii="Times New Roman" w:hAnsi="Times New Roman"/>
          <w:sz w:val="24"/>
          <w:szCs w:val="24"/>
        </w:rPr>
        <w:t>,</w:t>
      </w:r>
      <w:r w:rsidR="00D024AD">
        <w:rPr>
          <w:rFonts w:ascii="Times New Roman" w:hAnsi="Times New Roman"/>
          <w:sz w:val="24"/>
          <w:szCs w:val="24"/>
        </w:rPr>
        <w:t xml:space="preserve"> były przy podziale środków traktowane jako jeden podmiot, co skutkowało wyraźnym obniżeniem kwoty </w:t>
      </w:r>
      <w:r w:rsidR="008B169A">
        <w:rPr>
          <w:rFonts w:ascii="Times New Roman" w:hAnsi="Times New Roman"/>
          <w:sz w:val="24"/>
          <w:szCs w:val="24"/>
        </w:rPr>
        <w:t xml:space="preserve">przyznanej </w:t>
      </w:r>
      <w:r w:rsidR="00D024AD">
        <w:rPr>
          <w:rFonts w:ascii="Times New Roman" w:hAnsi="Times New Roman"/>
          <w:sz w:val="24"/>
          <w:szCs w:val="24"/>
        </w:rPr>
        <w:t>dotacji. W przeliczeniu na</w:t>
      </w:r>
      <w:r w:rsidR="005A3C9D">
        <w:rPr>
          <w:rFonts w:ascii="Times New Roman" w:hAnsi="Times New Roman"/>
          <w:sz w:val="24"/>
          <w:szCs w:val="24"/>
        </w:rPr>
        <w:t xml:space="preserve"> 1 ha w</w:t>
      </w:r>
      <w:r w:rsidR="00D024AD">
        <w:rPr>
          <w:rFonts w:ascii="Times New Roman" w:hAnsi="Times New Roman"/>
          <w:sz w:val="24"/>
          <w:szCs w:val="24"/>
        </w:rPr>
        <w:t xml:space="preserve"> </w:t>
      </w:r>
      <w:r w:rsidR="005A3C9D">
        <w:rPr>
          <w:rFonts w:ascii="Times New Roman" w:hAnsi="Times New Roman"/>
          <w:sz w:val="24"/>
          <w:szCs w:val="24"/>
        </w:rPr>
        <w:t>RSP kw</w:t>
      </w:r>
      <w:r w:rsidR="00C43E9E">
        <w:rPr>
          <w:rFonts w:ascii="Times New Roman" w:hAnsi="Times New Roman"/>
          <w:sz w:val="24"/>
          <w:szCs w:val="24"/>
        </w:rPr>
        <w:t>ota dotacji wyniosła w 2014 r.</w:t>
      </w:r>
      <w:r w:rsidR="005A3C9D">
        <w:rPr>
          <w:rFonts w:ascii="Times New Roman" w:hAnsi="Times New Roman"/>
          <w:sz w:val="24"/>
          <w:szCs w:val="24"/>
        </w:rPr>
        <w:t xml:space="preserve"> 1</w:t>
      </w:r>
      <w:r w:rsidR="00C43E9E">
        <w:rPr>
          <w:rFonts w:ascii="Times New Roman" w:hAnsi="Times New Roman"/>
          <w:sz w:val="24"/>
          <w:szCs w:val="24"/>
        </w:rPr>
        <w:t>.</w:t>
      </w:r>
      <w:r w:rsidR="005A3C9D">
        <w:rPr>
          <w:rFonts w:ascii="Times New Roman" w:hAnsi="Times New Roman"/>
          <w:sz w:val="24"/>
          <w:szCs w:val="24"/>
        </w:rPr>
        <w:t xml:space="preserve">141 zł, podczas gdy w 2015 </w:t>
      </w:r>
      <w:r w:rsidR="00C43E9E">
        <w:rPr>
          <w:rFonts w:ascii="Times New Roman" w:hAnsi="Times New Roman"/>
          <w:sz w:val="24"/>
          <w:szCs w:val="24"/>
        </w:rPr>
        <w:t xml:space="preserve">r. </w:t>
      </w:r>
      <w:r w:rsidR="005A3C9D">
        <w:rPr>
          <w:rFonts w:ascii="Times New Roman" w:hAnsi="Times New Roman"/>
          <w:sz w:val="24"/>
          <w:szCs w:val="24"/>
        </w:rPr>
        <w:t>już tylko 970 zł</w:t>
      </w:r>
      <w:r w:rsidR="0040198D">
        <w:rPr>
          <w:rFonts w:ascii="Times New Roman" w:hAnsi="Times New Roman"/>
          <w:sz w:val="24"/>
          <w:szCs w:val="24"/>
        </w:rPr>
        <w:t xml:space="preserve"> (spadek o 15%)</w:t>
      </w:r>
      <w:r w:rsidR="00E22315">
        <w:rPr>
          <w:rFonts w:ascii="Times New Roman" w:hAnsi="Times New Roman"/>
          <w:sz w:val="24"/>
          <w:szCs w:val="24"/>
        </w:rPr>
        <w:t>.</w:t>
      </w:r>
      <w:r w:rsidR="00836019">
        <w:rPr>
          <w:rFonts w:ascii="Times New Roman" w:hAnsi="Times New Roman"/>
          <w:sz w:val="24"/>
          <w:szCs w:val="24"/>
        </w:rPr>
        <w:t xml:space="preserve"> Niższe dochody w spółdzielniach w 2015 </w:t>
      </w:r>
      <w:r w:rsidR="00C43E9E">
        <w:rPr>
          <w:rFonts w:ascii="Times New Roman" w:hAnsi="Times New Roman"/>
          <w:sz w:val="24"/>
          <w:szCs w:val="24"/>
        </w:rPr>
        <w:t xml:space="preserve">r. </w:t>
      </w:r>
      <w:r w:rsidR="00836019">
        <w:rPr>
          <w:rFonts w:ascii="Times New Roman" w:hAnsi="Times New Roman"/>
          <w:sz w:val="24"/>
          <w:szCs w:val="24"/>
        </w:rPr>
        <w:t xml:space="preserve">spowodowały, </w:t>
      </w:r>
      <w:r w:rsidR="00B62654">
        <w:rPr>
          <w:rFonts w:ascii="Times New Roman" w:hAnsi="Times New Roman"/>
          <w:sz w:val="24"/>
          <w:szCs w:val="24"/>
        </w:rPr>
        <w:t>ż</w:t>
      </w:r>
      <w:r w:rsidR="00836019">
        <w:rPr>
          <w:rFonts w:ascii="Times New Roman" w:hAnsi="Times New Roman"/>
          <w:sz w:val="24"/>
          <w:szCs w:val="24"/>
        </w:rPr>
        <w:t>e wskaźnik udziału dotacji w dochodzie nie obniżył się tak znacznie</w:t>
      </w:r>
      <w:r w:rsidR="009E1F23">
        <w:rPr>
          <w:rFonts w:ascii="Times New Roman" w:hAnsi="Times New Roman"/>
          <w:sz w:val="24"/>
          <w:szCs w:val="24"/>
        </w:rPr>
        <w:t>,</w:t>
      </w:r>
      <w:r w:rsidR="00836019">
        <w:rPr>
          <w:rFonts w:ascii="Times New Roman" w:hAnsi="Times New Roman"/>
          <w:sz w:val="24"/>
          <w:szCs w:val="24"/>
        </w:rPr>
        <w:t xml:space="preserve"> jak wysokość </w:t>
      </w:r>
      <w:r w:rsidR="00B62654">
        <w:rPr>
          <w:rFonts w:ascii="Times New Roman" w:hAnsi="Times New Roman"/>
          <w:sz w:val="24"/>
          <w:szCs w:val="24"/>
        </w:rPr>
        <w:t xml:space="preserve">dotacji </w:t>
      </w:r>
      <w:r w:rsidR="00836019">
        <w:rPr>
          <w:rFonts w:ascii="Times New Roman" w:hAnsi="Times New Roman"/>
          <w:sz w:val="24"/>
          <w:szCs w:val="24"/>
        </w:rPr>
        <w:t>liczona na 1 ha</w:t>
      </w:r>
      <w:r w:rsidR="00B62654">
        <w:rPr>
          <w:rFonts w:ascii="Times New Roman" w:hAnsi="Times New Roman"/>
          <w:sz w:val="24"/>
          <w:szCs w:val="24"/>
        </w:rPr>
        <w:t xml:space="preserve">, to jednak poziom </w:t>
      </w:r>
      <w:r w:rsidR="00F5382B">
        <w:rPr>
          <w:rFonts w:ascii="Times New Roman" w:hAnsi="Times New Roman"/>
          <w:sz w:val="24"/>
          <w:szCs w:val="24"/>
        </w:rPr>
        <w:t xml:space="preserve">udziału dotacji </w:t>
      </w:r>
      <w:r w:rsidR="00B62654">
        <w:rPr>
          <w:rFonts w:ascii="Times New Roman" w:hAnsi="Times New Roman"/>
          <w:sz w:val="24"/>
          <w:szCs w:val="24"/>
        </w:rPr>
        <w:t>był najniższy w historii naszych analiz.</w:t>
      </w:r>
    </w:p>
    <w:p w:rsidR="000D328C" w:rsidRDefault="000D6CB2" w:rsidP="005767E1">
      <w:pPr>
        <w:spacing w:before="80" w:after="0" w:line="264" w:lineRule="auto"/>
        <w:ind w:firstLine="426"/>
        <w:jc w:val="both"/>
        <w:rPr>
          <w:rFonts w:ascii="Times New Roman" w:hAnsi="Times New Roman"/>
          <w:sz w:val="24"/>
          <w:szCs w:val="24"/>
        </w:rPr>
      </w:pPr>
      <w:r>
        <w:rPr>
          <w:rFonts w:ascii="Times New Roman" w:hAnsi="Times New Roman"/>
          <w:sz w:val="24"/>
          <w:szCs w:val="24"/>
        </w:rPr>
        <w:t>Rok 2015 był kolejnym</w:t>
      </w:r>
      <w:r w:rsidR="00F5382B">
        <w:rPr>
          <w:rFonts w:ascii="Times New Roman" w:hAnsi="Times New Roman"/>
          <w:sz w:val="24"/>
          <w:szCs w:val="24"/>
        </w:rPr>
        <w:t>,</w:t>
      </w:r>
      <w:r>
        <w:rPr>
          <w:rFonts w:ascii="Times New Roman" w:hAnsi="Times New Roman"/>
          <w:sz w:val="24"/>
          <w:szCs w:val="24"/>
        </w:rPr>
        <w:t xml:space="preserve"> kiedy</w:t>
      </w:r>
      <w:r w:rsidR="000E44CE" w:rsidRPr="00952A31">
        <w:rPr>
          <w:rFonts w:ascii="Times New Roman" w:hAnsi="Times New Roman"/>
          <w:sz w:val="24"/>
          <w:szCs w:val="24"/>
        </w:rPr>
        <w:t xml:space="preserve"> </w:t>
      </w:r>
      <w:r>
        <w:rPr>
          <w:rFonts w:ascii="Times New Roman" w:hAnsi="Times New Roman"/>
          <w:sz w:val="24"/>
          <w:szCs w:val="24"/>
        </w:rPr>
        <w:t>spółdzielnie ograniczały</w:t>
      </w:r>
      <w:r w:rsidR="000E44CE" w:rsidRPr="00952A31">
        <w:rPr>
          <w:rFonts w:ascii="Times New Roman" w:hAnsi="Times New Roman"/>
          <w:sz w:val="24"/>
          <w:szCs w:val="24"/>
        </w:rPr>
        <w:t xml:space="preserve"> zatrudnienie</w:t>
      </w:r>
      <w:r w:rsidR="0000484E">
        <w:rPr>
          <w:rFonts w:ascii="Times New Roman" w:hAnsi="Times New Roman"/>
          <w:sz w:val="24"/>
          <w:szCs w:val="24"/>
        </w:rPr>
        <w:t>;</w:t>
      </w:r>
      <w:r w:rsidR="000E44CE" w:rsidRPr="00952A31">
        <w:rPr>
          <w:rFonts w:ascii="Times New Roman" w:hAnsi="Times New Roman"/>
          <w:sz w:val="24"/>
          <w:szCs w:val="24"/>
        </w:rPr>
        <w:t xml:space="preserve"> </w:t>
      </w:r>
      <w:r>
        <w:rPr>
          <w:rFonts w:ascii="Times New Roman" w:hAnsi="Times New Roman"/>
          <w:sz w:val="24"/>
          <w:szCs w:val="24"/>
        </w:rPr>
        <w:t xml:space="preserve">w latach 2013-2015 </w:t>
      </w:r>
      <w:r w:rsidR="000E44CE" w:rsidRPr="00952A31">
        <w:rPr>
          <w:rFonts w:ascii="Times New Roman" w:hAnsi="Times New Roman"/>
          <w:sz w:val="24"/>
          <w:szCs w:val="24"/>
        </w:rPr>
        <w:t xml:space="preserve">przeciętnie </w:t>
      </w:r>
      <w:r w:rsidR="0040198D">
        <w:rPr>
          <w:rFonts w:ascii="Times New Roman" w:hAnsi="Times New Roman"/>
          <w:sz w:val="24"/>
          <w:szCs w:val="24"/>
        </w:rPr>
        <w:t xml:space="preserve">w </w:t>
      </w:r>
      <w:r w:rsidR="000E44CE" w:rsidRPr="00952A31">
        <w:rPr>
          <w:rFonts w:ascii="Times New Roman" w:hAnsi="Times New Roman"/>
          <w:sz w:val="24"/>
          <w:szCs w:val="24"/>
        </w:rPr>
        <w:t>spółdzielni</w:t>
      </w:r>
      <w:r w:rsidR="009E1F23">
        <w:rPr>
          <w:rFonts w:ascii="Times New Roman" w:hAnsi="Times New Roman"/>
          <w:sz w:val="24"/>
          <w:szCs w:val="24"/>
        </w:rPr>
        <w:t>ach</w:t>
      </w:r>
      <w:r w:rsidR="000E44CE" w:rsidRPr="00952A31">
        <w:rPr>
          <w:rFonts w:ascii="Times New Roman" w:hAnsi="Times New Roman"/>
          <w:sz w:val="24"/>
          <w:szCs w:val="24"/>
        </w:rPr>
        <w:t xml:space="preserve"> z</w:t>
      </w:r>
      <w:r>
        <w:rPr>
          <w:rFonts w:ascii="Times New Roman" w:hAnsi="Times New Roman"/>
          <w:sz w:val="24"/>
          <w:szCs w:val="24"/>
        </w:rPr>
        <w:t>likwidowano co 10 miejsce pracy, co</w:t>
      </w:r>
      <w:r w:rsidR="000E44CE" w:rsidRPr="00952A31">
        <w:rPr>
          <w:rFonts w:ascii="Times New Roman" w:hAnsi="Times New Roman"/>
          <w:sz w:val="24"/>
          <w:szCs w:val="24"/>
        </w:rPr>
        <w:t xml:space="preserve"> </w:t>
      </w:r>
      <w:r>
        <w:rPr>
          <w:rFonts w:ascii="Times New Roman" w:hAnsi="Times New Roman"/>
          <w:sz w:val="24"/>
          <w:szCs w:val="24"/>
        </w:rPr>
        <w:t>w</w:t>
      </w:r>
      <w:r w:rsidR="00952A31">
        <w:rPr>
          <w:rFonts w:ascii="Times New Roman" w:hAnsi="Times New Roman"/>
          <w:sz w:val="24"/>
          <w:szCs w:val="24"/>
        </w:rPr>
        <w:t xml:space="preserve"> przeliczeniu na 100 </w:t>
      </w:r>
      <w:r w:rsidR="0040198D">
        <w:rPr>
          <w:rFonts w:ascii="Times New Roman" w:hAnsi="Times New Roman"/>
          <w:sz w:val="24"/>
          <w:szCs w:val="24"/>
        </w:rPr>
        <w:t xml:space="preserve">ha </w:t>
      </w:r>
      <w:r w:rsidR="00952A31">
        <w:rPr>
          <w:rFonts w:ascii="Times New Roman" w:hAnsi="Times New Roman"/>
          <w:sz w:val="24"/>
          <w:szCs w:val="24"/>
        </w:rPr>
        <w:t xml:space="preserve">użytków rolnych </w:t>
      </w:r>
      <w:r>
        <w:rPr>
          <w:rFonts w:ascii="Times New Roman" w:hAnsi="Times New Roman"/>
          <w:sz w:val="24"/>
          <w:szCs w:val="24"/>
        </w:rPr>
        <w:t>sp</w:t>
      </w:r>
      <w:r w:rsidR="0040198D">
        <w:rPr>
          <w:rFonts w:ascii="Times New Roman" w:hAnsi="Times New Roman"/>
          <w:sz w:val="24"/>
          <w:szCs w:val="24"/>
        </w:rPr>
        <w:t>owodowało obniżenie wskaźnika o</w:t>
      </w:r>
      <w:r>
        <w:rPr>
          <w:rFonts w:ascii="Times New Roman" w:hAnsi="Times New Roman"/>
          <w:sz w:val="24"/>
          <w:szCs w:val="24"/>
        </w:rPr>
        <w:t xml:space="preserve"> 13</w:t>
      </w:r>
      <w:r w:rsidR="00272C55">
        <w:rPr>
          <w:rFonts w:ascii="Times New Roman" w:hAnsi="Times New Roman"/>
          <w:sz w:val="24"/>
          <w:szCs w:val="24"/>
        </w:rPr>
        <w:t>%</w:t>
      </w:r>
      <w:r w:rsidR="0040198D">
        <w:rPr>
          <w:rFonts w:ascii="Times New Roman" w:hAnsi="Times New Roman"/>
          <w:sz w:val="24"/>
          <w:szCs w:val="24"/>
        </w:rPr>
        <w:t xml:space="preserve">. </w:t>
      </w:r>
      <w:r>
        <w:rPr>
          <w:rFonts w:ascii="Times New Roman" w:hAnsi="Times New Roman"/>
          <w:sz w:val="24"/>
          <w:szCs w:val="24"/>
        </w:rPr>
        <w:t>Decyzje o re</w:t>
      </w:r>
      <w:r w:rsidR="009E1F23">
        <w:rPr>
          <w:rFonts w:ascii="Times New Roman" w:hAnsi="Times New Roman"/>
          <w:sz w:val="24"/>
          <w:szCs w:val="24"/>
        </w:rPr>
        <w:t>dukcji zatrudnienia w wyniku złej sytuacji dochodowej</w:t>
      </w:r>
      <w:r w:rsidR="00952A31" w:rsidRPr="00952A31">
        <w:rPr>
          <w:rFonts w:ascii="Times New Roman" w:hAnsi="Times New Roman"/>
          <w:sz w:val="24"/>
          <w:szCs w:val="24"/>
        </w:rPr>
        <w:t xml:space="preserve"> </w:t>
      </w:r>
      <w:r>
        <w:rPr>
          <w:rFonts w:ascii="Times New Roman" w:hAnsi="Times New Roman"/>
          <w:sz w:val="24"/>
          <w:szCs w:val="24"/>
        </w:rPr>
        <w:t>nie spowodowały poprawy</w:t>
      </w:r>
      <w:r w:rsidR="00952A31" w:rsidRPr="00002359">
        <w:rPr>
          <w:rFonts w:ascii="Times New Roman" w:hAnsi="Times New Roman"/>
          <w:sz w:val="24"/>
          <w:szCs w:val="24"/>
        </w:rPr>
        <w:t xml:space="preserve"> wskaźników wydajności</w:t>
      </w:r>
      <w:r w:rsidR="00952A31" w:rsidRPr="00952A31">
        <w:rPr>
          <w:rFonts w:ascii="Times New Roman" w:hAnsi="Times New Roman"/>
          <w:sz w:val="24"/>
          <w:szCs w:val="24"/>
        </w:rPr>
        <w:t xml:space="preserve"> pracy</w:t>
      </w:r>
      <w:r w:rsidR="00952A31">
        <w:rPr>
          <w:rFonts w:ascii="Times New Roman" w:hAnsi="Times New Roman"/>
          <w:sz w:val="24"/>
          <w:szCs w:val="24"/>
        </w:rPr>
        <w:t xml:space="preserve">. Wydajność </w:t>
      </w:r>
      <w:r w:rsidR="00952A31" w:rsidRPr="003C602C">
        <w:rPr>
          <w:rFonts w:ascii="Times New Roman" w:hAnsi="Times New Roman"/>
          <w:sz w:val="24"/>
          <w:szCs w:val="24"/>
        </w:rPr>
        <w:t xml:space="preserve">mierzona </w:t>
      </w:r>
      <w:r w:rsidR="00877F73" w:rsidRPr="003C602C">
        <w:rPr>
          <w:rFonts w:ascii="Times New Roman" w:hAnsi="Times New Roman"/>
          <w:sz w:val="24"/>
          <w:szCs w:val="24"/>
        </w:rPr>
        <w:t>wartością dodaną na osobę zatrudnioną</w:t>
      </w:r>
      <w:r w:rsidR="000B32D8" w:rsidRPr="003C602C">
        <w:rPr>
          <w:rFonts w:ascii="Times New Roman" w:hAnsi="Times New Roman"/>
          <w:sz w:val="24"/>
          <w:szCs w:val="24"/>
        </w:rPr>
        <w:t xml:space="preserve"> </w:t>
      </w:r>
      <w:r w:rsidR="007A0B1B">
        <w:rPr>
          <w:rFonts w:ascii="Times New Roman" w:hAnsi="Times New Roman"/>
          <w:sz w:val="24"/>
          <w:szCs w:val="24"/>
        </w:rPr>
        <w:t>spadła</w:t>
      </w:r>
      <w:r w:rsidR="003C602C" w:rsidRPr="003C602C">
        <w:rPr>
          <w:rFonts w:ascii="Times New Roman" w:hAnsi="Times New Roman"/>
          <w:sz w:val="24"/>
          <w:szCs w:val="24"/>
        </w:rPr>
        <w:t xml:space="preserve"> w </w:t>
      </w:r>
      <w:r w:rsidR="007A0B1B">
        <w:rPr>
          <w:rFonts w:ascii="Times New Roman" w:hAnsi="Times New Roman"/>
          <w:sz w:val="24"/>
          <w:szCs w:val="24"/>
        </w:rPr>
        <w:t>relacji do poprzedniego roku o 4</w:t>
      </w:r>
      <w:r w:rsidR="009E1F23">
        <w:rPr>
          <w:rFonts w:ascii="Times New Roman" w:hAnsi="Times New Roman"/>
          <w:sz w:val="24"/>
          <w:szCs w:val="24"/>
        </w:rPr>
        <w:t>%</w:t>
      </w:r>
      <w:r w:rsidR="000B32D8" w:rsidRPr="003C602C">
        <w:rPr>
          <w:rFonts w:ascii="Times New Roman" w:hAnsi="Times New Roman"/>
          <w:sz w:val="24"/>
          <w:szCs w:val="24"/>
        </w:rPr>
        <w:t xml:space="preserve"> </w:t>
      </w:r>
      <w:r w:rsidR="007A0B1B">
        <w:rPr>
          <w:rFonts w:ascii="Times New Roman" w:hAnsi="Times New Roman"/>
          <w:sz w:val="24"/>
          <w:szCs w:val="24"/>
        </w:rPr>
        <w:t>i była zbliżona do poziomu</w:t>
      </w:r>
      <w:r w:rsidR="009E1F23">
        <w:rPr>
          <w:rFonts w:ascii="Times New Roman" w:hAnsi="Times New Roman"/>
          <w:sz w:val="24"/>
          <w:szCs w:val="24"/>
        </w:rPr>
        <w:t>,</w:t>
      </w:r>
      <w:r w:rsidR="007A0B1B">
        <w:rPr>
          <w:rFonts w:ascii="Times New Roman" w:hAnsi="Times New Roman"/>
          <w:sz w:val="24"/>
          <w:szCs w:val="24"/>
        </w:rPr>
        <w:t xml:space="preserve"> jaki obserwowano </w:t>
      </w:r>
      <w:r w:rsidR="0040198D">
        <w:rPr>
          <w:rFonts w:ascii="Times New Roman" w:hAnsi="Times New Roman"/>
          <w:sz w:val="24"/>
          <w:szCs w:val="24"/>
        </w:rPr>
        <w:t>dwa lata wcześniej</w:t>
      </w:r>
      <w:r w:rsidR="003C602C" w:rsidRPr="003C602C">
        <w:rPr>
          <w:rFonts w:ascii="Times New Roman" w:hAnsi="Times New Roman"/>
          <w:sz w:val="24"/>
          <w:szCs w:val="24"/>
        </w:rPr>
        <w:t>.</w:t>
      </w:r>
      <w:r w:rsidR="000B32D8" w:rsidRPr="003C602C">
        <w:rPr>
          <w:rFonts w:ascii="Times New Roman" w:hAnsi="Times New Roman"/>
          <w:sz w:val="24"/>
          <w:szCs w:val="24"/>
        </w:rPr>
        <w:t xml:space="preserve"> </w:t>
      </w:r>
      <w:r w:rsidR="00150C65">
        <w:rPr>
          <w:rFonts w:ascii="Times New Roman" w:hAnsi="Times New Roman"/>
          <w:sz w:val="24"/>
          <w:szCs w:val="24"/>
        </w:rPr>
        <w:t>Jeszcze silniej</w:t>
      </w:r>
      <w:r w:rsidR="00113899">
        <w:rPr>
          <w:rFonts w:ascii="Times New Roman" w:hAnsi="Times New Roman"/>
          <w:sz w:val="24"/>
          <w:szCs w:val="24"/>
        </w:rPr>
        <w:t xml:space="preserve"> widoczne były</w:t>
      </w:r>
      <w:r w:rsidR="00150C65">
        <w:rPr>
          <w:rFonts w:ascii="Times New Roman" w:hAnsi="Times New Roman"/>
          <w:sz w:val="24"/>
          <w:szCs w:val="24"/>
        </w:rPr>
        <w:t xml:space="preserve"> zmiany dochodowości pracy</w:t>
      </w:r>
      <w:r w:rsidR="00877F73" w:rsidRPr="003C602C">
        <w:rPr>
          <w:rFonts w:ascii="Times New Roman" w:hAnsi="Times New Roman"/>
          <w:sz w:val="24"/>
          <w:szCs w:val="24"/>
        </w:rPr>
        <w:t>,</w:t>
      </w:r>
      <w:r w:rsidR="003C602C" w:rsidRPr="003C602C">
        <w:rPr>
          <w:rFonts w:ascii="Times New Roman" w:hAnsi="Times New Roman"/>
          <w:sz w:val="24"/>
          <w:szCs w:val="24"/>
        </w:rPr>
        <w:t xml:space="preserve"> gdzie dochód przeliczany na członka spółdzielni </w:t>
      </w:r>
      <w:r w:rsidR="00113899">
        <w:rPr>
          <w:rFonts w:ascii="Times New Roman" w:hAnsi="Times New Roman"/>
          <w:sz w:val="24"/>
          <w:szCs w:val="24"/>
        </w:rPr>
        <w:t>zmalał</w:t>
      </w:r>
      <w:r w:rsidR="003C602C" w:rsidRPr="003C602C">
        <w:rPr>
          <w:rFonts w:ascii="Times New Roman" w:hAnsi="Times New Roman"/>
          <w:sz w:val="24"/>
          <w:szCs w:val="24"/>
        </w:rPr>
        <w:t xml:space="preserve"> do </w:t>
      </w:r>
      <w:r w:rsidR="00113899">
        <w:rPr>
          <w:rFonts w:ascii="Times New Roman" w:hAnsi="Times New Roman"/>
          <w:sz w:val="24"/>
          <w:szCs w:val="24"/>
        </w:rPr>
        <w:t>48,4</w:t>
      </w:r>
      <w:r w:rsidR="0034491F" w:rsidRPr="003C602C">
        <w:rPr>
          <w:rFonts w:ascii="Times New Roman" w:hAnsi="Times New Roman"/>
          <w:sz w:val="24"/>
          <w:szCs w:val="24"/>
        </w:rPr>
        <w:t xml:space="preserve"> </w:t>
      </w:r>
      <w:r w:rsidR="003C602C" w:rsidRPr="003C602C">
        <w:rPr>
          <w:rFonts w:ascii="Times New Roman" w:hAnsi="Times New Roman"/>
          <w:sz w:val="24"/>
          <w:szCs w:val="24"/>
        </w:rPr>
        <w:t xml:space="preserve">tys. zł </w:t>
      </w:r>
      <w:r w:rsidR="0034491F" w:rsidRPr="003C602C">
        <w:rPr>
          <w:rFonts w:ascii="Times New Roman" w:hAnsi="Times New Roman"/>
          <w:sz w:val="24"/>
          <w:szCs w:val="24"/>
        </w:rPr>
        <w:t xml:space="preserve">z </w:t>
      </w:r>
      <w:r w:rsidR="0000484E">
        <w:rPr>
          <w:rFonts w:ascii="Times New Roman" w:hAnsi="Times New Roman"/>
          <w:sz w:val="24"/>
          <w:szCs w:val="24"/>
        </w:rPr>
        <w:t>5</w:t>
      </w:r>
      <w:r w:rsidR="00113899">
        <w:rPr>
          <w:rFonts w:ascii="Times New Roman" w:hAnsi="Times New Roman"/>
          <w:sz w:val="24"/>
          <w:szCs w:val="24"/>
        </w:rPr>
        <w:t>9</w:t>
      </w:r>
      <w:r w:rsidR="0000484E">
        <w:rPr>
          <w:rFonts w:ascii="Times New Roman" w:hAnsi="Times New Roman"/>
          <w:sz w:val="24"/>
          <w:szCs w:val="24"/>
        </w:rPr>
        <w:t>,</w:t>
      </w:r>
      <w:r w:rsidR="00113899">
        <w:rPr>
          <w:rFonts w:ascii="Times New Roman" w:hAnsi="Times New Roman"/>
          <w:sz w:val="24"/>
          <w:szCs w:val="24"/>
        </w:rPr>
        <w:t>3</w:t>
      </w:r>
      <w:r w:rsidR="0000484E">
        <w:rPr>
          <w:rFonts w:ascii="Times New Roman" w:hAnsi="Times New Roman"/>
          <w:sz w:val="24"/>
          <w:szCs w:val="24"/>
        </w:rPr>
        <w:t xml:space="preserve"> tys. zł</w:t>
      </w:r>
      <w:r w:rsidR="003C602C" w:rsidRPr="003C602C">
        <w:rPr>
          <w:rFonts w:ascii="Times New Roman" w:hAnsi="Times New Roman"/>
          <w:sz w:val="24"/>
          <w:szCs w:val="24"/>
        </w:rPr>
        <w:t xml:space="preserve"> w 201</w:t>
      </w:r>
      <w:r w:rsidR="00113899">
        <w:rPr>
          <w:rFonts w:ascii="Times New Roman" w:hAnsi="Times New Roman"/>
          <w:sz w:val="24"/>
          <w:szCs w:val="24"/>
        </w:rPr>
        <w:t>4</w:t>
      </w:r>
      <w:r w:rsidR="00272C55">
        <w:rPr>
          <w:rFonts w:ascii="Times New Roman" w:hAnsi="Times New Roman"/>
          <w:sz w:val="24"/>
          <w:szCs w:val="24"/>
        </w:rPr>
        <w:t xml:space="preserve"> r</w:t>
      </w:r>
      <w:r w:rsidR="00C43E9E">
        <w:rPr>
          <w:rFonts w:ascii="Times New Roman" w:hAnsi="Times New Roman"/>
          <w:sz w:val="24"/>
          <w:szCs w:val="24"/>
        </w:rPr>
        <w:t>.</w:t>
      </w:r>
      <w:r w:rsidR="00272C55">
        <w:rPr>
          <w:rFonts w:ascii="Times New Roman" w:hAnsi="Times New Roman"/>
          <w:sz w:val="24"/>
          <w:szCs w:val="24"/>
        </w:rPr>
        <w:t xml:space="preserve"> </w:t>
      </w:r>
      <w:r w:rsidR="00113899">
        <w:rPr>
          <w:rFonts w:ascii="Times New Roman" w:hAnsi="Times New Roman"/>
          <w:sz w:val="24"/>
          <w:szCs w:val="24"/>
        </w:rPr>
        <w:t>Wskaźnik ten był równie</w:t>
      </w:r>
      <w:r w:rsidR="00C43E9E">
        <w:rPr>
          <w:rFonts w:ascii="Times New Roman" w:hAnsi="Times New Roman"/>
          <w:sz w:val="24"/>
          <w:szCs w:val="24"/>
        </w:rPr>
        <w:t xml:space="preserve">ż niższy od osiągniętego w </w:t>
      </w:r>
      <w:r w:rsidR="00113899">
        <w:rPr>
          <w:rFonts w:ascii="Times New Roman" w:hAnsi="Times New Roman"/>
          <w:sz w:val="24"/>
          <w:szCs w:val="24"/>
        </w:rPr>
        <w:t>2013</w:t>
      </w:r>
      <w:r w:rsidR="00C43E9E">
        <w:rPr>
          <w:rFonts w:ascii="Times New Roman" w:hAnsi="Times New Roman"/>
          <w:sz w:val="24"/>
          <w:szCs w:val="24"/>
        </w:rPr>
        <w:t xml:space="preserve"> r.</w:t>
      </w:r>
      <w:r w:rsidR="00113899">
        <w:rPr>
          <w:rFonts w:ascii="Times New Roman" w:hAnsi="Times New Roman"/>
          <w:sz w:val="24"/>
          <w:szCs w:val="24"/>
        </w:rPr>
        <w:t xml:space="preserve"> o 4,6 tys. zł</w:t>
      </w:r>
      <w:r w:rsidR="00F5382B">
        <w:rPr>
          <w:rFonts w:ascii="Times New Roman" w:hAnsi="Times New Roman"/>
          <w:sz w:val="24"/>
          <w:szCs w:val="24"/>
        </w:rPr>
        <w:t>.</w:t>
      </w:r>
      <w:r w:rsidR="00113899">
        <w:rPr>
          <w:rFonts w:ascii="Times New Roman" w:hAnsi="Times New Roman"/>
          <w:sz w:val="24"/>
          <w:szCs w:val="24"/>
        </w:rPr>
        <w:t xml:space="preserve"> </w:t>
      </w:r>
      <w:r w:rsidR="00F5382B">
        <w:rPr>
          <w:rFonts w:ascii="Times New Roman" w:hAnsi="Times New Roman"/>
          <w:sz w:val="24"/>
          <w:szCs w:val="24"/>
        </w:rPr>
        <w:t>Możemy</w:t>
      </w:r>
      <w:r w:rsidR="0040198D">
        <w:rPr>
          <w:rFonts w:ascii="Times New Roman" w:hAnsi="Times New Roman"/>
          <w:sz w:val="24"/>
          <w:szCs w:val="24"/>
        </w:rPr>
        <w:t xml:space="preserve"> zatem </w:t>
      </w:r>
      <w:r w:rsidR="00113899">
        <w:rPr>
          <w:rFonts w:ascii="Times New Roman" w:hAnsi="Times New Roman"/>
          <w:sz w:val="24"/>
          <w:szCs w:val="24"/>
        </w:rPr>
        <w:t>mówić o silnym załamaniu</w:t>
      </w:r>
      <w:r w:rsidR="0034491F" w:rsidRPr="003C602C">
        <w:rPr>
          <w:rFonts w:ascii="Times New Roman" w:hAnsi="Times New Roman"/>
          <w:sz w:val="24"/>
          <w:szCs w:val="24"/>
        </w:rPr>
        <w:t xml:space="preserve"> </w:t>
      </w:r>
      <w:r w:rsidR="009E1F23">
        <w:rPr>
          <w:rFonts w:ascii="Times New Roman" w:hAnsi="Times New Roman"/>
          <w:sz w:val="24"/>
          <w:szCs w:val="24"/>
        </w:rPr>
        <w:t>dochodowości</w:t>
      </w:r>
      <w:r w:rsidR="00113899">
        <w:rPr>
          <w:rFonts w:ascii="Times New Roman" w:hAnsi="Times New Roman"/>
          <w:sz w:val="24"/>
          <w:szCs w:val="24"/>
        </w:rPr>
        <w:t xml:space="preserve"> w spółdzielniach w ostatnim roku.</w:t>
      </w:r>
    </w:p>
    <w:p w:rsidR="00BA08E2" w:rsidRPr="00BA08E2" w:rsidRDefault="006F10BF" w:rsidP="00BA08E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Tabela 3</w:t>
      </w:r>
    </w:p>
    <w:p w:rsidR="00BA08E2" w:rsidRPr="00BA08E2" w:rsidRDefault="00BA08E2" w:rsidP="00BA08E2">
      <w:pPr>
        <w:spacing w:after="0" w:line="240" w:lineRule="auto"/>
        <w:jc w:val="center"/>
        <w:rPr>
          <w:rFonts w:ascii="Times New Roman" w:eastAsia="Times New Roman" w:hAnsi="Times New Roman" w:cs="Times New Roman"/>
        </w:rPr>
      </w:pPr>
      <w:r w:rsidRPr="00BA08E2">
        <w:rPr>
          <w:rFonts w:ascii="Times New Roman" w:eastAsia="Times New Roman" w:hAnsi="Times New Roman" w:cs="Times New Roman"/>
        </w:rPr>
        <w:t>Sytuacja ekonomi</w:t>
      </w:r>
      <w:r w:rsidR="00700C37">
        <w:rPr>
          <w:rFonts w:ascii="Times New Roman" w:eastAsia="Times New Roman" w:hAnsi="Times New Roman" w:cs="Times New Roman"/>
        </w:rPr>
        <w:t>czno-finansowa RSP w latach 2013-2015</w:t>
      </w:r>
    </w:p>
    <w:p w:rsidR="00BA08E2" w:rsidRPr="00BA08E2" w:rsidRDefault="00BA08E2" w:rsidP="00BA08E2">
      <w:pPr>
        <w:spacing w:after="0" w:line="240" w:lineRule="auto"/>
        <w:jc w:val="center"/>
        <w:rPr>
          <w:rFonts w:ascii="Times New Roman" w:eastAsia="Times New Roman" w:hAnsi="Times New Roman" w:cs="Times New Roman"/>
        </w:rPr>
      </w:pPr>
      <w:r w:rsidRPr="00BA08E2">
        <w:rPr>
          <w:rFonts w:ascii="Times New Roman" w:eastAsia="Times New Roman" w:hAnsi="Times New Roman" w:cs="Times New Roman"/>
        </w:rPr>
        <w:t xml:space="preserve"> (panel </w:t>
      </w:r>
      <w:r w:rsidR="00CD5C49">
        <w:rPr>
          <w:rFonts w:ascii="Times New Roman" w:eastAsia="Times New Roman" w:hAnsi="Times New Roman" w:cs="Times New Roman"/>
        </w:rPr>
        <w:t>9</w:t>
      </w:r>
      <w:r w:rsidR="00700C37">
        <w:rPr>
          <w:rFonts w:ascii="Times New Roman" w:eastAsia="Times New Roman" w:hAnsi="Times New Roman" w:cs="Times New Roman"/>
        </w:rPr>
        <w:t>0</w:t>
      </w:r>
      <w:r w:rsidRPr="00BA08E2">
        <w:rPr>
          <w:rFonts w:ascii="Times New Roman" w:eastAsia="Times New Roman" w:hAnsi="Times New Roman" w:cs="Times New Roman"/>
        </w:rPr>
        <w:t xml:space="preserve"> </w:t>
      </w:r>
      <w:r w:rsidR="006A146C">
        <w:rPr>
          <w:rFonts w:ascii="Times New Roman" w:eastAsia="Times New Roman" w:hAnsi="Times New Roman" w:cs="Times New Roman"/>
        </w:rPr>
        <w:t xml:space="preserve">badanych </w:t>
      </w:r>
      <w:r w:rsidRPr="00BA08E2">
        <w:rPr>
          <w:rFonts w:ascii="Times New Roman" w:eastAsia="Times New Roman" w:hAnsi="Times New Roman" w:cs="Times New Roman"/>
        </w:rPr>
        <w:t>RSP)</w:t>
      </w:r>
    </w:p>
    <w:tbl>
      <w:tblPr>
        <w:tblW w:w="0" w:type="auto"/>
        <w:tblInd w:w="60" w:type="dxa"/>
        <w:tblCellMar>
          <w:left w:w="10" w:type="dxa"/>
          <w:right w:w="10" w:type="dxa"/>
        </w:tblCellMar>
        <w:tblLook w:val="0000" w:firstRow="0" w:lastRow="0" w:firstColumn="0" w:lastColumn="0" w:noHBand="0" w:noVBand="0"/>
      </w:tblPr>
      <w:tblGrid>
        <w:gridCol w:w="3775"/>
        <w:gridCol w:w="1310"/>
        <w:gridCol w:w="1310"/>
        <w:gridCol w:w="1310"/>
        <w:gridCol w:w="1445"/>
      </w:tblGrid>
      <w:tr w:rsidR="00BF4439" w:rsidRPr="00BA08E2" w:rsidTr="00BF4439">
        <w:trPr>
          <w:cantSplit/>
          <w:trHeight w:val="1"/>
        </w:trPr>
        <w:tc>
          <w:tcPr>
            <w:tcW w:w="37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BA08E2" w:rsidRPr="00BA08E2" w:rsidRDefault="00BA08E2" w:rsidP="00BA08E2">
            <w:pPr>
              <w:spacing w:after="120" w:line="240" w:lineRule="auto"/>
              <w:jc w:val="both"/>
              <w:rPr>
                <w:rFonts w:ascii="Calibri" w:eastAsia="Times New Roman" w:hAnsi="Calibri" w:cs="Times New Roman"/>
              </w:rPr>
            </w:pPr>
            <w:r w:rsidRPr="00BA08E2">
              <w:rPr>
                <w:rFonts w:ascii="Times New Roman" w:eastAsia="Times New Roman" w:hAnsi="Times New Roman" w:cs="Times New Roman"/>
              </w:rPr>
              <w:t>Wyszczególnienie</w:t>
            </w:r>
          </w:p>
        </w:tc>
        <w:tc>
          <w:tcPr>
            <w:tcW w:w="3930"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BA08E2" w:rsidRPr="00BA08E2" w:rsidRDefault="00BA08E2" w:rsidP="00BA08E2">
            <w:pPr>
              <w:spacing w:after="120" w:line="240" w:lineRule="auto"/>
              <w:jc w:val="center"/>
              <w:rPr>
                <w:rFonts w:ascii="Calibri" w:eastAsia="Times New Roman" w:hAnsi="Calibri" w:cs="Times New Roman"/>
              </w:rPr>
            </w:pPr>
            <w:r w:rsidRPr="00BA08E2">
              <w:rPr>
                <w:rFonts w:ascii="Times New Roman" w:eastAsia="Times New Roman" w:hAnsi="Times New Roman" w:cs="Times New Roman"/>
              </w:rPr>
              <w:t>Lata:</w:t>
            </w:r>
          </w:p>
        </w:tc>
        <w:tc>
          <w:tcPr>
            <w:tcW w:w="14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A08E2" w:rsidRPr="00BA08E2" w:rsidRDefault="0056031C" w:rsidP="00BA08E2">
            <w:pPr>
              <w:spacing w:after="120" w:line="240" w:lineRule="auto"/>
              <w:jc w:val="center"/>
              <w:rPr>
                <w:rFonts w:ascii="Calibri" w:eastAsia="Times New Roman" w:hAnsi="Calibri" w:cs="Times New Roman"/>
              </w:rPr>
            </w:pPr>
            <m:oMath>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2015</m:t>
                  </m:r>
                </m:num>
                <m:den>
                  <m:r>
                    <w:rPr>
                      <w:rFonts w:ascii="Cambria Math" w:eastAsia="Times New Roman" w:hAnsi="Cambria Math" w:cs="Times New Roman"/>
                      <w:sz w:val="24"/>
                      <w:szCs w:val="24"/>
                    </w:rPr>
                    <m:t>2013</m:t>
                  </m:r>
                </m:den>
              </m:f>
            </m:oMath>
            <w:r w:rsidR="00BA08E2" w:rsidRPr="00BA08E2">
              <w:rPr>
                <w:rFonts w:ascii="Times New Roman" w:eastAsia="Times New Roman" w:hAnsi="Times New Roman" w:cs="Times New Roman"/>
              </w:rPr>
              <w:t xml:space="preserve"> x 100</w:t>
            </w:r>
          </w:p>
        </w:tc>
      </w:tr>
      <w:tr w:rsidR="00852253" w:rsidRPr="00BA08E2" w:rsidTr="00BF4439">
        <w:trPr>
          <w:cantSplit/>
          <w:trHeight w:val="1"/>
        </w:trPr>
        <w:tc>
          <w:tcPr>
            <w:tcW w:w="377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2253" w:rsidRPr="00BA08E2" w:rsidRDefault="00852253" w:rsidP="00BA08E2">
            <w:pPr>
              <w:rPr>
                <w:rFonts w:ascii="Calibri" w:eastAsia="Calibri" w:hAnsi="Calibri" w:cs="Calibri"/>
              </w:rPr>
            </w:pP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2253" w:rsidRPr="00AC57A4" w:rsidRDefault="00852253" w:rsidP="00346776">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2013</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2253" w:rsidRPr="00AC57A4" w:rsidRDefault="00852253" w:rsidP="00346776">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2014</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2253" w:rsidRPr="00AC57A4" w:rsidRDefault="00852253" w:rsidP="00BA08E2">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2015</w:t>
            </w: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52253" w:rsidRPr="00BA08E2" w:rsidRDefault="00852253" w:rsidP="00BA08E2">
            <w:pPr>
              <w:rPr>
                <w:rFonts w:ascii="Calibri" w:eastAsia="Times New Roman" w:hAnsi="Calibri" w:cs="Times New Roman"/>
              </w:rPr>
            </w:pPr>
          </w:p>
        </w:tc>
      </w:tr>
      <w:tr w:rsidR="00700C37" w:rsidRPr="00BA08E2" w:rsidTr="00BD4160">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00C37" w:rsidRPr="00BA08E2" w:rsidRDefault="00700C37" w:rsidP="00BA08E2">
            <w:pPr>
              <w:spacing w:after="120" w:line="240" w:lineRule="auto"/>
              <w:jc w:val="both"/>
              <w:rPr>
                <w:rFonts w:ascii="Calibri" w:eastAsia="Times New Roman" w:hAnsi="Calibri" w:cs="Times New Roman"/>
              </w:rPr>
            </w:pPr>
            <w:r w:rsidRPr="00BA08E2">
              <w:rPr>
                <w:rFonts w:ascii="Times New Roman" w:eastAsia="Times New Roman" w:hAnsi="Times New Roman" w:cs="Times New Roman"/>
              </w:rPr>
              <w:t>Przeciętny obszar (ha UR)</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00C37" w:rsidRPr="00700C37" w:rsidRDefault="00700C37" w:rsidP="00BD4160">
            <w:pPr>
              <w:spacing w:after="120" w:line="240" w:lineRule="auto"/>
              <w:jc w:val="center"/>
              <w:rPr>
                <w:rFonts w:ascii="Times New Roman" w:eastAsia="Times New Roman" w:hAnsi="Times New Roman" w:cs="Times New Roman"/>
              </w:rPr>
            </w:pPr>
            <w:r w:rsidRPr="00700C37">
              <w:rPr>
                <w:rFonts w:ascii="Times New Roman" w:eastAsia="Times New Roman" w:hAnsi="Times New Roman" w:cs="Times New Roman"/>
              </w:rPr>
              <w:t>544,2</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00C37" w:rsidRPr="00700C37" w:rsidRDefault="00700C37" w:rsidP="00BD4160">
            <w:pPr>
              <w:spacing w:after="120" w:line="240" w:lineRule="auto"/>
              <w:jc w:val="center"/>
              <w:rPr>
                <w:rFonts w:ascii="Times New Roman" w:eastAsia="Times New Roman" w:hAnsi="Times New Roman" w:cs="Times New Roman"/>
              </w:rPr>
            </w:pPr>
            <w:r w:rsidRPr="00700C37">
              <w:rPr>
                <w:rFonts w:ascii="Times New Roman" w:eastAsia="Times New Roman" w:hAnsi="Times New Roman" w:cs="Times New Roman"/>
              </w:rPr>
              <w:t>538,6</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00C37" w:rsidRPr="00700C37" w:rsidRDefault="00700C37" w:rsidP="00BD4160">
            <w:pPr>
              <w:spacing w:after="120" w:line="240" w:lineRule="auto"/>
              <w:jc w:val="center"/>
              <w:rPr>
                <w:rFonts w:ascii="Times New Roman" w:eastAsia="Times New Roman" w:hAnsi="Times New Roman" w:cs="Times New Roman"/>
              </w:rPr>
            </w:pPr>
            <w:r w:rsidRPr="00700C37">
              <w:rPr>
                <w:rFonts w:ascii="Times New Roman" w:eastAsia="Times New Roman" w:hAnsi="Times New Roman" w:cs="Times New Roman"/>
              </w:rPr>
              <w:t>532,5</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00C37" w:rsidRPr="00DC20D2" w:rsidRDefault="00700C37" w:rsidP="00341EFC">
            <w:pPr>
              <w:spacing w:after="120" w:line="240" w:lineRule="auto"/>
              <w:jc w:val="center"/>
              <w:rPr>
                <w:rFonts w:ascii="Times New Roman" w:eastAsia="Times New Roman" w:hAnsi="Times New Roman" w:cs="Times New Roman"/>
              </w:rPr>
            </w:pPr>
            <w:r w:rsidRPr="00DC20D2">
              <w:rPr>
                <w:rFonts w:ascii="Times New Roman" w:eastAsia="Times New Roman" w:hAnsi="Times New Roman" w:cs="Times New Roman"/>
              </w:rPr>
              <w:t>97,9</w:t>
            </w:r>
          </w:p>
        </w:tc>
      </w:tr>
      <w:tr w:rsidR="00700C37" w:rsidRPr="00BA08E2" w:rsidTr="00BD4160">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00C37" w:rsidRPr="00BA08E2" w:rsidRDefault="00C43E9E" w:rsidP="00BA08E2">
            <w:pPr>
              <w:spacing w:after="120" w:line="240" w:lineRule="auto"/>
              <w:jc w:val="both"/>
              <w:rPr>
                <w:rFonts w:ascii="Calibri" w:eastAsia="Times New Roman" w:hAnsi="Calibri" w:cs="Times New Roman"/>
              </w:rPr>
            </w:pPr>
            <w:r>
              <w:rPr>
                <w:rFonts w:ascii="Times New Roman" w:eastAsia="Times New Roman" w:hAnsi="Times New Roman" w:cs="Times New Roman"/>
              </w:rPr>
              <w:t>Przychody ogółem na 1 ha UR (</w:t>
            </w:r>
            <w:r w:rsidR="00700C37" w:rsidRPr="00BA08E2">
              <w:rPr>
                <w:rFonts w:ascii="Times New Roman" w:eastAsia="Times New Roman" w:hAnsi="Times New Roman" w:cs="Times New Roman"/>
              </w:rPr>
              <w:t>tys. zł)</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00C37" w:rsidRPr="00700C37" w:rsidRDefault="00700C37" w:rsidP="00BD4160">
            <w:pPr>
              <w:spacing w:after="120" w:line="240" w:lineRule="auto"/>
              <w:jc w:val="center"/>
              <w:rPr>
                <w:rFonts w:ascii="Times New Roman" w:eastAsia="Times New Roman" w:hAnsi="Times New Roman" w:cs="Times New Roman"/>
              </w:rPr>
            </w:pPr>
            <w:r w:rsidRPr="00700C37">
              <w:rPr>
                <w:rFonts w:ascii="Times New Roman" w:eastAsia="Times New Roman" w:hAnsi="Times New Roman" w:cs="Times New Roman"/>
              </w:rPr>
              <w:t>11,2</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00C37" w:rsidRPr="00700C37" w:rsidRDefault="00700C37" w:rsidP="00BD4160">
            <w:pPr>
              <w:spacing w:after="120" w:line="240" w:lineRule="auto"/>
              <w:jc w:val="center"/>
              <w:rPr>
                <w:rFonts w:ascii="Times New Roman" w:eastAsia="Times New Roman" w:hAnsi="Times New Roman" w:cs="Times New Roman"/>
              </w:rPr>
            </w:pPr>
            <w:r w:rsidRPr="00700C37">
              <w:rPr>
                <w:rFonts w:ascii="Times New Roman" w:eastAsia="Times New Roman" w:hAnsi="Times New Roman" w:cs="Times New Roman"/>
              </w:rPr>
              <w:t>11,1</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00C37" w:rsidRPr="00700C37" w:rsidRDefault="00700C37" w:rsidP="00BD4160">
            <w:pPr>
              <w:spacing w:after="120" w:line="240" w:lineRule="auto"/>
              <w:jc w:val="center"/>
              <w:rPr>
                <w:rFonts w:ascii="Times New Roman" w:eastAsia="Times New Roman" w:hAnsi="Times New Roman" w:cs="Times New Roman"/>
              </w:rPr>
            </w:pPr>
            <w:r w:rsidRPr="00700C37">
              <w:rPr>
                <w:rFonts w:ascii="Times New Roman" w:eastAsia="Times New Roman" w:hAnsi="Times New Roman" w:cs="Times New Roman"/>
              </w:rPr>
              <w:t>10,7</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00C37" w:rsidRPr="00DC20D2" w:rsidRDefault="00700C37" w:rsidP="00700C37">
            <w:pPr>
              <w:spacing w:after="120" w:line="240" w:lineRule="auto"/>
              <w:jc w:val="center"/>
              <w:rPr>
                <w:rFonts w:ascii="Times New Roman" w:eastAsia="Times New Roman" w:hAnsi="Times New Roman" w:cs="Times New Roman"/>
              </w:rPr>
            </w:pPr>
            <w:r w:rsidRPr="00DC20D2">
              <w:rPr>
                <w:rFonts w:ascii="Times New Roman" w:eastAsia="Times New Roman" w:hAnsi="Times New Roman" w:cs="Times New Roman"/>
              </w:rPr>
              <w:t>95,5</w:t>
            </w:r>
          </w:p>
        </w:tc>
      </w:tr>
      <w:tr w:rsidR="00F47FA5" w:rsidRPr="00BA08E2" w:rsidTr="00BD4160">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47FA5" w:rsidRPr="00BA08E2" w:rsidRDefault="00F47FA5" w:rsidP="00BA08E2">
            <w:pPr>
              <w:spacing w:after="120" w:line="240" w:lineRule="auto"/>
              <w:jc w:val="both"/>
              <w:rPr>
                <w:rFonts w:ascii="Calibri" w:eastAsia="Times New Roman" w:hAnsi="Calibri" w:cs="Times New Roman"/>
              </w:rPr>
            </w:pPr>
            <w:r w:rsidRPr="00BA08E2">
              <w:rPr>
                <w:rFonts w:ascii="Times New Roman" w:eastAsia="Times New Roman" w:hAnsi="Times New Roman" w:cs="Times New Roman"/>
              </w:rPr>
              <w:t>Pracujący na 100 ha UR (osoby)</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47FA5" w:rsidRPr="00F47FA5" w:rsidRDefault="00F47FA5" w:rsidP="00BD4160">
            <w:pPr>
              <w:spacing w:after="120" w:line="240" w:lineRule="auto"/>
              <w:jc w:val="center"/>
              <w:rPr>
                <w:rFonts w:ascii="Times New Roman" w:eastAsia="Times New Roman" w:hAnsi="Times New Roman" w:cs="Times New Roman"/>
              </w:rPr>
            </w:pPr>
            <w:r w:rsidRPr="00F47FA5">
              <w:rPr>
                <w:rFonts w:ascii="Times New Roman" w:eastAsia="Times New Roman" w:hAnsi="Times New Roman" w:cs="Times New Roman"/>
              </w:rPr>
              <w:t>4,7</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47FA5" w:rsidRPr="00F47FA5" w:rsidRDefault="00F47FA5" w:rsidP="00BD4160">
            <w:pPr>
              <w:spacing w:after="120" w:line="240" w:lineRule="auto"/>
              <w:jc w:val="center"/>
              <w:rPr>
                <w:rFonts w:ascii="Times New Roman" w:eastAsia="Times New Roman" w:hAnsi="Times New Roman" w:cs="Times New Roman"/>
              </w:rPr>
            </w:pPr>
            <w:r w:rsidRPr="00F47FA5">
              <w:rPr>
                <w:rFonts w:ascii="Times New Roman" w:eastAsia="Times New Roman" w:hAnsi="Times New Roman" w:cs="Times New Roman"/>
              </w:rPr>
              <w:t>4,2</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47FA5" w:rsidRPr="00F47FA5" w:rsidRDefault="00F47FA5" w:rsidP="00BD4160">
            <w:pPr>
              <w:spacing w:after="120" w:line="240" w:lineRule="auto"/>
              <w:jc w:val="center"/>
              <w:rPr>
                <w:rFonts w:ascii="Times New Roman" w:eastAsia="Times New Roman" w:hAnsi="Times New Roman" w:cs="Times New Roman"/>
              </w:rPr>
            </w:pPr>
            <w:r w:rsidRPr="00F47FA5">
              <w:rPr>
                <w:rFonts w:ascii="Times New Roman" w:eastAsia="Times New Roman" w:hAnsi="Times New Roman" w:cs="Times New Roman"/>
              </w:rPr>
              <w:t>4,1</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47FA5" w:rsidRPr="00DC20D2" w:rsidRDefault="00F47FA5" w:rsidP="00341EFC">
            <w:pPr>
              <w:spacing w:after="120" w:line="240" w:lineRule="auto"/>
              <w:jc w:val="center"/>
              <w:rPr>
                <w:rFonts w:ascii="Times New Roman" w:eastAsia="Times New Roman" w:hAnsi="Times New Roman" w:cs="Times New Roman"/>
              </w:rPr>
            </w:pPr>
            <w:r w:rsidRPr="00DC20D2">
              <w:rPr>
                <w:rFonts w:ascii="Times New Roman" w:eastAsia="Times New Roman" w:hAnsi="Times New Roman" w:cs="Times New Roman"/>
              </w:rPr>
              <w:t>87,2</w:t>
            </w:r>
          </w:p>
        </w:tc>
      </w:tr>
      <w:tr w:rsidR="00BD4160" w:rsidRPr="00BA08E2" w:rsidTr="00BD4160">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BD4160" w:rsidRPr="00BA08E2" w:rsidRDefault="00BD4160" w:rsidP="00BA08E2">
            <w:pPr>
              <w:spacing w:after="120" w:line="240" w:lineRule="auto"/>
              <w:jc w:val="both"/>
              <w:rPr>
                <w:rFonts w:ascii="Calibri" w:eastAsia="Times New Roman" w:hAnsi="Calibri" w:cs="Times New Roman"/>
              </w:rPr>
            </w:pPr>
            <w:r w:rsidRPr="00BA08E2">
              <w:rPr>
                <w:rFonts w:ascii="Times New Roman" w:eastAsia="Times New Roman" w:hAnsi="Times New Roman" w:cs="Times New Roman"/>
              </w:rPr>
              <w:t>Wydajność pracy – wartość dodana (tys. zł/osobę)</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D4160" w:rsidRPr="00BD4160" w:rsidRDefault="00BD4160" w:rsidP="00BD4160">
            <w:pPr>
              <w:spacing w:after="120" w:line="240" w:lineRule="auto"/>
              <w:jc w:val="center"/>
              <w:rPr>
                <w:rFonts w:ascii="Times New Roman" w:eastAsia="Times New Roman" w:hAnsi="Times New Roman" w:cs="Times New Roman"/>
              </w:rPr>
            </w:pPr>
            <w:r w:rsidRPr="00BD4160">
              <w:rPr>
                <w:rFonts w:ascii="Times New Roman" w:eastAsia="Times New Roman" w:hAnsi="Times New Roman" w:cs="Times New Roman"/>
              </w:rPr>
              <w:t>84,4</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D4160" w:rsidRPr="00BD4160" w:rsidRDefault="00BD4160" w:rsidP="00BD4160">
            <w:pPr>
              <w:spacing w:after="120" w:line="240" w:lineRule="auto"/>
              <w:jc w:val="center"/>
              <w:rPr>
                <w:rFonts w:ascii="Times New Roman" w:eastAsia="Times New Roman" w:hAnsi="Times New Roman" w:cs="Times New Roman"/>
              </w:rPr>
            </w:pPr>
            <w:r w:rsidRPr="00BD4160">
              <w:rPr>
                <w:rFonts w:ascii="Times New Roman" w:eastAsia="Times New Roman" w:hAnsi="Times New Roman" w:cs="Times New Roman"/>
              </w:rPr>
              <w:t>93,5</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D4160" w:rsidRPr="00BD4160" w:rsidRDefault="00BD4160" w:rsidP="00BD4160">
            <w:pPr>
              <w:spacing w:after="120" w:line="240" w:lineRule="auto"/>
              <w:jc w:val="center"/>
              <w:rPr>
                <w:rFonts w:ascii="Times New Roman" w:eastAsia="Times New Roman" w:hAnsi="Times New Roman" w:cs="Times New Roman"/>
              </w:rPr>
            </w:pPr>
            <w:r w:rsidRPr="00BD4160">
              <w:rPr>
                <w:rFonts w:ascii="Times New Roman" w:eastAsia="Times New Roman" w:hAnsi="Times New Roman" w:cs="Times New Roman"/>
              </w:rPr>
              <w:t>84,5</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D4160" w:rsidRPr="00DC20D2" w:rsidRDefault="00BD4160" w:rsidP="00341EFC">
            <w:pPr>
              <w:spacing w:after="120" w:line="240" w:lineRule="auto"/>
              <w:jc w:val="center"/>
              <w:rPr>
                <w:rFonts w:ascii="Times New Roman" w:eastAsia="Times New Roman" w:hAnsi="Times New Roman" w:cs="Times New Roman"/>
              </w:rPr>
            </w:pPr>
            <w:r w:rsidRPr="00DC20D2">
              <w:rPr>
                <w:rFonts w:ascii="Times New Roman" w:eastAsia="Times New Roman" w:hAnsi="Times New Roman" w:cs="Times New Roman"/>
              </w:rPr>
              <w:t>100,1</w:t>
            </w:r>
          </w:p>
        </w:tc>
      </w:tr>
      <w:tr w:rsidR="009546EF" w:rsidRPr="00BA08E2" w:rsidTr="00F652B3">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9546EF" w:rsidRPr="00BA08E2" w:rsidRDefault="009546EF" w:rsidP="00BA08E2">
            <w:pPr>
              <w:spacing w:after="120" w:line="240" w:lineRule="auto"/>
              <w:jc w:val="both"/>
              <w:rPr>
                <w:rFonts w:ascii="Calibri" w:eastAsia="Times New Roman" w:hAnsi="Calibri" w:cs="Times New Roman"/>
              </w:rPr>
            </w:pPr>
            <w:r w:rsidRPr="00BA08E2">
              <w:rPr>
                <w:rFonts w:ascii="Times New Roman" w:eastAsia="Times New Roman" w:hAnsi="Times New Roman" w:cs="Times New Roman"/>
              </w:rPr>
              <w:lastRenderedPageBreak/>
              <w:t>Wskaźnik wartości dodanej (%)</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9546EF" w:rsidRPr="009546EF" w:rsidRDefault="009546EF" w:rsidP="009546EF">
            <w:pPr>
              <w:spacing w:after="120" w:line="240" w:lineRule="auto"/>
              <w:jc w:val="center"/>
              <w:rPr>
                <w:rFonts w:ascii="Times New Roman" w:eastAsia="Times New Roman" w:hAnsi="Times New Roman" w:cs="Times New Roman"/>
              </w:rPr>
            </w:pPr>
            <w:r w:rsidRPr="009546EF">
              <w:rPr>
                <w:rFonts w:ascii="Times New Roman" w:eastAsia="Times New Roman" w:hAnsi="Times New Roman" w:cs="Times New Roman"/>
              </w:rPr>
              <w:t>40,6</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9546EF" w:rsidRPr="009546EF" w:rsidRDefault="009546EF" w:rsidP="009546EF">
            <w:pPr>
              <w:spacing w:after="120" w:line="240" w:lineRule="auto"/>
              <w:jc w:val="center"/>
              <w:rPr>
                <w:rFonts w:ascii="Times New Roman" w:eastAsia="Times New Roman" w:hAnsi="Times New Roman" w:cs="Times New Roman"/>
              </w:rPr>
            </w:pPr>
            <w:r w:rsidRPr="009546EF">
              <w:rPr>
                <w:rFonts w:ascii="Times New Roman" w:eastAsia="Times New Roman" w:hAnsi="Times New Roman" w:cs="Times New Roman"/>
              </w:rPr>
              <w:t>42,0</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9546EF" w:rsidRPr="009546EF" w:rsidRDefault="009546EF" w:rsidP="009546EF">
            <w:pPr>
              <w:spacing w:after="120" w:line="240" w:lineRule="auto"/>
              <w:jc w:val="center"/>
              <w:rPr>
                <w:rFonts w:ascii="Times New Roman" w:eastAsia="Times New Roman" w:hAnsi="Times New Roman" w:cs="Times New Roman"/>
              </w:rPr>
            </w:pPr>
            <w:r w:rsidRPr="009546EF">
              <w:rPr>
                <w:rFonts w:ascii="Times New Roman" w:eastAsia="Times New Roman" w:hAnsi="Times New Roman" w:cs="Times New Roman"/>
              </w:rPr>
              <w:t>40,4</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546EF" w:rsidRPr="00DC20D2" w:rsidRDefault="009546EF" w:rsidP="00341EFC">
            <w:pPr>
              <w:spacing w:after="120" w:line="240" w:lineRule="auto"/>
              <w:jc w:val="center"/>
              <w:rPr>
                <w:rFonts w:ascii="Times New Roman" w:eastAsia="Times New Roman" w:hAnsi="Times New Roman" w:cs="Times New Roman"/>
              </w:rPr>
            </w:pPr>
            <w:r w:rsidRPr="00DC20D2">
              <w:rPr>
                <w:rFonts w:ascii="Times New Roman" w:eastAsia="Times New Roman" w:hAnsi="Times New Roman" w:cs="Times New Roman"/>
              </w:rPr>
              <w:t>99,5</w:t>
            </w:r>
          </w:p>
        </w:tc>
      </w:tr>
      <w:tr w:rsidR="00BA08E2" w:rsidRPr="00BA08E2" w:rsidTr="00BF4439">
        <w:trPr>
          <w:cantSplit/>
          <w:trHeight w:val="1"/>
        </w:trPr>
        <w:tc>
          <w:tcPr>
            <w:tcW w:w="9150"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BA08E2" w:rsidRPr="00DC20D2" w:rsidRDefault="00BA08E2" w:rsidP="00BA08E2">
            <w:pPr>
              <w:spacing w:after="120" w:line="240" w:lineRule="auto"/>
              <w:rPr>
                <w:rFonts w:ascii="Calibri" w:eastAsia="Times New Roman" w:hAnsi="Calibri" w:cs="Times New Roman"/>
              </w:rPr>
            </w:pPr>
            <w:r w:rsidRPr="00DC20D2">
              <w:rPr>
                <w:rFonts w:ascii="Times New Roman" w:eastAsia="Times New Roman" w:hAnsi="Times New Roman" w:cs="Times New Roman"/>
              </w:rPr>
              <w:t>Wskaźniki dochodowości:</w:t>
            </w:r>
          </w:p>
        </w:tc>
      </w:tr>
      <w:tr w:rsidR="009546EF" w:rsidRPr="00BA08E2" w:rsidTr="00346776">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9546EF" w:rsidRPr="00BA08E2" w:rsidRDefault="009546EF" w:rsidP="00BA08E2">
            <w:pPr>
              <w:spacing w:after="120" w:line="240" w:lineRule="auto"/>
              <w:jc w:val="both"/>
              <w:rPr>
                <w:rFonts w:ascii="Calibri" w:eastAsia="Times New Roman" w:hAnsi="Calibri" w:cs="Times New Roman"/>
              </w:rPr>
            </w:pPr>
            <w:r w:rsidRPr="00BA08E2">
              <w:rPr>
                <w:rFonts w:ascii="Times New Roman" w:eastAsia="Times New Roman" w:hAnsi="Times New Roman" w:cs="Times New Roman"/>
              </w:rPr>
              <w:t xml:space="preserve">- </w:t>
            </w:r>
            <w:r w:rsidRPr="00BA08E2">
              <w:rPr>
                <w:rFonts w:ascii="Times New Roman" w:eastAsia="Times New Roman" w:hAnsi="Times New Roman" w:cs="Times New Roman"/>
                <w:sz w:val="20"/>
              </w:rPr>
              <w:t>pracy członka (tys. zł/osobę)</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9546EF" w:rsidRPr="005C44A5" w:rsidRDefault="009546EF" w:rsidP="005C44A5">
            <w:pPr>
              <w:spacing w:after="120" w:line="240" w:lineRule="auto"/>
              <w:jc w:val="center"/>
              <w:rPr>
                <w:rFonts w:ascii="Times New Roman" w:eastAsia="Times New Roman" w:hAnsi="Times New Roman" w:cs="Times New Roman"/>
              </w:rPr>
            </w:pPr>
            <w:r w:rsidRPr="005C44A5">
              <w:rPr>
                <w:rFonts w:ascii="Times New Roman" w:eastAsia="Times New Roman" w:hAnsi="Times New Roman" w:cs="Times New Roman"/>
              </w:rPr>
              <w:t>53,0</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9546EF" w:rsidRPr="005C44A5" w:rsidRDefault="009546EF" w:rsidP="005C44A5">
            <w:pPr>
              <w:spacing w:after="120" w:line="240" w:lineRule="auto"/>
              <w:jc w:val="center"/>
              <w:rPr>
                <w:rFonts w:ascii="Times New Roman" w:eastAsia="Times New Roman" w:hAnsi="Times New Roman" w:cs="Times New Roman"/>
              </w:rPr>
            </w:pPr>
            <w:r w:rsidRPr="005C44A5">
              <w:rPr>
                <w:rFonts w:ascii="Times New Roman" w:eastAsia="Times New Roman" w:hAnsi="Times New Roman" w:cs="Times New Roman"/>
              </w:rPr>
              <w:t>59,3</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9546EF" w:rsidRPr="005C44A5" w:rsidRDefault="009546EF" w:rsidP="005C44A5">
            <w:pPr>
              <w:spacing w:after="120" w:line="240" w:lineRule="auto"/>
              <w:jc w:val="center"/>
              <w:rPr>
                <w:rFonts w:ascii="Times New Roman" w:eastAsia="Times New Roman" w:hAnsi="Times New Roman" w:cs="Times New Roman"/>
              </w:rPr>
            </w:pPr>
            <w:r w:rsidRPr="005C44A5">
              <w:rPr>
                <w:rFonts w:ascii="Times New Roman" w:eastAsia="Times New Roman" w:hAnsi="Times New Roman" w:cs="Times New Roman"/>
              </w:rPr>
              <w:t>48,4</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9546EF" w:rsidRPr="00DC20D2" w:rsidRDefault="005C44A5" w:rsidP="00341EFC">
            <w:pPr>
              <w:spacing w:after="120" w:line="240" w:lineRule="auto"/>
              <w:jc w:val="center"/>
              <w:rPr>
                <w:rFonts w:ascii="Times New Roman" w:eastAsia="Times New Roman" w:hAnsi="Times New Roman" w:cs="Times New Roman"/>
              </w:rPr>
            </w:pPr>
            <w:r w:rsidRPr="00DC20D2">
              <w:rPr>
                <w:rFonts w:ascii="Times New Roman" w:eastAsia="Times New Roman" w:hAnsi="Times New Roman" w:cs="Times New Roman"/>
              </w:rPr>
              <w:t>0,91</w:t>
            </w:r>
          </w:p>
        </w:tc>
      </w:tr>
      <w:tr w:rsidR="005C44A5" w:rsidRPr="00BA08E2" w:rsidTr="00346776">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C44A5" w:rsidRPr="00BA08E2" w:rsidRDefault="005C44A5" w:rsidP="00BA08E2">
            <w:pPr>
              <w:spacing w:after="120" w:line="240" w:lineRule="auto"/>
              <w:jc w:val="both"/>
              <w:rPr>
                <w:rFonts w:ascii="Calibri" w:eastAsia="Times New Roman" w:hAnsi="Calibri" w:cs="Times New Roman"/>
              </w:rPr>
            </w:pPr>
            <w:r w:rsidRPr="00BA08E2">
              <w:rPr>
                <w:rFonts w:ascii="Times New Roman" w:eastAsia="Times New Roman" w:hAnsi="Times New Roman" w:cs="Times New Roman"/>
              </w:rPr>
              <w:t>- działalności gospodarczej (%)</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5C44A5" w:rsidRPr="003A7C8B" w:rsidRDefault="003A7C8B" w:rsidP="003A7C8B">
            <w:pPr>
              <w:spacing w:after="120" w:line="240" w:lineRule="auto"/>
              <w:jc w:val="center"/>
              <w:rPr>
                <w:rFonts w:ascii="Times New Roman" w:eastAsia="Times New Roman" w:hAnsi="Times New Roman" w:cs="Times New Roman"/>
              </w:rPr>
            </w:pPr>
            <w:r w:rsidRPr="003A7C8B">
              <w:rPr>
                <w:rFonts w:ascii="Times New Roman" w:eastAsia="Times New Roman" w:hAnsi="Times New Roman" w:cs="Times New Roman"/>
              </w:rPr>
              <w:t>23,7</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5C44A5" w:rsidRPr="003A7C8B" w:rsidRDefault="003A7C8B" w:rsidP="003A7C8B">
            <w:pPr>
              <w:spacing w:after="120" w:line="240" w:lineRule="auto"/>
              <w:jc w:val="center"/>
              <w:rPr>
                <w:rFonts w:ascii="Times New Roman" w:eastAsia="Times New Roman" w:hAnsi="Times New Roman" w:cs="Times New Roman"/>
              </w:rPr>
            </w:pPr>
            <w:r w:rsidRPr="003A7C8B">
              <w:rPr>
                <w:rFonts w:ascii="Times New Roman" w:eastAsia="Times New Roman" w:hAnsi="Times New Roman" w:cs="Times New Roman"/>
              </w:rPr>
              <w:t>24,5</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5C44A5" w:rsidRPr="003A7C8B" w:rsidRDefault="003A7C8B" w:rsidP="003A7C8B">
            <w:pPr>
              <w:spacing w:after="120" w:line="240" w:lineRule="auto"/>
              <w:jc w:val="center"/>
              <w:rPr>
                <w:rFonts w:ascii="Times New Roman" w:eastAsia="Times New Roman" w:hAnsi="Times New Roman" w:cs="Times New Roman"/>
              </w:rPr>
            </w:pPr>
            <w:r w:rsidRPr="003A7C8B">
              <w:rPr>
                <w:rFonts w:ascii="Times New Roman" w:eastAsia="Times New Roman" w:hAnsi="Times New Roman" w:cs="Times New Roman"/>
              </w:rPr>
              <w:t>21,5</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C44A5" w:rsidRPr="00DC20D2" w:rsidRDefault="003A7C8B" w:rsidP="003A7C8B">
            <w:pPr>
              <w:spacing w:after="120" w:line="240" w:lineRule="auto"/>
              <w:jc w:val="center"/>
              <w:rPr>
                <w:rFonts w:ascii="Times New Roman" w:eastAsia="Times New Roman" w:hAnsi="Times New Roman" w:cs="Times New Roman"/>
              </w:rPr>
            </w:pPr>
            <w:r w:rsidRPr="00DC20D2">
              <w:rPr>
                <w:rFonts w:ascii="Times New Roman" w:eastAsia="Times New Roman" w:hAnsi="Times New Roman" w:cs="Times New Roman"/>
              </w:rPr>
              <w:t>90,7</w:t>
            </w:r>
          </w:p>
        </w:tc>
      </w:tr>
      <w:tr w:rsidR="009109AC" w:rsidRPr="00BA08E2" w:rsidTr="00346776">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9109AC" w:rsidRPr="00BA08E2" w:rsidRDefault="009109AC" w:rsidP="00BA08E2">
            <w:pPr>
              <w:spacing w:after="120" w:line="240" w:lineRule="auto"/>
              <w:jc w:val="both"/>
              <w:rPr>
                <w:rFonts w:ascii="Calibri" w:eastAsia="Times New Roman" w:hAnsi="Calibri" w:cs="Times New Roman"/>
              </w:rPr>
            </w:pPr>
            <w:r w:rsidRPr="00BA08E2">
              <w:rPr>
                <w:rFonts w:ascii="Times New Roman" w:eastAsia="Times New Roman" w:hAnsi="Times New Roman" w:cs="Times New Roman"/>
              </w:rPr>
              <w:t>Indeks tworzenia wartości (krotność)</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9109AC" w:rsidRPr="0031460F" w:rsidRDefault="0031460F" w:rsidP="0031460F">
            <w:pPr>
              <w:spacing w:after="120" w:line="240" w:lineRule="auto"/>
              <w:jc w:val="center"/>
              <w:rPr>
                <w:rFonts w:ascii="Times New Roman" w:eastAsia="Times New Roman" w:hAnsi="Times New Roman" w:cs="Times New Roman"/>
              </w:rPr>
            </w:pPr>
            <w:r w:rsidRPr="0031460F">
              <w:rPr>
                <w:rFonts w:ascii="Times New Roman" w:eastAsia="Times New Roman" w:hAnsi="Times New Roman" w:cs="Times New Roman"/>
              </w:rPr>
              <w:t>0,93</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9109AC" w:rsidRPr="0031460F" w:rsidRDefault="0031460F" w:rsidP="0031460F">
            <w:pPr>
              <w:spacing w:after="120" w:line="240" w:lineRule="auto"/>
              <w:jc w:val="center"/>
              <w:rPr>
                <w:rFonts w:ascii="Times New Roman" w:eastAsia="Times New Roman" w:hAnsi="Times New Roman" w:cs="Times New Roman"/>
              </w:rPr>
            </w:pPr>
            <w:r w:rsidRPr="0031460F">
              <w:rPr>
                <w:rFonts w:ascii="Times New Roman" w:eastAsia="Times New Roman" w:hAnsi="Times New Roman" w:cs="Times New Roman"/>
              </w:rPr>
              <w:t>1,16</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9109AC" w:rsidRPr="0031460F" w:rsidRDefault="0031460F" w:rsidP="0031460F">
            <w:pPr>
              <w:spacing w:after="120" w:line="240" w:lineRule="auto"/>
              <w:jc w:val="center"/>
              <w:rPr>
                <w:rFonts w:ascii="Times New Roman" w:eastAsia="Times New Roman" w:hAnsi="Times New Roman" w:cs="Times New Roman"/>
              </w:rPr>
            </w:pPr>
            <w:r w:rsidRPr="0031460F">
              <w:rPr>
                <w:rFonts w:ascii="Times New Roman" w:eastAsia="Times New Roman" w:hAnsi="Times New Roman" w:cs="Times New Roman"/>
              </w:rPr>
              <w:t>-0,29</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9109AC" w:rsidRPr="00DC20D2" w:rsidRDefault="003A7C8B" w:rsidP="0031460F">
            <w:pPr>
              <w:spacing w:after="120" w:line="240" w:lineRule="auto"/>
              <w:jc w:val="center"/>
              <w:rPr>
                <w:rFonts w:ascii="Times New Roman" w:eastAsia="Times New Roman" w:hAnsi="Times New Roman" w:cs="Times New Roman"/>
              </w:rPr>
            </w:pPr>
            <w:r w:rsidRPr="00DC20D2">
              <w:rPr>
                <w:rFonts w:ascii="Times New Roman" w:eastAsia="Times New Roman" w:hAnsi="Times New Roman" w:cs="Times New Roman"/>
              </w:rPr>
              <w:t>-</w:t>
            </w:r>
          </w:p>
        </w:tc>
      </w:tr>
      <w:tr w:rsidR="0031460F" w:rsidRPr="00BA08E2" w:rsidTr="0031460F">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1460F" w:rsidRPr="00BA08E2" w:rsidRDefault="0031460F" w:rsidP="00BA08E2">
            <w:pPr>
              <w:spacing w:after="120" w:line="240" w:lineRule="auto"/>
              <w:jc w:val="both"/>
              <w:rPr>
                <w:rFonts w:ascii="Calibri" w:eastAsia="Times New Roman" w:hAnsi="Calibri" w:cs="Times New Roman"/>
              </w:rPr>
            </w:pPr>
            <w:r w:rsidRPr="00BA08E2">
              <w:rPr>
                <w:rFonts w:ascii="Times New Roman" w:eastAsia="Times New Roman" w:hAnsi="Times New Roman" w:cs="Times New Roman"/>
              </w:rPr>
              <w:t>Wskaźnik generowania gotówki operacyjnej (%)</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460F" w:rsidRPr="0031460F" w:rsidRDefault="0031460F" w:rsidP="0031460F">
            <w:pPr>
              <w:spacing w:after="120" w:line="240" w:lineRule="auto"/>
              <w:jc w:val="center"/>
              <w:rPr>
                <w:rFonts w:ascii="Times New Roman" w:eastAsia="Times New Roman" w:hAnsi="Times New Roman" w:cs="Times New Roman"/>
              </w:rPr>
            </w:pPr>
            <w:r w:rsidRPr="0031460F">
              <w:rPr>
                <w:rFonts w:ascii="Times New Roman" w:eastAsia="Times New Roman" w:hAnsi="Times New Roman" w:cs="Times New Roman"/>
              </w:rPr>
              <w:t>10,2</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460F" w:rsidRPr="0031460F" w:rsidRDefault="0031460F" w:rsidP="0031460F">
            <w:pPr>
              <w:spacing w:after="120" w:line="240" w:lineRule="auto"/>
              <w:jc w:val="center"/>
              <w:rPr>
                <w:rFonts w:ascii="Times New Roman" w:eastAsia="Times New Roman" w:hAnsi="Times New Roman" w:cs="Times New Roman"/>
              </w:rPr>
            </w:pPr>
            <w:r w:rsidRPr="0031460F">
              <w:rPr>
                <w:rFonts w:ascii="Times New Roman" w:eastAsia="Times New Roman" w:hAnsi="Times New Roman" w:cs="Times New Roman"/>
              </w:rPr>
              <w:t>10,6</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460F" w:rsidRPr="0031460F" w:rsidRDefault="0031460F" w:rsidP="0031460F">
            <w:pPr>
              <w:spacing w:after="120" w:line="240" w:lineRule="auto"/>
              <w:jc w:val="center"/>
              <w:rPr>
                <w:rFonts w:ascii="Times New Roman" w:eastAsia="Times New Roman" w:hAnsi="Times New Roman" w:cs="Times New Roman"/>
              </w:rPr>
            </w:pPr>
            <w:r w:rsidRPr="0031460F">
              <w:rPr>
                <w:rFonts w:ascii="Times New Roman" w:eastAsia="Times New Roman" w:hAnsi="Times New Roman" w:cs="Times New Roman"/>
              </w:rPr>
              <w:t>6,5</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460F" w:rsidRPr="00DC20D2" w:rsidRDefault="0031460F" w:rsidP="0031460F">
            <w:pPr>
              <w:spacing w:after="120" w:line="240" w:lineRule="auto"/>
              <w:jc w:val="center"/>
              <w:rPr>
                <w:rFonts w:ascii="Times New Roman" w:eastAsia="Times New Roman" w:hAnsi="Times New Roman" w:cs="Times New Roman"/>
              </w:rPr>
            </w:pPr>
            <w:r w:rsidRPr="00DC20D2">
              <w:rPr>
                <w:rFonts w:ascii="Times New Roman" w:eastAsia="Times New Roman" w:hAnsi="Times New Roman" w:cs="Times New Roman"/>
              </w:rPr>
              <w:t>63,7</w:t>
            </w:r>
          </w:p>
        </w:tc>
      </w:tr>
      <w:tr w:rsidR="0031460F" w:rsidRPr="00BA08E2" w:rsidTr="008A4107">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1460F" w:rsidRPr="00BA08E2" w:rsidRDefault="0031460F" w:rsidP="00BA08E2">
            <w:pPr>
              <w:spacing w:after="120" w:line="240" w:lineRule="auto"/>
              <w:jc w:val="both"/>
              <w:rPr>
                <w:rFonts w:ascii="Calibri" w:eastAsia="Times New Roman" w:hAnsi="Calibri" w:cs="Times New Roman"/>
              </w:rPr>
            </w:pPr>
            <w:r w:rsidRPr="00BA08E2">
              <w:rPr>
                <w:rFonts w:ascii="Times New Roman" w:eastAsia="Times New Roman" w:hAnsi="Times New Roman" w:cs="Times New Roman"/>
              </w:rPr>
              <w:t>Stopa inwestycji (%)</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460F" w:rsidRPr="0031460F" w:rsidRDefault="0031460F" w:rsidP="008A4107">
            <w:pPr>
              <w:spacing w:after="120" w:line="240" w:lineRule="auto"/>
              <w:jc w:val="center"/>
              <w:rPr>
                <w:rFonts w:ascii="Times New Roman" w:eastAsia="Times New Roman" w:hAnsi="Times New Roman" w:cs="Times New Roman"/>
              </w:rPr>
            </w:pPr>
            <w:r w:rsidRPr="0031460F">
              <w:rPr>
                <w:rFonts w:ascii="Times New Roman" w:eastAsia="Times New Roman" w:hAnsi="Times New Roman" w:cs="Times New Roman"/>
              </w:rPr>
              <w:t>1,81</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460F" w:rsidRPr="0031460F" w:rsidRDefault="0031460F" w:rsidP="008A4107">
            <w:pPr>
              <w:spacing w:after="120" w:line="240" w:lineRule="auto"/>
              <w:jc w:val="center"/>
              <w:rPr>
                <w:rFonts w:ascii="Times New Roman" w:eastAsia="Times New Roman" w:hAnsi="Times New Roman" w:cs="Times New Roman"/>
              </w:rPr>
            </w:pPr>
            <w:r w:rsidRPr="0031460F">
              <w:rPr>
                <w:rFonts w:ascii="Times New Roman" w:eastAsia="Times New Roman" w:hAnsi="Times New Roman" w:cs="Times New Roman"/>
              </w:rPr>
              <w:t>1,3</w:t>
            </w:r>
            <w:r>
              <w:rPr>
                <w:rFonts w:ascii="Times New Roman" w:eastAsia="Times New Roman" w:hAnsi="Times New Roman" w:cs="Times New Roman"/>
              </w:rPr>
              <w:t>8</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460F" w:rsidRPr="0031460F" w:rsidRDefault="0031460F" w:rsidP="008A4107">
            <w:pPr>
              <w:spacing w:after="120" w:line="240" w:lineRule="auto"/>
              <w:jc w:val="center"/>
              <w:rPr>
                <w:rFonts w:ascii="Times New Roman" w:eastAsia="Times New Roman" w:hAnsi="Times New Roman" w:cs="Times New Roman"/>
              </w:rPr>
            </w:pPr>
            <w:r w:rsidRPr="0031460F">
              <w:rPr>
                <w:rFonts w:ascii="Times New Roman" w:eastAsia="Times New Roman" w:hAnsi="Times New Roman" w:cs="Times New Roman"/>
              </w:rPr>
              <w:t>1,1</w:t>
            </w:r>
            <w:r>
              <w:rPr>
                <w:rFonts w:ascii="Times New Roman" w:eastAsia="Times New Roman" w:hAnsi="Times New Roman" w:cs="Times New Roman"/>
              </w:rPr>
              <w:t>9</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460F" w:rsidRPr="00DC20D2" w:rsidRDefault="0031460F" w:rsidP="008A4107">
            <w:pPr>
              <w:spacing w:after="120" w:line="240" w:lineRule="auto"/>
              <w:jc w:val="center"/>
              <w:rPr>
                <w:rFonts w:ascii="Times New Roman" w:eastAsia="Times New Roman" w:hAnsi="Times New Roman" w:cs="Times New Roman"/>
              </w:rPr>
            </w:pPr>
            <w:r w:rsidRPr="00DC20D2">
              <w:rPr>
                <w:rFonts w:ascii="Times New Roman" w:eastAsia="Times New Roman" w:hAnsi="Times New Roman" w:cs="Times New Roman"/>
              </w:rPr>
              <w:t>65,7</w:t>
            </w:r>
          </w:p>
        </w:tc>
      </w:tr>
      <w:tr w:rsidR="0031460F" w:rsidRPr="00BA08E2" w:rsidTr="008A4107">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1460F" w:rsidRPr="00BA08E2" w:rsidRDefault="0031460F" w:rsidP="00BA08E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Udział dotacji w dochodzie ogólnym </w:t>
            </w:r>
            <w:r w:rsidRPr="00BA08E2">
              <w:rPr>
                <w:rFonts w:ascii="Times New Roman" w:eastAsia="Times New Roman" w:hAnsi="Times New Roman" w:cs="Times New Roman"/>
              </w:rPr>
              <w:t>(%)</w:t>
            </w:r>
            <w:r>
              <w:rPr>
                <w:rFonts w:ascii="Times New Roman" w:eastAsia="Times New Roman" w:hAnsi="Times New Roman" w:cs="Times New Roman"/>
              </w:rPr>
              <w:t xml:space="preserve"> </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460F" w:rsidRPr="00F35999" w:rsidRDefault="0031460F" w:rsidP="008A4107">
            <w:pPr>
              <w:spacing w:after="120" w:line="240" w:lineRule="auto"/>
              <w:jc w:val="center"/>
              <w:rPr>
                <w:rFonts w:ascii="Times New Roman" w:eastAsia="Times New Roman" w:hAnsi="Times New Roman" w:cs="Times New Roman"/>
              </w:rPr>
            </w:pPr>
            <w:r w:rsidRPr="00F35999">
              <w:rPr>
                <w:rFonts w:ascii="Times New Roman" w:eastAsia="Times New Roman" w:hAnsi="Times New Roman" w:cs="Times New Roman"/>
              </w:rPr>
              <w:t>44,88</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460F" w:rsidRPr="00F35999" w:rsidRDefault="0031460F" w:rsidP="008A4107">
            <w:pPr>
              <w:spacing w:after="120" w:line="240" w:lineRule="auto"/>
              <w:jc w:val="center"/>
              <w:rPr>
                <w:rFonts w:ascii="Times New Roman" w:eastAsia="Times New Roman" w:hAnsi="Times New Roman" w:cs="Times New Roman"/>
              </w:rPr>
            </w:pPr>
            <w:r w:rsidRPr="00F35999">
              <w:rPr>
                <w:rFonts w:ascii="Times New Roman" w:eastAsia="Times New Roman" w:hAnsi="Times New Roman" w:cs="Times New Roman"/>
              </w:rPr>
              <w:t>44,5</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460F" w:rsidRPr="00F35999" w:rsidRDefault="0031460F" w:rsidP="008A4107">
            <w:pPr>
              <w:spacing w:after="120" w:line="240" w:lineRule="auto"/>
              <w:jc w:val="center"/>
              <w:rPr>
                <w:rFonts w:ascii="Times New Roman" w:eastAsia="Times New Roman" w:hAnsi="Times New Roman" w:cs="Times New Roman"/>
              </w:rPr>
            </w:pPr>
            <w:r w:rsidRPr="00F35999">
              <w:rPr>
                <w:rFonts w:ascii="Times New Roman" w:eastAsia="Times New Roman" w:hAnsi="Times New Roman" w:cs="Times New Roman"/>
              </w:rPr>
              <w:t>41,0</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1460F" w:rsidRPr="00DC20D2" w:rsidRDefault="00836019" w:rsidP="008A4107">
            <w:pPr>
              <w:spacing w:after="120" w:line="240" w:lineRule="auto"/>
              <w:jc w:val="center"/>
              <w:rPr>
                <w:rFonts w:ascii="Times New Roman" w:eastAsia="Times New Roman" w:hAnsi="Times New Roman" w:cs="Times New Roman"/>
              </w:rPr>
            </w:pPr>
            <w:r w:rsidRPr="00DC20D2">
              <w:rPr>
                <w:rFonts w:ascii="Times New Roman" w:eastAsia="Times New Roman" w:hAnsi="Times New Roman" w:cs="Times New Roman"/>
              </w:rPr>
              <w:t>0,91</w:t>
            </w:r>
          </w:p>
        </w:tc>
      </w:tr>
    </w:tbl>
    <w:p w:rsidR="00BA08E2" w:rsidRPr="006A146C" w:rsidRDefault="00CD5C49" w:rsidP="00BA08E2">
      <w:pPr>
        <w:spacing w:after="120"/>
        <w:rPr>
          <w:rFonts w:ascii="Times New Roman" w:eastAsia="Times New Roman" w:hAnsi="Times New Roman" w:cs="Times New Roman"/>
          <w:i/>
          <w:sz w:val="20"/>
        </w:rPr>
      </w:pPr>
      <w:r w:rsidRPr="006A146C">
        <w:rPr>
          <w:rFonts w:ascii="Times New Roman" w:eastAsia="Times New Roman" w:hAnsi="Times New Roman" w:cs="Times New Roman"/>
          <w:b/>
          <w:sz w:val="20"/>
        </w:rPr>
        <w:t>Źródło</w:t>
      </w:r>
      <w:r>
        <w:rPr>
          <w:rFonts w:ascii="Times New Roman" w:eastAsia="Times New Roman" w:hAnsi="Times New Roman" w:cs="Times New Roman"/>
          <w:sz w:val="20"/>
        </w:rPr>
        <w:t xml:space="preserve">: </w:t>
      </w:r>
      <w:r w:rsidR="00346776">
        <w:rPr>
          <w:rFonts w:ascii="Times New Roman" w:eastAsia="Times New Roman" w:hAnsi="Times New Roman" w:cs="Times New Roman"/>
          <w:i/>
          <w:sz w:val="20"/>
        </w:rPr>
        <w:t>Ranking RSP 2013</w:t>
      </w:r>
      <w:r w:rsidRPr="006A146C">
        <w:rPr>
          <w:rFonts w:ascii="Times New Roman" w:eastAsia="Times New Roman" w:hAnsi="Times New Roman" w:cs="Times New Roman"/>
          <w:i/>
          <w:sz w:val="20"/>
        </w:rPr>
        <w:t xml:space="preserve"> r.,</w:t>
      </w:r>
      <w:r w:rsidR="006A146C">
        <w:rPr>
          <w:rFonts w:ascii="Times New Roman" w:eastAsia="Times New Roman" w:hAnsi="Times New Roman" w:cs="Times New Roman"/>
          <w:i/>
          <w:sz w:val="20"/>
        </w:rPr>
        <w:t xml:space="preserve"> </w:t>
      </w:r>
      <w:r w:rsidR="00346776">
        <w:rPr>
          <w:rFonts w:ascii="Times New Roman" w:eastAsia="Times New Roman" w:hAnsi="Times New Roman" w:cs="Times New Roman"/>
          <w:i/>
          <w:sz w:val="20"/>
        </w:rPr>
        <w:t>2014 r. i 2015</w:t>
      </w:r>
      <w:r w:rsidR="006A73CA" w:rsidRPr="006A146C">
        <w:rPr>
          <w:rFonts w:ascii="Times New Roman" w:eastAsia="Times New Roman" w:hAnsi="Times New Roman" w:cs="Times New Roman"/>
          <w:i/>
          <w:sz w:val="20"/>
        </w:rPr>
        <w:t xml:space="preserve"> </w:t>
      </w:r>
      <w:r w:rsidR="00BA08E2" w:rsidRPr="006A146C">
        <w:rPr>
          <w:rFonts w:ascii="Times New Roman" w:eastAsia="Times New Roman" w:hAnsi="Times New Roman" w:cs="Times New Roman"/>
          <w:i/>
          <w:sz w:val="20"/>
        </w:rPr>
        <w:t>r.</w:t>
      </w:r>
    </w:p>
    <w:p w:rsidR="00D50348" w:rsidRDefault="00E50FC9" w:rsidP="005767E1">
      <w:pPr>
        <w:spacing w:before="80" w:after="0" w:line="264" w:lineRule="auto"/>
        <w:ind w:firstLine="425"/>
        <w:jc w:val="both"/>
        <w:rPr>
          <w:rFonts w:ascii="Times New Roman" w:hAnsi="Times New Roman"/>
          <w:sz w:val="24"/>
          <w:szCs w:val="24"/>
        </w:rPr>
      </w:pPr>
      <w:r>
        <w:rPr>
          <w:rFonts w:ascii="Times New Roman" w:hAnsi="Times New Roman"/>
          <w:sz w:val="24"/>
          <w:szCs w:val="24"/>
        </w:rPr>
        <w:t>P</w:t>
      </w:r>
      <w:r w:rsidR="001F3C5B" w:rsidRPr="00ED4E2E">
        <w:rPr>
          <w:rFonts w:ascii="Times New Roman" w:hAnsi="Times New Roman"/>
          <w:sz w:val="24"/>
          <w:szCs w:val="24"/>
        </w:rPr>
        <w:t xml:space="preserve">ogorszenie sytuacji finansowej </w:t>
      </w:r>
      <w:r w:rsidR="001F3C5B">
        <w:rPr>
          <w:rFonts w:ascii="Times New Roman" w:hAnsi="Times New Roman"/>
          <w:sz w:val="24"/>
          <w:szCs w:val="24"/>
        </w:rPr>
        <w:t>spółdzielni</w:t>
      </w:r>
      <w:r w:rsidR="0076057C">
        <w:rPr>
          <w:rFonts w:ascii="Times New Roman" w:hAnsi="Times New Roman"/>
          <w:sz w:val="24"/>
          <w:szCs w:val="24"/>
        </w:rPr>
        <w:t xml:space="preserve"> widoczne jest również przy analizie </w:t>
      </w:r>
      <w:r w:rsidR="001F3C5B" w:rsidRPr="00ED4E2E">
        <w:rPr>
          <w:rFonts w:ascii="Times New Roman" w:hAnsi="Times New Roman"/>
          <w:sz w:val="24"/>
          <w:szCs w:val="24"/>
        </w:rPr>
        <w:t>wskaźnik</w:t>
      </w:r>
      <w:r w:rsidR="001F3C5B">
        <w:rPr>
          <w:rFonts w:ascii="Times New Roman" w:hAnsi="Times New Roman"/>
          <w:sz w:val="24"/>
          <w:szCs w:val="24"/>
        </w:rPr>
        <w:t>a</w:t>
      </w:r>
      <w:r w:rsidR="001F3C5B" w:rsidRPr="00ED4E2E">
        <w:rPr>
          <w:rFonts w:ascii="Times New Roman" w:hAnsi="Times New Roman"/>
          <w:sz w:val="24"/>
          <w:szCs w:val="24"/>
        </w:rPr>
        <w:t xml:space="preserve"> generowania g</w:t>
      </w:r>
      <w:r>
        <w:rPr>
          <w:rFonts w:ascii="Times New Roman" w:hAnsi="Times New Roman"/>
          <w:sz w:val="24"/>
          <w:szCs w:val="24"/>
        </w:rPr>
        <w:t xml:space="preserve">otówki operacyjnej. </w:t>
      </w:r>
      <w:r w:rsidR="0076057C">
        <w:rPr>
          <w:rFonts w:ascii="Times New Roman" w:hAnsi="Times New Roman"/>
          <w:sz w:val="24"/>
          <w:szCs w:val="24"/>
        </w:rPr>
        <w:t xml:space="preserve">Do tej pory zdolność spółdzielni do generowania wolnych środków pieniężnych zmieniała się na </w:t>
      </w:r>
      <w:r w:rsidR="00A54D45">
        <w:rPr>
          <w:rFonts w:ascii="Times New Roman" w:hAnsi="Times New Roman"/>
          <w:sz w:val="24"/>
          <w:szCs w:val="24"/>
        </w:rPr>
        <w:t xml:space="preserve">ogół w niewielkim stopniu, tak </w:t>
      </w:r>
      <w:r w:rsidR="0076057C">
        <w:rPr>
          <w:rFonts w:ascii="Times New Roman" w:hAnsi="Times New Roman"/>
          <w:sz w:val="24"/>
          <w:szCs w:val="24"/>
        </w:rPr>
        <w:t>też było w latach 2013/2014, podczas gdy w ostatnim roku</w:t>
      </w:r>
      <w:r w:rsidR="001F3C5B">
        <w:rPr>
          <w:rFonts w:ascii="Times New Roman" w:hAnsi="Times New Roman"/>
          <w:sz w:val="24"/>
          <w:szCs w:val="24"/>
        </w:rPr>
        <w:t xml:space="preserve"> uległ</w:t>
      </w:r>
      <w:r w:rsidR="00A54D45">
        <w:rPr>
          <w:rFonts w:ascii="Times New Roman" w:hAnsi="Times New Roman"/>
          <w:sz w:val="24"/>
          <w:szCs w:val="24"/>
        </w:rPr>
        <w:t>a</w:t>
      </w:r>
      <w:r w:rsidR="001F3C5B">
        <w:rPr>
          <w:rFonts w:ascii="Times New Roman" w:hAnsi="Times New Roman"/>
          <w:sz w:val="24"/>
          <w:szCs w:val="24"/>
        </w:rPr>
        <w:t xml:space="preserve"> </w:t>
      </w:r>
      <w:r w:rsidR="001F3C5B" w:rsidRPr="00ED4E2E">
        <w:rPr>
          <w:rFonts w:ascii="Times New Roman" w:hAnsi="Times New Roman"/>
          <w:sz w:val="24"/>
          <w:szCs w:val="24"/>
        </w:rPr>
        <w:t xml:space="preserve">obniżeniu o </w:t>
      </w:r>
      <w:r w:rsidR="0076057C">
        <w:rPr>
          <w:rFonts w:ascii="Times New Roman" w:hAnsi="Times New Roman"/>
          <w:sz w:val="24"/>
          <w:szCs w:val="24"/>
        </w:rPr>
        <w:t>36</w:t>
      </w:r>
      <w:r w:rsidR="00974169">
        <w:rPr>
          <w:rFonts w:ascii="Times New Roman" w:hAnsi="Times New Roman"/>
          <w:sz w:val="24"/>
          <w:szCs w:val="24"/>
        </w:rPr>
        <w:t xml:space="preserve">,3 </w:t>
      </w:r>
      <w:r w:rsidR="001F3C5B" w:rsidRPr="00ED4E2E">
        <w:rPr>
          <w:rFonts w:ascii="Times New Roman" w:hAnsi="Times New Roman"/>
          <w:sz w:val="24"/>
          <w:szCs w:val="24"/>
        </w:rPr>
        <w:t>%</w:t>
      </w:r>
      <w:r w:rsidR="0040198D">
        <w:rPr>
          <w:rFonts w:ascii="Times New Roman" w:hAnsi="Times New Roman"/>
          <w:sz w:val="24"/>
          <w:szCs w:val="24"/>
        </w:rPr>
        <w:t xml:space="preserve">. </w:t>
      </w:r>
      <w:r w:rsidR="0012381F">
        <w:rPr>
          <w:rFonts w:ascii="Times New Roman" w:hAnsi="Times New Roman"/>
          <w:sz w:val="24"/>
          <w:szCs w:val="24"/>
        </w:rPr>
        <w:t xml:space="preserve">Sytuacja </w:t>
      </w:r>
      <w:r w:rsidR="00A54D45">
        <w:rPr>
          <w:rFonts w:ascii="Times New Roman" w:hAnsi="Times New Roman"/>
          <w:sz w:val="24"/>
          <w:szCs w:val="24"/>
        </w:rPr>
        <w:t>ta prowadzi</w:t>
      </w:r>
      <w:r w:rsidR="0012381F">
        <w:rPr>
          <w:rFonts w:ascii="Times New Roman" w:hAnsi="Times New Roman"/>
          <w:sz w:val="24"/>
          <w:szCs w:val="24"/>
        </w:rPr>
        <w:t xml:space="preserve"> zwykle</w:t>
      </w:r>
      <w:r w:rsidR="00A54D45">
        <w:rPr>
          <w:rFonts w:ascii="Times New Roman" w:hAnsi="Times New Roman"/>
          <w:sz w:val="24"/>
          <w:szCs w:val="24"/>
        </w:rPr>
        <w:t xml:space="preserve"> do</w:t>
      </w:r>
      <w:r w:rsidR="0012381F">
        <w:rPr>
          <w:rFonts w:ascii="Times New Roman" w:hAnsi="Times New Roman"/>
          <w:sz w:val="24"/>
          <w:szCs w:val="24"/>
        </w:rPr>
        <w:t xml:space="preserve"> ogranicz</w:t>
      </w:r>
      <w:r w:rsidR="00A54D45">
        <w:rPr>
          <w:rFonts w:ascii="Times New Roman" w:hAnsi="Times New Roman"/>
          <w:sz w:val="24"/>
          <w:szCs w:val="24"/>
        </w:rPr>
        <w:t>a</w:t>
      </w:r>
      <w:r w:rsidR="0012381F">
        <w:rPr>
          <w:rFonts w:ascii="Times New Roman" w:hAnsi="Times New Roman"/>
          <w:sz w:val="24"/>
          <w:szCs w:val="24"/>
        </w:rPr>
        <w:t>ni</w:t>
      </w:r>
      <w:r w:rsidR="00A54D45">
        <w:rPr>
          <w:rFonts w:ascii="Times New Roman" w:hAnsi="Times New Roman"/>
          <w:sz w:val="24"/>
          <w:szCs w:val="24"/>
        </w:rPr>
        <w:t>a</w:t>
      </w:r>
      <w:r w:rsidR="0012381F">
        <w:rPr>
          <w:rFonts w:ascii="Times New Roman" w:hAnsi="Times New Roman"/>
          <w:sz w:val="24"/>
          <w:szCs w:val="24"/>
        </w:rPr>
        <w:t xml:space="preserve"> inwestycji, co</w:t>
      </w:r>
      <w:r w:rsidR="0076057C">
        <w:rPr>
          <w:rFonts w:ascii="Times New Roman" w:hAnsi="Times New Roman"/>
          <w:sz w:val="24"/>
          <w:szCs w:val="24"/>
        </w:rPr>
        <w:t xml:space="preserve"> </w:t>
      </w:r>
      <w:r w:rsidR="00C43E9E">
        <w:rPr>
          <w:rFonts w:ascii="Times New Roman" w:hAnsi="Times New Roman"/>
          <w:sz w:val="24"/>
          <w:szCs w:val="24"/>
        </w:rPr>
        <w:t xml:space="preserve">w </w:t>
      </w:r>
      <w:r w:rsidR="0076057C">
        <w:rPr>
          <w:rFonts w:ascii="Times New Roman" w:hAnsi="Times New Roman"/>
          <w:sz w:val="24"/>
          <w:szCs w:val="24"/>
        </w:rPr>
        <w:t>2015</w:t>
      </w:r>
      <w:r w:rsidR="00974169">
        <w:rPr>
          <w:rFonts w:ascii="Times New Roman" w:hAnsi="Times New Roman"/>
          <w:sz w:val="24"/>
          <w:szCs w:val="24"/>
        </w:rPr>
        <w:t xml:space="preserve"> r</w:t>
      </w:r>
      <w:r w:rsidR="00C43E9E">
        <w:rPr>
          <w:rFonts w:ascii="Times New Roman" w:hAnsi="Times New Roman"/>
          <w:sz w:val="24"/>
          <w:szCs w:val="24"/>
        </w:rPr>
        <w:t>.</w:t>
      </w:r>
      <w:r w:rsidR="0012381F">
        <w:rPr>
          <w:rFonts w:ascii="Times New Roman" w:hAnsi="Times New Roman"/>
          <w:sz w:val="24"/>
          <w:szCs w:val="24"/>
        </w:rPr>
        <w:t xml:space="preserve"> w zbiorowości RSP</w:t>
      </w:r>
      <w:r w:rsidR="00A54D45">
        <w:rPr>
          <w:rFonts w:ascii="Times New Roman" w:hAnsi="Times New Roman"/>
          <w:sz w:val="24"/>
          <w:szCs w:val="24"/>
        </w:rPr>
        <w:t xml:space="preserve"> rzeczywiście</w:t>
      </w:r>
      <w:r w:rsidR="0012381F">
        <w:rPr>
          <w:rFonts w:ascii="Times New Roman" w:hAnsi="Times New Roman"/>
          <w:sz w:val="24"/>
          <w:szCs w:val="24"/>
        </w:rPr>
        <w:t xml:space="preserve"> </w:t>
      </w:r>
      <w:r w:rsidR="0040198D">
        <w:rPr>
          <w:rFonts w:ascii="Times New Roman" w:hAnsi="Times New Roman"/>
          <w:sz w:val="24"/>
          <w:szCs w:val="24"/>
        </w:rPr>
        <w:t>miało miejsce</w:t>
      </w:r>
      <w:r w:rsidR="0012381F">
        <w:rPr>
          <w:rFonts w:ascii="Times New Roman" w:hAnsi="Times New Roman"/>
          <w:sz w:val="24"/>
          <w:szCs w:val="24"/>
        </w:rPr>
        <w:t xml:space="preserve">. </w:t>
      </w:r>
    </w:p>
    <w:p w:rsidR="001F3C5B" w:rsidRPr="00297FF8" w:rsidRDefault="009536CD" w:rsidP="005767E1">
      <w:pPr>
        <w:spacing w:before="80" w:after="0" w:line="264" w:lineRule="auto"/>
        <w:ind w:firstLine="425"/>
        <w:jc w:val="both"/>
        <w:rPr>
          <w:rFonts w:ascii="Times New Roman" w:hAnsi="Times New Roman"/>
          <w:sz w:val="24"/>
          <w:szCs w:val="24"/>
        </w:rPr>
      </w:pPr>
      <w:r>
        <w:rPr>
          <w:rFonts w:ascii="Times New Roman" w:hAnsi="Times New Roman"/>
          <w:sz w:val="24"/>
          <w:szCs w:val="24"/>
        </w:rPr>
        <w:t>Krytyczn</w:t>
      </w:r>
      <w:r w:rsidR="00AD6734">
        <w:rPr>
          <w:rFonts w:ascii="Times New Roman" w:hAnsi="Times New Roman"/>
          <w:sz w:val="24"/>
          <w:szCs w:val="24"/>
        </w:rPr>
        <w:t>y poziom</w:t>
      </w:r>
      <w:r w:rsidR="00C43E9E">
        <w:rPr>
          <w:rFonts w:ascii="Times New Roman" w:hAnsi="Times New Roman"/>
          <w:sz w:val="24"/>
          <w:szCs w:val="24"/>
        </w:rPr>
        <w:t xml:space="preserve"> w 2015 r.</w:t>
      </w:r>
      <w:r>
        <w:rPr>
          <w:rFonts w:ascii="Times New Roman" w:hAnsi="Times New Roman"/>
          <w:sz w:val="24"/>
          <w:szCs w:val="24"/>
        </w:rPr>
        <w:t xml:space="preserve"> przyjął indeks tworzenia wartoś</w:t>
      </w:r>
      <w:r w:rsidR="009E1F23">
        <w:rPr>
          <w:rFonts w:ascii="Times New Roman" w:hAnsi="Times New Roman"/>
          <w:sz w:val="24"/>
          <w:szCs w:val="24"/>
        </w:rPr>
        <w:t>ci</w:t>
      </w:r>
      <w:r>
        <w:rPr>
          <w:rFonts w:ascii="Times New Roman" w:hAnsi="Times New Roman"/>
          <w:sz w:val="24"/>
          <w:szCs w:val="24"/>
        </w:rPr>
        <w:t xml:space="preserve">, jego ujemna wartość świadczy o </w:t>
      </w:r>
      <w:r w:rsidR="005A4CD9">
        <w:rPr>
          <w:rFonts w:ascii="Times New Roman" w:hAnsi="Times New Roman"/>
          <w:sz w:val="24"/>
          <w:szCs w:val="24"/>
        </w:rPr>
        <w:t>ujemnym</w:t>
      </w:r>
      <w:r w:rsidR="00B74BEE">
        <w:rPr>
          <w:rFonts w:ascii="Times New Roman" w:hAnsi="Times New Roman"/>
          <w:sz w:val="24"/>
          <w:szCs w:val="24"/>
        </w:rPr>
        <w:t xml:space="preserve"> wyniku finansowym</w:t>
      </w:r>
      <w:r>
        <w:rPr>
          <w:rFonts w:ascii="Times New Roman" w:hAnsi="Times New Roman"/>
          <w:sz w:val="24"/>
          <w:szCs w:val="24"/>
        </w:rPr>
        <w:t xml:space="preserve"> w </w:t>
      </w:r>
      <w:r w:rsidR="005A4CD9">
        <w:rPr>
          <w:rFonts w:ascii="Times New Roman" w:hAnsi="Times New Roman"/>
          <w:sz w:val="24"/>
          <w:szCs w:val="24"/>
        </w:rPr>
        <w:t>dużej części</w:t>
      </w:r>
      <w:r>
        <w:rPr>
          <w:rFonts w:ascii="Times New Roman" w:hAnsi="Times New Roman"/>
          <w:sz w:val="24"/>
          <w:szCs w:val="24"/>
        </w:rPr>
        <w:t xml:space="preserve"> spółdzielni. </w:t>
      </w:r>
      <w:r w:rsidR="001F3C5B">
        <w:rPr>
          <w:rFonts w:ascii="Times New Roman" w:hAnsi="Times New Roman"/>
          <w:sz w:val="24"/>
          <w:szCs w:val="24"/>
        </w:rPr>
        <w:t xml:space="preserve">Wszystkie </w:t>
      </w:r>
      <w:r w:rsidR="00E4334E">
        <w:rPr>
          <w:rFonts w:ascii="Times New Roman" w:hAnsi="Times New Roman"/>
          <w:sz w:val="24"/>
          <w:szCs w:val="24"/>
        </w:rPr>
        <w:t xml:space="preserve">przedstawione </w:t>
      </w:r>
      <w:r w:rsidR="00A54D45">
        <w:rPr>
          <w:rFonts w:ascii="Times New Roman" w:hAnsi="Times New Roman"/>
          <w:sz w:val="24"/>
          <w:szCs w:val="24"/>
        </w:rPr>
        <w:t>rezultaty</w:t>
      </w:r>
      <w:r w:rsidR="001F3C5B">
        <w:rPr>
          <w:rFonts w:ascii="Times New Roman" w:hAnsi="Times New Roman"/>
          <w:sz w:val="24"/>
          <w:szCs w:val="24"/>
        </w:rPr>
        <w:t xml:space="preserve"> </w:t>
      </w:r>
      <w:r w:rsidR="00974169">
        <w:rPr>
          <w:rFonts w:ascii="Times New Roman" w:hAnsi="Times New Roman"/>
          <w:sz w:val="24"/>
          <w:szCs w:val="24"/>
        </w:rPr>
        <w:t xml:space="preserve">uprawniają </w:t>
      </w:r>
      <w:r w:rsidR="00E749FF">
        <w:rPr>
          <w:rFonts w:ascii="Times New Roman" w:hAnsi="Times New Roman"/>
          <w:sz w:val="24"/>
          <w:szCs w:val="24"/>
        </w:rPr>
        <w:t>zatem do</w:t>
      </w:r>
      <w:r w:rsidR="0000484E">
        <w:rPr>
          <w:rFonts w:ascii="Times New Roman" w:hAnsi="Times New Roman"/>
          <w:sz w:val="24"/>
          <w:szCs w:val="24"/>
        </w:rPr>
        <w:t xml:space="preserve"> </w:t>
      </w:r>
      <w:r w:rsidR="00974169">
        <w:rPr>
          <w:rFonts w:ascii="Times New Roman" w:hAnsi="Times New Roman"/>
          <w:sz w:val="24"/>
          <w:szCs w:val="24"/>
        </w:rPr>
        <w:t>stwierdzenia, ż</w:t>
      </w:r>
      <w:r w:rsidR="001F3C5B">
        <w:rPr>
          <w:rFonts w:ascii="Times New Roman" w:hAnsi="Times New Roman"/>
          <w:sz w:val="24"/>
          <w:szCs w:val="24"/>
        </w:rPr>
        <w:t>e</w:t>
      </w:r>
      <w:r w:rsidR="00E4334E">
        <w:rPr>
          <w:rFonts w:ascii="Times New Roman" w:hAnsi="Times New Roman"/>
          <w:sz w:val="24"/>
          <w:szCs w:val="24"/>
        </w:rPr>
        <w:t xml:space="preserve"> rok 2015</w:t>
      </w:r>
      <w:r w:rsidR="001F3C5B">
        <w:rPr>
          <w:rFonts w:ascii="Times New Roman" w:hAnsi="Times New Roman"/>
          <w:sz w:val="24"/>
          <w:szCs w:val="24"/>
        </w:rPr>
        <w:t xml:space="preserve"> </w:t>
      </w:r>
      <w:r w:rsidR="00E4334E">
        <w:rPr>
          <w:rFonts w:ascii="Times New Roman" w:hAnsi="Times New Roman"/>
          <w:sz w:val="24"/>
          <w:szCs w:val="24"/>
        </w:rPr>
        <w:t xml:space="preserve">dla </w:t>
      </w:r>
      <w:r w:rsidR="001F3C5B">
        <w:rPr>
          <w:rFonts w:ascii="Times New Roman" w:hAnsi="Times New Roman"/>
          <w:sz w:val="24"/>
          <w:szCs w:val="24"/>
        </w:rPr>
        <w:t>s</w:t>
      </w:r>
      <w:r w:rsidR="00E4334E">
        <w:rPr>
          <w:rFonts w:ascii="Times New Roman" w:hAnsi="Times New Roman"/>
          <w:sz w:val="24"/>
          <w:szCs w:val="24"/>
        </w:rPr>
        <w:t>półdzielni był bardzo trudny</w:t>
      </w:r>
      <w:r w:rsidR="00297FF8">
        <w:rPr>
          <w:rFonts w:ascii="Times New Roman" w:hAnsi="Times New Roman"/>
          <w:sz w:val="24"/>
          <w:szCs w:val="24"/>
        </w:rPr>
        <w:t>.</w:t>
      </w:r>
    </w:p>
    <w:p w:rsidR="001303E1" w:rsidRDefault="00AD6734" w:rsidP="005767E1">
      <w:pPr>
        <w:spacing w:before="80" w:after="0" w:line="264" w:lineRule="auto"/>
        <w:ind w:firstLine="425"/>
        <w:jc w:val="both"/>
        <w:rPr>
          <w:rFonts w:ascii="Times New Roman" w:eastAsia="Times New Roman" w:hAnsi="Times New Roman" w:cs="Times New Roman"/>
          <w:sz w:val="24"/>
        </w:rPr>
      </w:pPr>
      <w:r>
        <w:rPr>
          <w:rFonts w:ascii="Times New Roman" w:eastAsia="Times New Roman" w:hAnsi="Times New Roman" w:cs="Times New Roman"/>
          <w:sz w:val="24"/>
        </w:rPr>
        <w:t>Zawsze przy okazji analiz rankingu</w:t>
      </w:r>
      <w:r w:rsidR="00DF272A">
        <w:rPr>
          <w:rFonts w:ascii="Times New Roman" w:eastAsia="Times New Roman" w:hAnsi="Times New Roman" w:cs="Times New Roman"/>
          <w:sz w:val="24"/>
        </w:rPr>
        <w:t xml:space="preserve"> ze szczególn</w:t>
      </w:r>
      <w:r w:rsidR="001A635C">
        <w:rPr>
          <w:rFonts w:ascii="Times New Roman" w:eastAsia="Times New Roman" w:hAnsi="Times New Roman" w:cs="Times New Roman"/>
          <w:sz w:val="24"/>
        </w:rPr>
        <w:t>ą uwagą</w:t>
      </w:r>
      <w:r w:rsidR="00DF272A">
        <w:rPr>
          <w:rFonts w:ascii="Times New Roman" w:eastAsia="Times New Roman" w:hAnsi="Times New Roman" w:cs="Times New Roman"/>
          <w:sz w:val="24"/>
        </w:rPr>
        <w:t xml:space="preserve"> przyglądamy się zasobom </w:t>
      </w:r>
      <w:r w:rsidR="00C819CF">
        <w:rPr>
          <w:rFonts w:ascii="Times New Roman" w:eastAsia="Times New Roman" w:hAnsi="Times New Roman" w:cs="Times New Roman"/>
          <w:sz w:val="24"/>
        </w:rPr>
        <w:t>posiada</w:t>
      </w:r>
      <w:r>
        <w:rPr>
          <w:rFonts w:ascii="Times New Roman" w:eastAsia="Times New Roman" w:hAnsi="Times New Roman" w:cs="Times New Roman"/>
          <w:sz w:val="24"/>
        </w:rPr>
        <w:t>nej ziemi w spółdzielniach.</w:t>
      </w:r>
      <w:r w:rsidR="00C819CF">
        <w:rPr>
          <w:rFonts w:ascii="Times New Roman" w:eastAsia="Times New Roman" w:hAnsi="Times New Roman" w:cs="Times New Roman"/>
          <w:sz w:val="24"/>
        </w:rPr>
        <w:t xml:space="preserve"> </w:t>
      </w:r>
      <w:r w:rsidR="00B74BEE">
        <w:rPr>
          <w:rFonts w:ascii="Times New Roman" w:eastAsia="Times New Roman" w:hAnsi="Times New Roman" w:cs="Times New Roman"/>
          <w:sz w:val="24"/>
        </w:rPr>
        <w:t>Dotychczasowe a</w:t>
      </w:r>
      <w:r w:rsidR="00DF272A">
        <w:rPr>
          <w:rFonts w:ascii="Times New Roman" w:eastAsia="Times New Roman" w:hAnsi="Times New Roman" w:cs="Times New Roman"/>
          <w:sz w:val="24"/>
        </w:rPr>
        <w:t>nalizy</w:t>
      </w:r>
      <w:r w:rsidR="00C819CF">
        <w:rPr>
          <w:rFonts w:ascii="Times New Roman" w:eastAsia="Times New Roman" w:hAnsi="Times New Roman" w:cs="Times New Roman"/>
          <w:sz w:val="24"/>
        </w:rPr>
        <w:t xml:space="preserve"> wykaz</w:t>
      </w:r>
      <w:r>
        <w:rPr>
          <w:rFonts w:ascii="Times New Roman" w:eastAsia="Times New Roman" w:hAnsi="Times New Roman" w:cs="Times New Roman"/>
          <w:sz w:val="24"/>
        </w:rPr>
        <w:t>ywały</w:t>
      </w:r>
      <w:r w:rsidR="00C819CF">
        <w:rPr>
          <w:rFonts w:ascii="Times New Roman" w:eastAsia="Times New Roman" w:hAnsi="Times New Roman" w:cs="Times New Roman"/>
          <w:sz w:val="24"/>
        </w:rPr>
        <w:t xml:space="preserve"> ubytek tego po</w:t>
      </w:r>
      <w:r w:rsidR="00B74BEE">
        <w:rPr>
          <w:rFonts w:ascii="Times New Roman" w:eastAsia="Times New Roman" w:hAnsi="Times New Roman" w:cs="Times New Roman"/>
          <w:sz w:val="24"/>
        </w:rPr>
        <w:t>dstawowego czynnika produkcji rolniczej w RSP.</w:t>
      </w:r>
      <w:r w:rsidR="00C819CF">
        <w:rPr>
          <w:rFonts w:ascii="Times New Roman" w:eastAsia="Times New Roman" w:hAnsi="Times New Roman" w:cs="Times New Roman"/>
          <w:sz w:val="24"/>
        </w:rPr>
        <w:t xml:space="preserve"> </w:t>
      </w:r>
      <w:r w:rsidR="00B74BEE">
        <w:rPr>
          <w:rFonts w:ascii="Times New Roman" w:eastAsia="Times New Roman" w:hAnsi="Times New Roman" w:cs="Times New Roman"/>
          <w:sz w:val="24"/>
        </w:rPr>
        <w:t>Ponieważ</w:t>
      </w:r>
      <w:r>
        <w:rPr>
          <w:rFonts w:ascii="Times New Roman" w:eastAsia="Times New Roman" w:hAnsi="Times New Roman" w:cs="Times New Roman"/>
          <w:sz w:val="24"/>
        </w:rPr>
        <w:t xml:space="preserve"> t</w:t>
      </w:r>
      <w:r w:rsidR="00C819CF">
        <w:rPr>
          <w:rFonts w:ascii="Times New Roman" w:eastAsia="Times New Roman" w:hAnsi="Times New Roman" w:cs="Times New Roman"/>
          <w:sz w:val="24"/>
        </w:rPr>
        <w:t>rendu tego nie zatrzyma</w:t>
      </w:r>
      <w:r>
        <w:rPr>
          <w:rFonts w:ascii="Times New Roman" w:eastAsia="Times New Roman" w:hAnsi="Times New Roman" w:cs="Times New Roman"/>
          <w:sz w:val="24"/>
        </w:rPr>
        <w:t>ły</w:t>
      </w:r>
      <w:r w:rsidR="00C819CF">
        <w:rPr>
          <w:rFonts w:ascii="Times New Roman" w:eastAsia="Times New Roman" w:hAnsi="Times New Roman" w:cs="Times New Roman"/>
          <w:sz w:val="24"/>
        </w:rPr>
        <w:t xml:space="preserve"> nawet lata </w:t>
      </w:r>
      <w:r w:rsidR="00297FF8">
        <w:rPr>
          <w:rFonts w:ascii="Times New Roman" w:eastAsia="Times New Roman" w:hAnsi="Times New Roman" w:cs="Times New Roman"/>
          <w:sz w:val="24"/>
        </w:rPr>
        <w:t>dobrej</w:t>
      </w:r>
      <w:r w:rsidR="00B74BEE">
        <w:rPr>
          <w:rFonts w:ascii="Times New Roman" w:eastAsia="Times New Roman" w:hAnsi="Times New Roman" w:cs="Times New Roman"/>
          <w:sz w:val="24"/>
        </w:rPr>
        <w:t xml:space="preserve"> koniunktury,</w:t>
      </w:r>
      <w:r w:rsidR="001E1FDE">
        <w:rPr>
          <w:rFonts w:ascii="Times New Roman" w:eastAsia="Times New Roman" w:hAnsi="Times New Roman" w:cs="Times New Roman"/>
          <w:sz w:val="24"/>
        </w:rPr>
        <w:t xml:space="preserve"> </w:t>
      </w:r>
      <w:r w:rsidR="00B74BEE">
        <w:rPr>
          <w:rFonts w:ascii="Times New Roman" w:eastAsia="Times New Roman" w:hAnsi="Times New Roman" w:cs="Times New Roman"/>
          <w:sz w:val="24"/>
        </w:rPr>
        <w:t>m</w:t>
      </w:r>
      <w:r>
        <w:rPr>
          <w:rFonts w:ascii="Times New Roman" w:eastAsia="Times New Roman" w:hAnsi="Times New Roman" w:cs="Times New Roman"/>
          <w:sz w:val="24"/>
        </w:rPr>
        <w:t>ożna się było spodziewać, że takie uwarunkowania</w:t>
      </w:r>
      <w:r w:rsidR="009E1F23">
        <w:rPr>
          <w:rFonts w:ascii="Times New Roman" w:eastAsia="Times New Roman" w:hAnsi="Times New Roman" w:cs="Times New Roman"/>
          <w:sz w:val="24"/>
        </w:rPr>
        <w:t>,</w:t>
      </w:r>
      <w:r>
        <w:rPr>
          <w:rFonts w:ascii="Times New Roman" w:eastAsia="Times New Roman" w:hAnsi="Times New Roman" w:cs="Times New Roman"/>
          <w:sz w:val="24"/>
        </w:rPr>
        <w:t xml:space="preserve"> jakie przyniósł 2015</w:t>
      </w:r>
      <w:r w:rsidR="00DF72D4">
        <w:rPr>
          <w:rFonts w:ascii="Times New Roman" w:eastAsia="Times New Roman" w:hAnsi="Times New Roman" w:cs="Times New Roman"/>
          <w:sz w:val="24"/>
        </w:rPr>
        <w:t xml:space="preserve"> </w:t>
      </w:r>
      <w:r>
        <w:rPr>
          <w:rFonts w:ascii="Times New Roman" w:eastAsia="Times New Roman" w:hAnsi="Times New Roman" w:cs="Times New Roman"/>
          <w:sz w:val="24"/>
        </w:rPr>
        <w:t>r</w:t>
      </w:r>
      <w:r w:rsidR="00DF72D4">
        <w:rPr>
          <w:rFonts w:ascii="Times New Roman" w:eastAsia="Times New Roman" w:hAnsi="Times New Roman" w:cs="Times New Roman"/>
          <w:sz w:val="24"/>
        </w:rPr>
        <w:t>.</w:t>
      </w:r>
      <w:r>
        <w:rPr>
          <w:rFonts w:ascii="Times New Roman" w:eastAsia="Times New Roman" w:hAnsi="Times New Roman" w:cs="Times New Roman"/>
          <w:sz w:val="24"/>
        </w:rPr>
        <w:t xml:space="preserve"> będą potęgować to zjawisko.</w:t>
      </w:r>
      <w:r w:rsidR="0074428E">
        <w:rPr>
          <w:rFonts w:ascii="Times New Roman" w:eastAsia="Times New Roman" w:hAnsi="Times New Roman" w:cs="Times New Roman"/>
          <w:sz w:val="24"/>
        </w:rPr>
        <w:t xml:space="preserve"> Dodatkowym bodźcem </w:t>
      </w:r>
      <w:r w:rsidR="009E1F23">
        <w:rPr>
          <w:rFonts w:ascii="Times New Roman" w:eastAsia="Times New Roman" w:hAnsi="Times New Roman" w:cs="Times New Roman"/>
          <w:sz w:val="24"/>
        </w:rPr>
        <w:t xml:space="preserve">sprzyjającym takim działaniom </w:t>
      </w:r>
      <w:r w:rsidR="0074428E">
        <w:rPr>
          <w:rFonts w:ascii="Times New Roman" w:eastAsia="Times New Roman" w:hAnsi="Times New Roman" w:cs="Times New Roman"/>
          <w:sz w:val="24"/>
        </w:rPr>
        <w:t xml:space="preserve">mogła się okazać przygotowywana ustawa o </w:t>
      </w:r>
      <w:r w:rsidR="00DF72D4">
        <w:rPr>
          <w:rFonts w:ascii="Times New Roman" w:eastAsia="Times New Roman" w:hAnsi="Times New Roman" w:cs="Times New Roman"/>
          <w:sz w:val="24"/>
        </w:rPr>
        <w:t xml:space="preserve">kształtowaniu </w:t>
      </w:r>
      <w:r w:rsidR="0074428E">
        <w:rPr>
          <w:rFonts w:ascii="Times New Roman" w:eastAsia="Times New Roman" w:hAnsi="Times New Roman" w:cs="Times New Roman"/>
          <w:sz w:val="24"/>
        </w:rPr>
        <w:t>ustroju roln</w:t>
      </w:r>
      <w:r w:rsidR="00DF72D4">
        <w:rPr>
          <w:rFonts w:ascii="Times New Roman" w:eastAsia="Times New Roman" w:hAnsi="Times New Roman" w:cs="Times New Roman"/>
          <w:sz w:val="24"/>
        </w:rPr>
        <w:t>ego</w:t>
      </w:r>
      <w:r w:rsidR="0074428E">
        <w:rPr>
          <w:rFonts w:ascii="Times New Roman" w:eastAsia="Times New Roman" w:hAnsi="Times New Roman" w:cs="Times New Roman"/>
          <w:sz w:val="24"/>
        </w:rPr>
        <w:t>, która ostate</w:t>
      </w:r>
      <w:r w:rsidR="00DF72D4">
        <w:rPr>
          <w:rFonts w:ascii="Times New Roman" w:eastAsia="Times New Roman" w:hAnsi="Times New Roman" w:cs="Times New Roman"/>
          <w:sz w:val="24"/>
        </w:rPr>
        <w:t>cznie weszła w życie w 2016 r</w:t>
      </w:r>
      <w:r w:rsidR="0074428E">
        <w:rPr>
          <w:rFonts w:ascii="Times New Roman" w:eastAsia="Times New Roman" w:hAnsi="Times New Roman" w:cs="Times New Roman"/>
          <w:sz w:val="24"/>
        </w:rPr>
        <w:t xml:space="preserve">. </w:t>
      </w:r>
      <w:r w:rsidR="009E1F23">
        <w:rPr>
          <w:rFonts w:ascii="Times New Roman" w:eastAsia="Times New Roman" w:hAnsi="Times New Roman" w:cs="Times New Roman"/>
          <w:sz w:val="24"/>
        </w:rPr>
        <w:t>Podsumowując</w:t>
      </w:r>
      <w:r w:rsidR="0074428E">
        <w:rPr>
          <w:rFonts w:ascii="Times New Roman" w:eastAsia="Times New Roman" w:hAnsi="Times New Roman" w:cs="Times New Roman"/>
          <w:sz w:val="24"/>
        </w:rPr>
        <w:t>, trzeba jednak stwierdzić, że dan</w:t>
      </w:r>
      <w:r w:rsidR="009E1F23">
        <w:rPr>
          <w:rFonts w:ascii="Times New Roman" w:eastAsia="Times New Roman" w:hAnsi="Times New Roman" w:cs="Times New Roman"/>
          <w:sz w:val="24"/>
        </w:rPr>
        <w:t xml:space="preserve">e </w:t>
      </w:r>
      <w:r w:rsidR="00DF72D4">
        <w:rPr>
          <w:rFonts w:ascii="Times New Roman" w:eastAsia="Times New Roman" w:hAnsi="Times New Roman" w:cs="Times New Roman"/>
          <w:sz w:val="24"/>
        </w:rPr>
        <w:t>z 2015 r.</w:t>
      </w:r>
      <w:r w:rsidR="0074428E">
        <w:rPr>
          <w:rFonts w:ascii="Times New Roman" w:eastAsia="Times New Roman" w:hAnsi="Times New Roman" w:cs="Times New Roman"/>
          <w:sz w:val="24"/>
        </w:rPr>
        <w:t xml:space="preserve"> takiego gwałtownego zjawiska nie </w:t>
      </w:r>
      <w:r w:rsidR="003669AF">
        <w:rPr>
          <w:rFonts w:ascii="Times New Roman" w:eastAsia="Times New Roman" w:hAnsi="Times New Roman" w:cs="Times New Roman"/>
          <w:sz w:val="24"/>
        </w:rPr>
        <w:t>potwierdzają. U</w:t>
      </w:r>
      <w:r w:rsidR="0074428E">
        <w:rPr>
          <w:rFonts w:ascii="Times New Roman" w:eastAsia="Times New Roman" w:hAnsi="Times New Roman" w:cs="Times New Roman"/>
          <w:sz w:val="24"/>
        </w:rPr>
        <w:t>trzymywał się jednak dość silny trend z lat 2013/2014 i 2012/2013.</w:t>
      </w:r>
      <w:r>
        <w:rPr>
          <w:rFonts w:ascii="Times New Roman" w:eastAsia="Times New Roman" w:hAnsi="Times New Roman" w:cs="Times New Roman"/>
          <w:sz w:val="24"/>
        </w:rPr>
        <w:t xml:space="preserve"> </w:t>
      </w:r>
      <w:r w:rsidR="0074428E">
        <w:rPr>
          <w:rFonts w:ascii="Times New Roman" w:eastAsia="Times New Roman" w:hAnsi="Times New Roman" w:cs="Times New Roman"/>
          <w:sz w:val="24"/>
        </w:rPr>
        <w:t>Na przestrzeni 2014</w:t>
      </w:r>
      <w:r w:rsidR="00DF72D4">
        <w:rPr>
          <w:rFonts w:ascii="Times New Roman" w:eastAsia="Times New Roman" w:hAnsi="Times New Roman" w:cs="Times New Roman"/>
          <w:sz w:val="24"/>
        </w:rPr>
        <w:t xml:space="preserve"> r.</w:t>
      </w:r>
      <w:r w:rsidR="0074428E">
        <w:rPr>
          <w:rFonts w:ascii="Times New Roman" w:eastAsia="Times New Roman" w:hAnsi="Times New Roman" w:cs="Times New Roman"/>
          <w:sz w:val="24"/>
        </w:rPr>
        <w:t xml:space="preserve"> i 2015 r</w:t>
      </w:r>
      <w:r w:rsidR="00DF72D4">
        <w:rPr>
          <w:rFonts w:ascii="Times New Roman" w:eastAsia="Times New Roman" w:hAnsi="Times New Roman" w:cs="Times New Roman"/>
          <w:sz w:val="24"/>
        </w:rPr>
        <w:t>.</w:t>
      </w:r>
      <w:r w:rsidR="0008322A">
        <w:rPr>
          <w:rFonts w:ascii="Times New Roman" w:eastAsia="Times New Roman" w:hAnsi="Times New Roman" w:cs="Times New Roman"/>
          <w:sz w:val="24"/>
        </w:rPr>
        <w:t xml:space="preserve"> przec</w:t>
      </w:r>
      <w:r w:rsidR="00C07DE9">
        <w:rPr>
          <w:rFonts w:ascii="Times New Roman" w:eastAsia="Times New Roman" w:hAnsi="Times New Roman" w:cs="Times New Roman"/>
          <w:sz w:val="24"/>
        </w:rPr>
        <w:t>iętna spółdzielnia zadeklarowała pomniejszenie powierzchni o 9</w:t>
      </w:r>
      <w:r w:rsidR="0008322A">
        <w:rPr>
          <w:rFonts w:ascii="Times New Roman" w:eastAsia="Times New Roman" w:hAnsi="Times New Roman" w:cs="Times New Roman"/>
          <w:sz w:val="24"/>
        </w:rPr>
        <w:t xml:space="preserve"> ha</w:t>
      </w:r>
      <w:r w:rsidR="00C07DE9">
        <w:rPr>
          <w:rFonts w:ascii="Times New Roman" w:eastAsia="Times New Roman" w:hAnsi="Times New Roman" w:cs="Times New Roman"/>
          <w:sz w:val="24"/>
        </w:rPr>
        <w:t>,</w:t>
      </w:r>
      <w:r w:rsidR="0008322A">
        <w:rPr>
          <w:rFonts w:ascii="Times New Roman" w:eastAsia="Times New Roman" w:hAnsi="Times New Roman" w:cs="Times New Roman"/>
          <w:sz w:val="24"/>
        </w:rPr>
        <w:t xml:space="preserve"> </w:t>
      </w:r>
      <w:r w:rsidR="00DF272A">
        <w:rPr>
          <w:rFonts w:ascii="Times New Roman" w:eastAsia="Times New Roman" w:hAnsi="Times New Roman" w:cs="Times New Roman"/>
          <w:sz w:val="24"/>
        </w:rPr>
        <w:t>a w</w:t>
      </w:r>
      <w:r w:rsidR="0000484E">
        <w:rPr>
          <w:rFonts w:ascii="Times New Roman" w:eastAsia="Times New Roman" w:hAnsi="Times New Roman" w:cs="Times New Roman"/>
          <w:sz w:val="24"/>
        </w:rPr>
        <w:t xml:space="preserve"> </w:t>
      </w:r>
      <w:r w:rsidR="00DF272A">
        <w:rPr>
          <w:rFonts w:ascii="Times New Roman" w:eastAsia="Times New Roman" w:hAnsi="Times New Roman" w:cs="Times New Roman"/>
          <w:sz w:val="24"/>
        </w:rPr>
        <w:t xml:space="preserve">ciągu ostatnich </w:t>
      </w:r>
      <w:r>
        <w:rPr>
          <w:rFonts w:ascii="Times New Roman" w:eastAsia="Times New Roman" w:hAnsi="Times New Roman" w:cs="Times New Roman"/>
          <w:sz w:val="24"/>
        </w:rPr>
        <w:t>d</w:t>
      </w:r>
      <w:r w:rsidR="0074428E">
        <w:rPr>
          <w:rFonts w:ascii="Times New Roman" w:eastAsia="Times New Roman" w:hAnsi="Times New Roman" w:cs="Times New Roman"/>
          <w:sz w:val="24"/>
        </w:rPr>
        <w:t>wó</w:t>
      </w:r>
      <w:r>
        <w:rPr>
          <w:rFonts w:ascii="Times New Roman" w:eastAsia="Times New Roman" w:hAnsi="Times New Roman" w:cs="Times New Roman"/>
          <w:sz w:val="24"/>
        </w:rPr>
        <w:t>ch lat</w:t>
      </w:r>
      <w:r w:rsidR="004B0C6C">
        <w:rPr>
          <w:rFonts w:ascii="Times New Roman" w:eastAsia="Times New Roman" w:hAnsi="Times New Roman" w:cs="Times New Roman"/>
          <w:sz w:val="24"/>
        </w:rPr>
        <w:t xml:space="preserve"> ubytek ten wyniósł</w:t>
      </w:r>
      <w:r w:rsidR="00974169">
        <w:rPr>
          <w:rFonts w:ascii="Times New Roman" w:eastAsia="Times New Roman" w:hAnsi="Times New Roman" w:cs="Times New Roman"/>
          <w:sz w:val="24"/>
        </w:rPr>
        <w:t xml:space="preserve"> już</w:t>
      </w:r>
      <w:r w:rsidR="00C07DE9">
        <w:rPr>
          <w:rFonts w:ascii="Times New Roman" w:eastAsia="Times New Roman" w:hAnsi="Times New Roman" w:cs="Times New Roman"/>
          <w:sz w:val="24"/>
        </w:rPr>
        <w:t xml:space="preserve"> 16</w:t>
      </w:r>
      <w:r w:rsidR="00DF272A">
        <w:rPr>
          <w:rFonts w:ascii="Times New Roman" w:eastAsia="Times New Roman" w:hAnsi="Times New Roman" w:cs="Times New Roman"/>
          <w:sz w:val="24"/>
        </w:rPr>
        <w:t xml:space="preserve"> ha</w:t>
      </w:r>
      <w:r w:rsidR="0008322A">
        <w:rPr>
          <w:rFonts w:ascii="Times New Roman" w:eastAsia="Times New Roman" w:hAnsi="Times New Roman" w:cs="Times New Roman"/>
          <w:sz w:val="24"/>
        </w:rPr>
        <w:t>.</w:t>
      </w:r>
      <w:r w:rsidR="00DF272A">
        <w:rPr>
          <w:rFonts w:ascii="Times New Roman" w:eastAsia="Times New Roman" w:hAnsi="Times New Roman" w:cs="Times New Roman"/>
          <w:sz w:val="24"/>
        </w:rPr>
        <w:t xml:space="preserve"> </w:t>
      </w:r>
      <w:r w:rsidR="001303E1">
        <w:rPr>
          <w:rFonts w:ascii="Times New Roman" w:eastAsia="Times New Roman" w:hAnsi="Times New Roman" w:cs="Times New Roman"/>
          <w:sz w:val="24"/>
        </w:rPr>
        <w:t>Spółdzielnie</w:t>
      </w:r>
      <w:r w:rsidR="00C07DE9">
        <w:rPr>
          <w:rFonts w:ascii="Times New Roman" w:eastAsia="Times New Roman" w:hAnsi="Times New Roman" w:cs="Times New Roman"/>
          <w:sz w:val="24"/>
        </w:rPr>
        <w:t xml:space="preserve"> nie były jednorodną zbiorowością pod względem </w:t>
      </w:r>
      <w:r w:rsidR="0074428E">
        <w:rPr>
          <w:rFonts w:ascii="Times New Roman" w:eastAsia="Times New Roman" w:hAnsi="Times New Roman" w:cs="Times New Roman"/>
          <w:sz w:val="24"/>
        </w:rPr>
        <w:t>skali</w:t>
      </w:r>
      <w:r w:rsidR="00C07DE9">
        <w:rPr>
          <w:rFonts w:ascii="Times New Roman" w:eastAsia="Times New Roman" w:hAnsi="Times New Roman" w:cs="Times New Roman"/>
          <w:sz w:val="24"/>
        </w:rPr>
        <w:t xml:space="preserve"> ubytku posiadanej ziemi</w:t>
      </w:r>
      <w:r w:rsidR="00A54D45">
        <w:rPr>
          <w:rFonts w:ascii="Times New Roman" w:eastAsia="Times New Roman" w:hAnsi="Times New Roman" w:cs="Times New Roman"/>
          <w:sz w:val="24"/>
        </w:rPr>
        <w:t>;</w:t>
      </w:r>
      <w:r w:rsidR="00C07DE9">
        <w:rPr>
          <w:rFonts w:ascii="Times New Roman" w:eastAsia="Times New Roman" w:hAnsi="Times New Roman" w:cs="Times New Roman"/>
          <w:sz w:val="24"/>
        </w:rPr>
        <w:t xml:space="preserve"> najliczniejszą</w:t>
      </w:r>
      <w:r w:rsidR="001303E1">
        <w:rPr>
          <w:rFonts w:ascii="Times New Roman" w:eastAsia="Times New Roman" w:hAnsi="Times New Roman" w:cs="Times New Roman"/>
          <w:sz w:val="24"/>
        </w:rPr>
        <w:t xml:space="preserve"> grupę stanowi</w:t>
      </w:r>
      <w:r w:rsidR="00017EF5">
        <w:rPr>
          <w:rFonts w:ascii="Times New Roman" w:eastAsia="Times New Roman" w:hAnsi="Times New Roman" w:cs="Times New Roman"/>
          <w:sz w:val="24"/>
        </w:rPr>
        <w:t>ły</w:t>
      </w:r>
      <w:r w:rsidR="001303E1">
        <w:rPr>
          <w:rFonts w:ascii="Times New Roman" w:eastAsia="Times New Roman" w:hAnsi="Times New Roman" w:cs="Times New Roman"/>
          <w:sz w:val="24"/>
        </w:rPr>
        <w:t xml:space="preserve"> jednostki utrzymujące posiadany areał</w:t>
      </w:r>
      <w:r w:rsidR="00C07DE9">
        <w:rPr>
          <w:rFonts w:ascii="Times New Roman" w:eastAsia="Times New Roman" w:hAnsi="Times New Roman" w:cs="Times New Roman"/>
          <w:sz w:val="24"/>
        </w:rPr>
        <w:t xml:space="preserve"> bez zmian</w:t>
      </w:r>
      <w:r w:rsidR="00EB77A9">
        <w:rPr>
          <w:rFonts w:ascii="Times New Roman" w:eastAsia="Times New Roman" w:hAnsi="Times New Roman" w:cs="Times New Roman"/>
          <w:sz w:val="24"/>
        </w:rPr>
        <w:t>;</w:t>
      </w:r>
      <w:r w:rsidR="001303E1">
        <w:rPr>
          <w:rFonts w:ascii="Times New Roman" w:eastAsia="Times New Roman" w:hAnsi="Times New Roman" w:cs="Times New Roman"/>
          <w:sz w:val="24"/>
        </w:rPr>
        <w:t xml:space="preserve"> w ostatnim</w:t>
      </w:r>
      <w:r w:rsidR="00C07DE9">
        <w:rPr>
          <w:rFonts w:ascii="Times New Roman" w:eastAsia="Times New Roman" w:hAnsi="Times New Roman" w:cs="Times New Roman"/>
          <w:sz w:val="24"/>
        </w:rPr>
        <w:t xml:space="preserve"> roku było to 39 RSP (43</w:t>
      </w:r>
      <w:r w:rsidR="00974169">
        <w:rPr>
          <w:rFonts w:ascii="Times New Roman" w:eastAsia="Times New Roman" w:hAnsi="Times New Roman" w:cs="Times New Roman"/>
          <w:sz w:val="24"/>
        </w:rPr>
        <w:t xml:space="preserve"> %</w:t>
      </w:r>
      <w:r w:rsidR="00C07DE9">
        <w:rPr>
          <w:rFonts w:ascii="Times New Roman" w:eastAsia="Times New Roman" w:hAnsi="Times New Roman" w:cs="Times New Roman"/>
          <w:sz w:val="24"/>
        </w:rPr>
        <w:t xml:space="preserve">). </w:t>
      </w:r>
      <w:r w:rsidR="00E749FF">
        <w:rPr>
          <w:rFonts w:ascii="Times New Roman" w:eastAsia="Times New Roman" w:hAnsi="Times New Roman" w:cs="Times New Roman"/>
          <w:sz w:val="24"/>
        </w:rPr>
        <w:t>Drugą, co</w:t>
      </w:r>
      <w:r w:rsidR="00C07DE9">
        <w:rPr>
          <w:rFonts w:ascii="Times New Roman" w:eastAsia="Times New Roman" w:hAnsi="Times New Roman" w:cs="Times New Roman"/>
          <w:sz w:val="24"/>
        </w:rPr>
        <w:t xml:space="preserve"> do wielkości grup</w:t>
      </w:r>
      <w:r w:rsidR="003669AF">
        <w:rPr>
          <w:rFonts w:ascii="Times New Roman" w:eastAsia="Times New Roman" w:hAnsi="Times New Roman" w:cs="Times New Roman"/>
          <w:sz w:val="24"/>
        </w:rPr>
        <w:t>ą</w:t>
      </w:r>
      <w:r w:rsidR="00C07DE9">
        <w:rPr>
          <w:rFonts w:ascii="Times New Roman" w:eastAsia="Times New Roman" w:hAnsi="Times New Roman" w:cs="Times New Roman"/>
          <w:sz w:val="24"/>
        </w:rPr>
        <w:t>, bo liczącą 37 podmiotów</w:t>
      </w:r>
      <w:r w:rsidR="003669AF">
        <w:rPr>
          <w:rFonts w:ascii="Times New Roman" w:eastAsia="Times New Roman" w:hAnsi="Times New Roman" w:cs="Times New Roman"/>
          <w:sz w:val="24"/>
        </w:rPr>
        <w:t>,</w:t>
      </w:r>
      <w:r w:rsidR="00C07DE9">
        <w:rPr>
          <w:rFonts w:ascii="Times New Roman" w:eastAsia="Times New Roman" w:hAnsi="Times New Roman" w:cs="Times New Roman"/>
          <w:sz w:val="24"/>
        </w:rPr>
        <w:t xml:space="preserve"> były </w:t>
      </w:r>
      <w:r w:rsidR="00017EF5">
        <w:rPr>
          <w:rFonts w:ascii="Times New Roman" w:eastAsia="Times New Roman" w:hAnsi="Times New Roman" w:cs="Times New Roman"/>
          <w:sz w:val="24"/>
        </w:rPr>
        <w:t>spółdzielnie</w:t>
      </w:r>
      <w:r w:rsidR="003669AF">
        <w:rPr>
          <w:rFonts w:ascii="Times New Roman" w:eastAsia="Times New Roman" w:hAnsi="Times New Roman" w:cs="Times New Roman"/>
          <w:sz w:val="24"/>
        </w:rPr>
        <w:t>,</w:t>
      </w:r>
      <w:r w:rsidR="00C07DE9">
        <w:rPr>
          <w:rFonts w:ascii="Times New Roman" w:eastAsia="Times New Roman" w:hAnsi="Times New Roman" w:cs="Times New Roman"/>
          <w:sz w:val="24"/>
        </w:rPr>
        <w:t xml:space="preserve"> w których powierzchnia użytków rolnych zmalała. Tradycyjnie najmniejsz</w:t>
      </w:r>
      <w:r w:rsidR="00017EF5">
        <w:rPr>
          <w:rFonts w:ascii="Times New Roman" w:eastAsia="Times New Roman" w:hAnsi="Times New Roman" w:cs="Times New Roman"/>
          <w:sz w:val="24"/>
        </w:rPr>
        <w:t>ą</w:t>
      </w:r>
      <w:r w:rsidR="00C07DE9">
        <w:rPr>
          <w:rFonts w:ascii="Times New Roman" w:eastAsia="Times New Roman" w:hAnsi="Times New Roman" w:cs="Times New Roman"/>
          <w:sz w:val="24"/>
        </w:rPr>
        <w:t xml:space="preserve"> grup</w:t>
      </w:r>
      <w:r w:rsidR="00017EF5">
        <w:rPr>
          <w:rFonts w:ascii="Times New Roman" w:eastAsia="Times New Roman" w:hAnsi="Times New Roman" w:cs="Times New Roman"/>
          <w:sz w:val="24"/>
        </w:rPr>
        <w:t>ą były</w:t>
      </w:r>
      <w:r w:rsidR="00C07DE9">
        <w:rPr>
          <w:rFonts w:ascii="Times New Roman" w:eastAsia="Times New Roman" w:hAnsi="Times New Roman" w:cs="Times New Roman"/>
          <w:sz w:val="24"/>
        </w:rPr>
        <w:t xml:space="preserve"> jednostki r</w:t>
      </w:r>
      <w:r w:rsidR="00A54D45">
        <w:rPr>
          <w:rFonts w:ascii="Times New Roman" w:eastAsia="Times New Roman" w:hAnsi="Times New Roman" w:cs="Times New Roman"/>
          <w:sz w:val="24"/>
        </w:rPr>
        <w:t>ozwojowe, w których powierzchni</w:t>
      </w:r>
      <w:r w:rsidR="00C07DE9">
        <w:rPr>
          <w:rFonts w:ascii="Times New Roman" w:eastAsia="Times New Roman" w:hAnsi="Times New Roman" w:cs="Times New Roman"/>
          <w:sz w:val="24"/>
        </w:rPr>
        <w:t xml:space="preserve"> gruntów przybyło</w:t>
      </w:r>
      <w:r w:rsidR="00A54D45">
        <w:rPr>
          <w:rFonts w:ascii="Times New Roman" w:eastAsia="Times New Roman" w:hAnsi="Times New Roman" w:cs="Times New Roman"/>
          <w:sz w:val="24"/>
        </w:rPr>
        <w:t>;</w:t>
      </w:r>
      <w:r w:rsidR="00C07DE9">
        <w:rPr>
          <w:rFonts w:ascii="Times New Roman" w:eastAsia="Times New Roman" w:hAnsi="Times New Roman" w:cs="Times New Roman"/>
          <w:sz w:val="24"/>
        </w:rPr>
        <w:t xml:space="preserve"> w ostatnim okresie takich spółdzielni było 16. </w:t>
      </w:r>
    </w:p>
    <w:p w:rsidR="0008322A" w:rsidRDefault="00C07DE9" w:rsidP="005767E1">
      <w:pPr>
        <w:spacing w:before="80" w:after="0" w:line="264" w:lineRule="auto"/>
        <w:ind w:firstLine="425"/>
        <w:jc w:val="both"/>
        <w:rPr>
          <w:rFonts w:ascii="Times New Roman" w:eastAsia="Times New Roman" w:hAnsi="Times New Roman" w:cs="Times New Roman"/>
          <w:sz w:val="24"/>
        </w:rPr>
      </w:pPr>
      <w:r>
        <w:rPr>
          <w:rFonts w:ascii="Times New Roman" w:eastAsia="Times New Roman" w:hAnsi="Times New Roman" w:cs="Times New Roman"/>
          <w:sz w:val="24"/>
        </w:rPr>
        <w:t>Średnio</w:t>
      </w:r>
      <w:r w:rsidR="003669AF">
        <w:rPr>
          <w:rFonts w:ascii="Times New Roman" w:eastAsia="Times New Roman" w:hAnsi="Times New Roman" w:cs="Times New Roman"/>
          <w:sz w:val="24"/>
        </w:rPr>
        <w:t>,</w:t>
      </w:r>
      <w:r>
        <w:rPr>
          <w:rFonts w:ascii="Times New Roman" w:eastAsia="Times New Roman" w:hAnsi="Times New Roman" w:cs="Times New Roman"/>
          <w:sz w:val="24"/>
        </w:rPr>
        <w:t xml:space="preserve"> wśród RSP</w:t>
      </w:r>
      <w:r w:rsidR="00260FEF">
        <w:rPr>
          <w:rFonts w:ascii="Times New Roman" w:eastAsia="Times New Roman" w:hAnsi="Times New Roman" w:cs="Times New Roman"/>
          <w:sz w:val="24"/>
        </w:rPr>
        <w:t xml:space="preserve"> pozbywających się gruntó</w:t>
      </w:r>
      <w:r w:rsidR="00312DFD">
        <w:rPr>
          <w:rFonts w:ascii="Times New Roman" w:eastAsia="Times New Roman" w:hAnsi="Times New Roman" w:cs="Times New Roman"/>
          <w:sz w:val="24"/>
        </w:rPr>
        <w:t>w</w:t>
      </w:r>
      <w:r w:rsidR="003669AF">
        <w:rPr>
          <w:rFonts w:ascii="Times New Roman" w:eastAsia="Times New Roman" w:hAnsi="Times New Roman" w:cs="Times New Roman"/>
          <w:sz w:val="24"/>
        </w:rPr>
        <w:t>,</w:t>
      </w:r>
      <w:r w:rsidR="001E1FDE">
        <w:rPr>
          <w:rFonts w:ascii="Times New Roman" w:eastAsia="Times New Roman" w:hAnsi="Times New Roman" w:cs="Times New Roman"/>
          <w:sz w:val="24"/>
        </w:rPr>
        <w:t xml:space="preserve"> </w:t>
      </w:r>
      <w:r>
        <w:rPr>
          <w:rFonts w:ascii="Times New Roman" w:eastAsia="Times New Roman" w:hAnsi="Times New Roman" w:cs="Times New Roman"/>
          <w:sz w:val="24"/>
        </w:rPr>
        <w:t>z</w:t>
      </w:r>
      <w:r w:rsidR="00DF72D4">
        <w:rPr>
          <w:rFonts w:ascii="Times New Roman" w:eastAsia="Times New Roman" w:hAnsi="Times New Roman" w:cs="Times New Roman"/>
          <w:sz w:val="24"/>
        </w:rPr>
        <w:t>mniejszenie wyniosło w 2015 r.</w:t>
      </w:r>
      <w:r>
        <w:rPr>
          <w:rFonts w:ascii="Times New Roman" w:eastAsia="Times New Roman" w:hAnsi="Times New Roman" w:cs="Times New Roman"/>
          <w:sz w:val="24"/>
        </w:rPr>
        <w:t xml:space="preserve"> 21</w:t>
      </w:r>
      <w:r w:rsidR="001E1FDE">
        <w:rPr>
          <w:rFonts w:ascii="Times New Roman" w:eastAsia="Times New Roman" w:hAnsi="Times New Roman" w:cs="Times New Roman"/>
          <w:sz w:val="24"/>
        </w:rPr>
        <w:t xml:space="preserve"> ha,</w:t>
      </w:r>
      <w:r w:rsidR="002F7DBA">
        <w:rPr>
          <w:rFonts w:ascii="Times New Roman" w:eastAsia="Times New Roman" w:hAnsi="Times New Roman" w:cs="Times New Roman"/>
          <w:sz w:val="24"/>
        </w:rPr>
        <w:t xml:space="preserve"> podczas gdy w </w:t>
      </w:r>
      <w:r w:rsidR="00017EF5">
        <w:rPr>
          <w:rFonts w:ascii="Times New Roman" w:eastAsia="Times New Roman" w:hAnsi="Times New Roman" w:cs="Times New Roman"/>
          <w:sz w:val="24"/>
        </w:rPr>
        <w:t>2014</w:t>
      </w:r>
      <w:r w:rsidR="002F7DBA">
        <w:rPr>
          <w:rFonts w:ascii="Times New Roman" w:eastAsia="Times New Roman" w:hAnsi="Times New Roman" w:cs="Times New Roman"/>
          <w:sz w:val="24"/>
        </w:rPr>
        <w:t xml:space="preserve"> </w:t>
      </w:r>
      <w:r w:rsidR="00DF72D4">
        <w:rPr>
          <w:rFonts w:ascii="Times New Roman" w:eastAsia="Times New Roman" w:hAnsi="Times New Roman" w:cs="Times New Roman"/>
          <w:sz w:val="24"/>
        </w:rPr>
        <w:t>r.</w:t>
      </w:r>
      <w:r w:rsidR="002F7DBA">
        <w:rPr>
          <w:rFonts w:ascii="Times New Roman" w:eastAsia="Times New Roman" w:hAnsi="Times New Roman" w:cs="Times New Roman"/>
          <w:sz w:val="24"/>
        </w:rPr>
        <w:t xml:space="preserve"> </w:t>
      </w:r>
      <w:r w:rsidR="00974169">
        <w:rPr>
          <w:rFonts w:ascii="Times New Roman" w:eastAsia="Times New Roman" w:hAnsi="Times New Roman" w:cs="Times New Roman"/>
          <w:sz w:val="24"/>
        </w:rPr>
        <w:t>było to</w:t>
      </w:r>
      <w:r w:rsidR="0074428E">
        <w:rPr>
          <w:rFonts w:ascii="Times New Roman" w:eastAsia="Times New Roman" w:hAnsi="Times New Roman" w:cs="Times New Roman"/>
          <w:sz w:val="24"/>
        </w:rPr>
        <w:t xml:space="preserve"> 22 ha. Zmalała jednak</w:t>
      </w:r>
      <w:r w:rsidR="002F7DBA">
        <w:rPr>
          <w:rFonts w:ascii="Times New Roman" w:eastAsia="Times New Roman" w:hAnsi="Times New Roman" w:cs="Times New Roman"/>
          <w:sz w:val="24"/>
        </w:rPr>
        <w:t xml:space="preserve"> </w:t>
      </w:r>
      <w:r w:rsidR="00974169">
        <w:rPr>
          <w:rFonts w:ascii="Times New Roman" w:eastAsia="Times New Roman" w:hAnsi="Times New Roman" w:cs="Times New Roman"/>
          <w:sz w:val="24"/>
        </w:rPr>
        <w:t>średnia dla spółdzielni powiększających</w:t>
      </w:r>
      <w:r w:rsidR="00260FEF">
        <w:rPr>
          <w:rFonts w:ascii="Times New Roman" w:eastAsia="Times New Roman" w:hAnsi="Times New Roman" w:cs="Times New Roman"/>
          <w:sz w:val="24"/>
        </w:rPr>
        <w:t xml:space="preserve"> </w:t>
      </w:r>
      <w:r w:rsidR="00974169">
        <w:rPr>
          <w:rFonts w:ascii="Times New Roman" w:eastAsia="Times New Roman" w:hAnsi="Times New Roman" w:cs="Times New Roman"/>
          <w:sz w:val="24"/>
        </w:rPr>
        <w:t>areał</w:t>
      </w:r>
      <w:r w:rsidR="00017EF5">
        <w:rPr>
          <w:rFonts w:ascii="Times New Roman" w:eastAsia="Times New Roman" w:hAnsi="Times New Roman" w:cs="Times New Roman"/>
          <w:sz w:val="24"/>
        </w:rPr>
        <w:t xml:space="preserve"> w ostatnim roku</w:t>
      </w:r>
      <w:r w:rsidR="00A54D45">
        <w:rPr>
          <w:rFonts w:ascii="Times New Roman" w:eastAsia="Times New Roman" w:hAnsi="Times New Roman" w:cs="Times New Roman"/>
          <w:sz w:val="24"/>
        </w:rPr>
        <w:t>;</w:t>
      </w:r>
      <w:r w:rsidR="00974169">
        <w:rPr>
          <w:rFonts w:ascii="Times New Roman" w:eastAsia="Times New Roman" w:hAnsi="Times New Roman" w:cs="Times New Roman"/>
          <w:sz w:val="24"/>
        </w:rPr>
        <w:t xml:space="preserve"> </w:t>
      </w:r>
      <w:r w:rsidR="0074428E">
        <w:rPr>
          <w:rFonts w:ascii="Times New Roman" w:eastAsia="Times New Roman" w:hAnsi="Times New Roman" w:cs="Times New Roman"/>
          <w:sz w:val="24"/>
        </w:rPr>
        <w:t xml:space="preserve">przeciętne powiększenie </w:t>
      </w:r>
      <w:r w:rsidR="00A54D45">
        <w:rPr>
          <w:rFonts w:ascii="Times New Roman" w:eastAsia="Times New Roman" w:hAnsi="Times New Roman" w:cs="Times New Roman"/>
          <w:sz w:val="24"/>
        </w:rPr>
        <w:t>wynosiło</w:t>
      </w:r>
      <w:r w:rsidR="0074428E">
        <w:rPr>
          <w:rFonts w:ascii="Times New Roman" w:eastAsia="Times New Roman" w:hAnsi="Times New Roman" w:cs="Times New Roman"/>
          <w:sz w:val="24"/>
        </w:rPr>
        <w:t xml:space="preserve"> 16</w:t>
      </w:r>
      <w:r w:rsidR="002F7DBA">
        <w:rPr>
          <w:rFonts w:ascii="Times New Roman" w:eastAsia="Times New Roman" w:hAnsi="Times New Roman" w:cs="Times New Roman"/>
          <w:sz w:val="24"/>
        </w:rPr>
        <w:t xml:space="preserve"> ha</w:t>
      </w:r>
      <w:r w:rsidR="00EB77A9">
        <w:rPr>
          <w:rFonts w:ascii="Times New Roman" w:eastAsia="Times New Roman" w:hAnsi="Times New Roman" w:cs="Times New Roman"/>
          <w:sz w:val="24"/>
        </w:rPr>
        <w:t>,</w:t>
      </w:r>
      <w:r w:rsidR="002F7DBA">
        <w:rPr>
          <w:rFonts w:ascii="Times New Roman" w:eastAsia="Times New Roman" w:hAnsi="Times New Roman" w:cs="Times New Roman"/>
          <w:sz w:val="24"/>
        </w:rPr>
        <w:t xml:space="preserve"> wobec</w:t>
      </w:r>
      <w:r w:rsidR="0074428E">
        <w:rPr>
          <w:rFonts w:ascii="Times New Roman" w:eastAsia="Times New Roman" w:hAnsi="Times New Roman" w:cs="Times New Roman"/>
          <w:sz w:val="24"/>
        </w:rPr>
        <w:t xml:space="preserve"> 23</w:t>
      </w:r>
      <w:r w:rsidR="00260FEF">
        <w:rPr>
          <w:rFonts w:ascii="Times New Roman" w:eastAsia="Times New Roman" w:hAnsi="Times New Roman" w:cs="Times New Roman"/>
          <w:sz w:val="24"/>
        </w:rPr>
        <w:t xml:space="preserve"> ha</w:t>
      </w:r>
      <w:r w:rsidR="002F7DBA">
        <w:rPr>
          <w:rFonts w:ascii="Times New Roman" w:eastAsia="Times New Roman" w:hAnsi="Times New Roman" w:cs="Times New Roman"/>
          <w:sz w:val="24"/>
        </w:rPr>
        <w:t xml:space="preserve"> w</w:t>
      </w:r>
      <w:r w:rsidR="0074428E">
        <w:rPr>
          <w:rFonts w:ascii="Times New Roman" w:eastAsia="Times New Roman" w:hAnsi="Times New Roman" w:cs="Times New Roman"/>
          <w:sz w:val="24"/>
        </w:rPr>
        <w:t xml:space="preserve"> 2014</w:t>
      </w:r>
      <w:r w:rsidR="002F7DBA">
        <w:rPr>
          <w:rFonts w:ascii="Times New Roman" w:eastAsia="Times New Roman" w:hAnsi="Times New Roman" w:cs="Times New Roman"/>
          <w:sz w:val="24"/>
        </w:rPr>
        <w:t xml:space="preserve"> r</w:t>
      </w:r>
      <w:r w:rsidR="00974169">
        <w:rPr>
          <w:rFonts w:ascii="Times New Roman" w:eastAsia="Times New Roman" w:hAnsi="Times New Roman" w:cs="Times New Roman"/>
          <w:sz w:val="24"/>
        </w:rPr>
        <w:t>.</w:t>
      </w:r>
    </w:p>
    <w:p w:rsidR="00093B70" w:rsidRPr="002F7DBA" w:rsidRDefault="00CE7B96" w:rsidP="005767E1">
      <w:pPr>
        <w:spacing w:before="80" w:after="0" w:line="264" w:lineRule="auto"/>
        <w:ind w:firstLine="425"/>
        <w:jc w:val="both"/>
        <w:rPr>
          <w:rFonts w:ascii="Times New Roman" w:eastAsia="Times New Roman" w:hAnsi="Times New Roman" w:cs="Times New Roman"/>
          <w:color w:val="0070C0"/>
          <w:sz w:val="24"/>
        </w:rPr>
      </w:pPr>
      <w:r w:rsidRPr="00CE7B96">
        <w:rPr>
          <w:rFonts w:ascii="Times New Roman" w:eastAsia="Times New Roman" w:hAnsi="Times New Roman" w:cs="Times New Roman"/>
          <w:sz w:val="24"/>
        </w:rPr>
        <w:t xml:space="preserve">Spadek rentowności działalności oraz </w:t>
      </w:r>
      <w:r w:rsidR="00017EF5">
        <w:rPr>
          <w:rFonts w:ascii="Times New Roman" w:eastAsia="Times New Roman" w:hAnsi="Times New Roman" w:cs="Times New Roman"/>
          <w:sz w:val="24"/>
        </w:rPr>
        <w:t>wolnych środków finansowych</w:t>
      </w:r>
      <w:r w:rsidR="00974169">
        <w:rPr>
          <w:rFonts w:ascii="Times New Roman" w:eastAsia="Times New Roman" w:hAnsi="Times New Roman" w:cs="Times New Roman"/>
          <w:sz w:val="24"/>
        </w:rPr>
        <w:t xml:space="preserve"> </w:t>
      </w:r>
      <w:r w:rsidR="00017EF5">
        <w:rPr>
          <w:rFonts w:ascii="Times New Roman" w:eastAsia="Times New Roman" w:hAnsi="Times New Roman" w:cs="Times New Roman"/>
          <w:sz w:val="24"/>
        </w:rPr>
        <w:t>spowodował wyraźne</w:t>
      </w:r>
      <w:r w:rsidRPr="00CE7B96">
        <w:rPr>
          <w:rFonts w:ascii="Times New Roman" w:eastAsia="Times New Roman" w:hAnsi="Times New Roman" w:cs="Times New Roman"/>
          <w:sz w:val="24"/>
        </w:rPr>
        <w:t xml:space="preserve"> </w:t>
      </w:r>
      <w:r w:rsidR="00093B70">
        <w:rPr>
          <w:rFonts w:ascii="Times New Roman" w:eastAsia="Times New Roman" w:hAnsi="Times New Roman" w:cs="Times New Roman"/>
          <w:sz w:val="24"/>
        </w:rPr>
        <w:t>ograniczani</w:t>
      </w:r>
      <w:r w:rsidR="00017EF5">
        <w:rPr>
          <w:rFonts w:ascii="Times New Roman" w:eastAsia="Times New Roman" w:hAnsi="Times New Roman" w:cs="Times New Roman"/>
          <w:sz w:val="24"/>
        </w:rPr>
        <w:t>e</w:t>
      </w:r>
      <w:r w:rsidR="00974169">
        <w:rPr>
          <w:rFonts w:ascii="Times New Roman" w:eastAsia="Times New Roman" w:hAnsi="Times New Roman" w:cs="Times New Roman"/>
          <w:sz w:val="24"/>
        </w:rPr>
        <w:t xml:space="preserve"> strumienia</w:t>
      </w:r>
      <w:r w:rsidRPr="00CE7B96">
        <w:rPr>
          <w:rFonts w:ascii="Times New Roman" w:eastAsia="Times New Roman" w:hAnsi="Times New Roman" w:cs="Times New Roman"/>
          <w:sz w:val="24"/>
        </w:rPr>
        <w:t xml:space="preserve"> inwestycji</w:t>
      </w:r>
      <w:r w:rsidR="00974169">
        <w:rPr>
          <w:rFonts w:ascii="Times New Roman" w:eastAsia="Times New Roman" w:hAnsi="Times New Roman" w:cs="Times New Roman"/>
          <w:sz w:val="24"/>
        </w:rPr>
        <w:t xml:space="preserve"> w </w:t>
      </w:r>
      <w:r w:rsidRPr="00CE7B96">
        <w:rPr>
          <w:rFonts w:ascii="Times New Roman" w:eastAsia="Times New Roman" w:hAnsi="Times New Roman" w:cs="Times New Roman"/>
          <w:sz w:val="24"/>
        </w:rPr>
        <w:t>spółdzielni</w:t>
      </w:r>
      <w:r w:rsidR="00017EF5">
        <w:rPr>
          <w:rFonts w:ascii="Times New Roman" w:eastAsia="Times New Roman" w:hAnsi="Times New Roman" w:cs="Times New Roman"/>
          <w:sz w:val="24"/>
        </w:rPr>
        <w:t>ach</w:t>
      </w:r>
      <w:r>
        <w:rPr>
          <w:rFonts w:ascii="Times New Roman" w:eastAsia="Times New Roman" w:hAnsi="Times New Roman" w:cs="Times New Roman"/>
          <w:sz w:val="24"/>
        </w:rPr>
        <w:t>.</w:t>
      </w:r>
      <w:r w:rsidR="00017EF5">
        <w:rPr>
          <w:rFonts w:ascii="Times New Roman" w:eastAsia="Times New Roman" w:hAnsi="Times New Roman" w:cs="Times New Roman"/>
          <w:sz w:val="24"/>
        </w:rPr>
        <w:t xml:space="preserve"> Przeciętna stopa inwestycji</w:t>
      </w:r>
      <w:r w:rsidR="00B74BEE">
        <w:rPr>
          <w:rFonts w:ascii="Times New Roman" w:eastAsia="Times New Roman" w:hAnsi="Times New Roman" w:cs="Times New Roman"/>
          <w:sz w:val="24"/>
        </w:rPr>
        <w:t xml:space="preserve"> </w:t>
      </w:r>
      <w:r w:rsidR="00B74BEE">
        <w:rPr>
          <w:rFonts w:ascii="Times New Roman" w:eastAsia="Times New Roman" w:hAnsi="Times New Roman" w:cs="Times New Roman"/>
          <w:sz w:val="24"/>
        </w:rPr>
        <w:lastRenderedPageBreak/>
        <w:t>wskazywała</w:t>
      </w:r>
      <w:r w:rsidR="00017EF5">
        <w:rPr>
          <w:rFonts w:ascii="Times New Roman" w:eastAsia="Times New Roman" w:hAnsi="Times New Roman" w:cs="Times New Roman"/>
          <w:sz w:val="24"/>
        </w:rPr>
        <w:t xml:space="preserve"> na rozszerz</w:t>
      </w:r>
      <w:r w:rsidR="003669AF">
        <w:rPr>
          <w:rFonts w:ascii="Times New Roman" w:eastAsia="Times New Roman" w:hAnsi="Times New Roman" w:cs="Times New Roman"/>
          <w:sz w:val="24"/>
        </w:rPr>
        <w:t>ony tryb reprodukcji majątku,</w:t>
      </w:r>
      <w:r w:rsidR="00017EF5">
        <w:rPr>
          <w:rFonts w:ascii="Times New Roman" w:eastAsia="Times New Roman" w:hAnsi="Times New Roman" w:cs="Times New Roman"/>
          <w:sz w:val="24"/>
        </w:rPr>
        <w:t xml:space="preserve"> jednak jej wysokość była niższa niż w 2014 </w:t>
      </w:r>
      <w:r w:rsidR="00DF72D4">
        <w:rPr>
          <w:rFonts w:ascii="Times New Roman" w:eastAsia="Times New Roman" w:hAnsi="Times New Roman" w:cs="Times New Roman"/>
          <w:sz w:val="24"/>
        </w:rPr>
        <w:t>r.</w:t>
      </w:r>
      <w:r w:rsidR="006D4C55">
        <w:rPr>
          <w:rFonts w:ascii="Times New Roman" w:eastAsia="Times New Roman" w:hAnsi="Times New Roman" w:cs="Times New Roman"/>
          <w:sz w:val="24"/>
        </w:rPr>
        <w:t xml:space="preserve"> </w:t>
      </w:r>
      <w:r w:rsidR="00017EF5">
        <w:rPr>
          <w:rFonts w:ascii="Times New Roman" w:eastAsia="Times New Roman" w:hAnsi="Times New Roman" w:cs="Times New Roman"/>
          <w:sz w:val="24"/>
        </w:rPr>
        <w:t>i</w:t>
      </w:r>
      <w:r w:rsidR="00DF72D4">
        <w:rPr>
          <w:rFonts w:ascii="Times New Roman" w:eastAsia="Times New Roman" w:hAnsi="Times New Roman" w:cs="Times New Roman"/>
          <w:sz w:val="24"/>
        </w:rPr>
        <w:t xml:space="preserve"> zdecydowanie niższa niż w </w:t>
      </w:r>
      <w:r w:rsidR="006D4C55">
        <w:rPr>
          <w:rFonts w:ascii="Times New Roman" w:eastAsia="Times New Roman" w:hAnsi="Times New Roman" w:cs="Times New Roman"/>
          <w:sz w:val="24"/>
        </w:rPr>
        <w:t>2013</w:t>
      </w:r>
      <w:r w:rsidR="00DF72D4">
        <w:rPr>
          <w:rFonts w:ascii="Times New Roman" w:eastAsia="Times New Roman" w:hAnsi="Times New Roman" w:cs="Times New Roman"/>
          <w:sz w:val="24"/>
        </w:rPr>
        <w:t xml:space="preserve"> r.</w:t>
      </w:r>
      <w:r>
        <w:rPr>
          <w:rFonts w:ascii="Times New Roman" w:eastAsia="Times New Roman" w:hAnsi="Times New Roman" w:cs="Times New Roman"/>
          <w:sz w:val="24"/>
        </w:rPr>
        <w:t xml:space="preserve"> </w:t>
      </w:r>
    </w:p>
    <w:p w:rsidR="00167E1F" w:rsidRDefault="006D4C55" w:rsidP="005767E1">
      <w:pPr>
        <w:spacing w:before="80" w:after="0" w:line="264" w:lineRule="auto"/>
        <w:ind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Analiza prowadzonych inwestycji w </w:t>
      </w:r>
      <w:r w:rsidR="00BA21E8">
        <w:rPr>
          <w:rFonts w:ascii="Times New Roman" w:eastAsia="Times New Roman" w:hAnsi="Times New Roman" w:cs="Times New Roman"/>
          <w:sz w:val="24"/>
        </w:rPr>
        <w:t>spółdzielniach</w:t>
      </w:r>
      <w:r w:rsidR="00B465C1" w:rsidRPr="0075102D">
        <w:rPr>
          <w:rFonts w:ascii="Times New Roman" w:eastAsia="Times New Roman" w:hAnsi="Times New Roman" w:cs="Times New Roman"/>
          <w:sz w:val="24"/>
        </w:rPr>
        <w:t xml:space="preserve"> </w:t>
      </w:r>
      <w:r w:rsidR="00BA21E8">
        <w:rPr>
          <w:rFonts w:ascii="Times New Roman" w:eastAsia="Times New Roman" w:hAnsi="Times New Roman" w:cs="Times New Roman"/>
          <w:sz w:val="24"/>
        </w:rPr>
        <w:t>wykazała</w:t>
      </w:r>
      <w:r w:rsidR="0075102D" w:rsidRPr="0075102D">
        <w:rPr>
          <w:rFonts w:ascii="Times New Roman" w:eastAsia="Times New Roman" w:hAnsi="Times New Roman" w:cs="Times New Roman"/>
          <w:sz w:val="24"/>
        </w:rPr>
        <w:t xml:space="preserve">, że </w:t>
      </w:r>
      <w:r w:rsidR="000C2B71">
        <w:rPr>
          <w:rFonts w:ascii="Times New Roman" w:eastAsia="Times New Roman" w:hAnsi="Times New Roman" w:cs="Times New Roman"/>
          <w:sz w:val="24"/>
        </w:rPr>
        <w:t>w ciągu ostatnich 3 lat 1</w:t>
      </w:r>
      <w:r w:rsidR="00BD4303">
        <w:rPr>
          <w:rFonts w:ascii="Times New Roman" w:eastAsia="Times New Roman" w:hAnsi="Times New Roman" w:cs="Times New Roman"/>
          <w:sz w:val="24"/>
        </w:rPr>
        <w:t>1</w:t>
      </w:r>
      <w:r w:rsidR="00073E5C">
        <w:rPr>
          <w:rFonts w:ascii="Times New Roman" w:eastAsia="Times New Roman" w:hAnsi="Times New Roman" w:cs="Times New Roman"/>
          <w:sz w:val="24"/>
        </w:rPr>
        <w:t>%</w:t>
      </w:r>
      <w:r w:rsidR="000151DB" w:rsidRPr="0075102D">
        <w:rPr>
          <w:rFonts w:ascii="Times New Roman" w:eastAsia="Times New Roman" w:hAnsi="Times New Roman" w:cs="Times New Roman"/>
          <w:sz w:val="24"/>
        </w:rPr>
        <w:t xml:space="preserve"> spół</w:t>
      </w:r>
      <w:r w:rsidR="00B465C1" w:rsidRPr="0075102D">
        <w:rPr>
          <w:rFonts w:ascii="Times New Roman" w:eastAsia="Times New Roman" w:hAnsi="Times New Roman" w:cs="Times New Roman"/>
          <w:sz w:val="24"/>
        </w:rPr>
        <w:t>dzielni nie inwestowała w ogóle</w:t>
      </w:r>
      <w:r w:rsidR="00073E5C">
        <w:rPr>
          <w:rFonts w:ascii="Times New Roman" w:eastAsia="Times New Roman" w:hAnsi="Times New Roman" w:cs="Times New Roman"/>
          <w:sz w:val="24"/>
        </w:rPr>
        <w:t xml:space="preserve">. Dalsze </w:t>
      </w:r>
      <w:r w:rsidR="00BD4303">
        <w:rPr>
          <w:rFonts w:ascii="Times New Roman" w:eastAsia="Times New Roman" w:hAnsi="Times New Roman" w:cs="Times New Roman"/>
          <w:sz w:val="24"/>
        </w:rPr>
        <w:t>32</w:t>
      </w:r>
      <w:r w:rsidR="00073E5C">
        <w:rPr>
          <w:rFonts w:ascii="Times New Roman" w:eastAsia="Times New Roman" w:hAnsi="Times New Roman" w:cs="Times New Roman"/>
          <w:sz w:val="24"/>
        </w:rPr>
        <w:t>%</w:t>
      </w:r>
      <w:r w:rsidR="003669AF">
        <w:rPr>
          <w:rFonts w:ascii="Times New Roman" w:eastAsia="Times New Roman" w:hAnsi="Times New Roman" w:cs="Times New Roman"/>
          <w:sz w:val="24"/>
        </w:rPr>
        <w:t xml:space="preserve"> prowadziło</w:t>
      </w:r>
      <w:r w:rsidR="0075102D" w:rsidRPr="0075102D">
        <w:rPr>
          <w:rFonts w:ascii="Times New Roman" w:eastAsia="Times New Roman" w:hAnsi="Times New Roman" w:cs="Times New Roman"/>
          <w:sz w:val="24"/>
        </w:rPr>
        <w:t xml:space="preserve"> inwestycje na niewielk</w:t>
      </w:r>
      <w:r w:rsidR="001A635C">
        <w:rPr>
          <w:rFonts w:ascii="Times New Roman" w:eastAsia="Times New Roman" w:hAnsi="Times New Roman" w:cs="Times New Roman"/>
          <w:sz w:val="24"/>
        </w:rPr>
        <w:t>ą</w:t>
      </w:r>
      <w:r w:rsidR="0075102D" w:rsidRPr="0075102D">
        <w:rPr>
          <w:rFonts w:ascii="Times New Roman" w:eastAsia="Times New Roman" w:hAnsi="Times New Roman" w:cs="Times New Roman"/>
          <w:sz w:val="24"/>
        </w:rPr>
        <w:t xml:space="preserve"> skalę, nie przekraczającą wysokości odpisów amortyzacyjnych.</w:t>
      </w:r>
      <w:r w:rsidR="00B465C1" w:rsidRPr="0075102D">
        <w:rPr>
          <w:rFonts w:ascii="Times New Roman" w:eastAsia="Times New Roman" w:hAnsi="Times New Roman" w:cs="Times New Roman"/>
          <w:sz w:val="24"/>
        </w:rPr>
        <w:t xml:space="preserve"> </w:t>
      </w:r>
      <w:r w:rsidR="00BD4303">
        <w:rPr>
          <w:rFonts w:ascii="Times New Roman" w:eastAsia="Times New Roman" w:hAnsi="Times New Roman" w:cs="Times New Roman"/>
          <w:sz w:val="24"/>
        </w:rPr>
        <w:t xml:space="preserve">Największa część </w:t>
      </w:r>
      <w:r w:rsidR="00B74BEE">
        <w:rPr>
          <w:rFonts w:ascii="Times New Roman" w:eastAsia="Times New Roman" w:hAnsi="Times New Roman" w:cs="Times New Roman"/>
          <w:sz w:val="24"/>
        </w:rPr>
        <w:t>badanej grupy</w:t>
      </w:r>
      <w:r w:rsidR="00A54D45">
        <w:rPr>
          <w:rFonts w:ascii="Times New Roman" w:eastAsia="Times New Roman" w:hAnsi="Times New Roman" w:cs="Times New Roman"/>
          <w:sz w:val="24"/>
        </w:rPr>
        <w:t>,</w:t>
      </w:r>
      <w:r w:rsidR="00BD4303">
        <w:rPr>
          <w:rFonts w:ascii="Times New Roman" w:eastAsia="Times New Roman" w:hAnsi="Times New Roman" w:cs="Times New Roman"/>
          <w:sz w:val="24"/>
        </w:rPr>
        <w:t xml:space="preserve"> bo</w:t>
      </w:r>
      <w:r w:rsidR="00073E5C">
        <w:rPr>
          <w:rFonts w:ascii="Times New Roman" w:eastAsia="Times New Roman" w:hAnsi="Times New Roman" w:cs="Times New Roman"/>
          <w:sz w:val="24"/>
        </w:rPr>
        <w:t xml:space="preserve"> </w:t>
      </w:r>
      <w:r w:rsidR="00BD4303">
        <w:rPr>
          <w:rFonts w:ascii="Times New Roman" w:eastAsia="Times New Roman" w:hAnsi="Times New Roman" w:cs="Times New Roman"/>
          <w:sz w:val="24"/>
        </w:rPr>
        <w:t>57</w:t>
      </w:r>
      <w:r w:rsidR="00073E5C">
        <w:rPr>
          <w:rFonts w:ascii="Times New Roman" w:eastAsia="Times New Roman" w:hAnsi="Times New Roman" w:cs="Times New Roman"/>
          <w:sz w:val="24"/>
        </w:rPr>
        <w:t>%</w:t>
      </w:r>
      <w:r w:rsidR="0075102D" w:rsidRPr="0075102D">
        <w:rPr>
          <w:rFonts w:ascii="Times New Roman" w:eastAsia="Times New Roman" w:hAnsi="Times New Roman" w:cs="Times New Roman"/>
          <w:sz w:val="24"/>
        </w:rPr>
        <w:t xml:space="preserve"> </w:t>
      </w:r>
      <w:r w:rsidR="00EB77A9">
        <w:rPr>
          <w:rFonts w:ascii="Times New Roman" w:eastAsia="Times New Roman" w:hAnsi="Times New Roman" w:cs="Times New Roman"/>
          <w:sz w:val="24"/>
        </w:rPr>
        <w:t>RSP</w:t>
      </w:r>
      <w:r w:rsidR="00A54D45">
        <w:rPr>
          <w:rFonts w:ascii="Times New Roman" w:eastAsia="Times New Roman" w:hAnsi="Times New Roman" w:cs="Times New Roman"/>
          <w:sz w:val="24"/>
        </w:rPr>
        <w:t>,</w:t>
      </w:r>
      <w:r w:rsidR="00EB77A9">
        <w:rPr>
          <w:rFonts w:ascii="Times New Roman" w:eastAsia="Times New Roman" w:hAnsi="Times New Roman" w:cs="Times New Roman"/>
          <w:sz w:val="24"/>
        </w:rPr>
        <w:t xml:space="preserve"> wykazywało</w:t>
      </w:r>
      <w:r w:rsidR="0075102D" w:rsidRPr="0075102D">
        <w:rPr>
          <w:rFonts w:ascii="Times New Roman" w:eastAsia="Times New Roman" w:hAnsi="Times New Roman" w:cs="Times New Roman"/>
          <w:sz w:val="24"/>
        </w:rPr>
        <w:t xml:space="preserve"> rozszerzony stopień reprodukcji majątku</w:t>
      </w:r>
      <w:r w:rsidR="00BD4303">
        <w:rPr>
          <w:rFonts w:ascii="Times New Roman" w:eastAsia="Times New Roman" w:hAnsi="Times New Roman" w:cs="Times New Roman"/>
          <w:sz w:val="24"/>
        </w:rPr>
        <w:t xml:space="preserve">, z tej grupy co trzecia </w:t>
      </w:r>
      <w:r w:rsidR="00B74BEE">
        <w:rPr>
          <w:rFonts w:ascii="Times New Roman" w:eastAsia="Times New Roman" w:hAnsi="Times New Roman" w:cs="Times New Roman"/>
          <w:sz w:val="24"/>
        </w:rPr>
        <w:t xml:space="preserve">RSP </w:t>
      </w:r>
      <w:r w:rsidR="00A54D45">
        <w:rPr>
          <w:rFonts w:ascii="Times New Roman" w:eastAsia="Times New Roman" w:hAnsi="Times New Roman" w:cs="Times New Roman"/>
          <w:sz w:val="24"/>
        </w:rPr>
        <w:t>poniosła</w:t>
      </w:r>
      <w:r w:rsidR="00B74BEE">
        <w:rPr>
          <w:rFonts w:ascii="Times New Roman" w:eastAsia="Times New Roman" w:hAnsi="Times New Roman" w:cs="Times New Roman"/>
          <w:sz w:val="24"/>
        </w:rPr>
        <w:t xml:space="preserve"> dwukrotnie wyższe</w:t>
      </w:r>
      <w:r w:rsidR="000B4F8C">
        <w:rPr>
          <w:rFonts w:ascii="Times New Roman" w:eastAsia="Times New Roman" w:hAnsi="Times New Roman" w:cs="Times New Roman"/>
          <w:sz w:val="24"/>
        </w:rPr>
        <w:t xml:space="preserve"> nakłady na inwestycje niż poziom odpisów amortyzacyjnych</w:t>
      </w:r>
      <w:r w:rsidR="00A54D45">
        <w:rPr>
          <w:rFonts w:ascii="Times New Roman" w:eastAsia="Times New Roman" w:hAnsi="Times New Roman" w:cs="Times New Roman"/>
          <w:sz w:val="24"/>
        </w:rPr>
        <w:t>.</w:t>
      </w:r>
    </w:p>
    <w:p w:rsidR="00F7712C" w:rsidRDefault="004A46F9" w:rsidP="005767E1">
      <w:pPr>
        <w:spacing w:before="80" w:after="0" w:line="264" w:lineRule="auto"/>
        <w:ind w:firstLine="425"/>
        <w:jc w:val="both"/>
        <w:rPr>
          <w:rFonts w:ascii="Times New Roman" w:eastAsia="Times New Roman" w:hAnsi="Times New Roman" w:cs="Times New Roman"/>
          <w:sz w:val="24"/>
        </w:rPr>
      </w:pPr>
      <w:r>
        <w:rPr>
          <w:rFonts w:ascii="Times New Roman" w:eastAsia="Times New Roman" w:hAnsi="Times New Roman" w:cs="Times New Roman"/>
          <w:sz w:val="24"/>
        </w:rPr>
        <w:t>Tak jak w latach ubiegłych, w niektórych spółdzielniach o</w:t>
      </w:r>
      <w:r w:rsidR="00F7712C">
        <w:rPr>
          <w:rFonts w:ascii="Times New Roman" w:eastAsia="Times New Roman" w:hAnsi="Times New Roman" w:cs="Times New Roman"/>
          <w:sz w:val="24"/>
        </w:rPr>
        <w:t xml:space="preserve">prócz inwestycji prowadzonych ze środków własnych lub </w:t>
      </w:r>
      <w:r>
        <w:rPr>
          <w:rFonts w:ascii="Times New Roman" w:eastAsia="Times New Roman" w:hAnsi="Times New Roman" w:cs="Times New Roman"/>
          <w:sz w:val="24"/>
        </w:rPr>
        <w:t xml:space="preserve">z </w:t>
      </w:r>
      <w:r w:rsidR="00F7712C">
        <w:rPr>
          <w:rFonts w:ascii="Times New Roman" w:eastAsia="Times New Roman" w:hAnsi="Times New Roman" w:cs="Times New Roman"/>
          <w:sz w:val="24"/>
        </w:rPr>
        <w:t>kredytu</w:t>
      </w:r>
      <w:r w:rsidR="001A635C">
        <w:rPr>
          <w:rFonts w:ascii="Times New Roman" w:eastAsia="Times New Roman" w:hAnsi="Times New Roman" w:cs="Times New Roman"/>
          <w:sz w:val="24"/>
        </w:rPr>
        <w:t>,</w:t>
      </w:r>
      <w:r w:rsidR="00F7712C">
        <w:rPr>
          <w:rFonts w:ascii="Times New Roman" w:eastAsia="Times New Roman" w:hAnsi="Times New Roman" w:cs="Times New Roman"/>
          <w:sz w:val="24"/>
        </w:rPr>
        <w:t xml:space="preserve"> </w:t>
      </w:r>
      <w:r>
        <w:rPr>
          <w:rFonts w:ascii="Times New Roman" w:eastAsia="Times New Roman" w:hAnsi="Times New Roman" w:cs="Times New Roman"/>
          <w:sz w:val="24"/>
        </w:rPr>
        <w:t>decydowano się na leasing maszyn i urządzeń</w:t>
      </w:r>
      <w:r w:rsidR="00F7712C">
        <w:rPr>
          <w:rFonts w:ascii="Times New Roman" w:eastAsia="Times New Roman" w:hAnsi="Times New Roman" w:cs="Times New Roman"/>
          <w:sz w:val="24"/>
        </w:rPr>
        <w:t>. Ten rodzaj finansowania inwestycji obecny był w</w:t>
      </w:r>
      <w:r>
        <w:rPr>
          <w:rFonts w:ascii="Times New Roman" w:eastAsia="Times New Roman" w:hAnsi="Times New Roman" w:cs="Times New Roman"/>
          <w:sz w:val="24"/>
        </w:rPr>
        <w:t xml:space="preserve"> 2015</w:t>
      </w:r>
      <w:r w:rsidR="00DF72D4">
        <w:rPr>
          <w:rFonts w:ascii="Times New Roman" w:eastAsia="Times New Roman" w:hAnsi="Times New Roman" w:cs="Times New Roman"/>
          <w:sz w:val="24"/>
        </w:rPr>
        <w:t xml:space="preserve"> r.</w:t>
      </w:r>
      <w:r w:rsidR="00073E5C">
        <w:rPr>
          <w:rFonts w:ascii="Times New Roman" w:eastAsia="Times New Roman" w:hAnsi="Times New Roman" w:cs="Times New Roman"/>
          <w:sz w:val="24"/>
        </w:rPr>
        <w:t xml:space="preserve"> w</w:t>
      </w:r>
      <w:r>
        <w:rPr>
          <w:rFonts w:ascii="Times New Roman" w:eastAsia="Times New Roman" w:hAnsi="Times New Roman" w:cs="Times New Roman"/>
          <w:sz w:val="24"/>
        </w:rPr>
        <w:t xml:space="preserve"> co 11</w:t>
      </w:r>
      <w:r w:rsidR="00F7712C">
        <w:rPr>
          <w:rFonts w:ascii="Times New Roman" w:eastAsia="Times New Roman" w:hAnsi="Times New Roman" w:cs="Times New Roman"/>
          <w:sz w:val="24"/>
        </w:rPr>
        <w:t xml:space="preserve"> spółdzielni</w:t>
      </w:r>
      <w:r>
        <w:rPr>
          <w:rFonts w:ascii="Times New Roman" w:eastAsia="Times New Roman" w:hAnsi="Times New Roman" w:cs="Times New Roman"/>
          <w:sz w:val="24"/>
        </w:rPr>
        <w:t xml:space="preserve"> (w 2014 </w:t>
      </w:r>
      <w:r w:rsidR="00DF72D4">
        <w:rPr>
          <w:rFonts w:ascii="Times New Roman" w:eastAsia="Times New Roman" w:hAnsi="Times New Roman" w:cs="Times New Roman"/>
          <w:sz w:val="24"/>
        </w:rPr>
        <w:t xml:space="preserve">r. </w:t>
      </w:r>
      <w:r>
        <w:rPr>
          <w:rFonts w:ascii="Times New Roman" w:eastAsia="Times New Roman" w:hAnsi="Times New Roman" w:cs="Times New Roman"/>
          <w:sz w:val="24"/>
        </w:rPr>
        <w:t>w co 12)</w:t>
      </w:r>
      <w:r w:rsidR="00F7712C">
        <w:rPr>
          <w:rFonts w:ascii="Times New Roman" w:eastAsia="Times New Roman" w:hAnsi="Times New Roman" w:cs="Times New Roman"/>
          <w:sz w:val="24"/>
        </w:rPr>
        <w:t>,</w:t>
      </w:r>
      <w:r w:rsidR="00B92FF7">
        <w:rPr>
          <w:rFonts w:ascii="Times New Roman" w:eastAsia="Times New Roman" w:hAnsi="Times New Roman" w:cs="Times New Roman"/>
          <w:sz w:val="24"/>
        </w:rPr>
        <w:t xml:space="preserve"> a</w:t>
      </w:r>
      <w:r w:rsidR="00F7712C">
        <w:rPr>
          <w:rFonts w:ascii="Times New Roman" w:eastAsia="Times New Roman" w:hAnsi="Times New Roman" w:cs="Times New Roman"/>
          <w:sz w:val="24"/>
        </w:rPr>
        <w:t xml:space="preserve"> przeciętna wartość </w:t>
      </w:r>
      <w:r w:rsidR="00073E5C">
        <w:rPr>
          <w:rFonts w:ascii="Times New Roman" w:eastAsia="Times New Roman" w:hAnsi="Times New Roman" w:cs="Times New Roman"/>
          <w:sz w:val="24"/>
        </w:rPr>
        <w:t>zawartej</w:t>
      </w:r>
      <w:r>
        <w:rPr>
          <w:rFonts w:ascii="Times New Roman" w:eastAsia="Times New Roman" w:hAnsi="Times New Roman" w:cs="Times New Roman"/>
          <w:sz w:val="24"/>
        </w:rPr>
        <w:t xml:space="preserve"> umowy leasingowej wynosiła 423</w:t>
      </w:r>
      <w:r w:rsidR="00F7712C">
        <w:rPr>
          <w:rFonts w:ascii="Times New Roman" w:eastAsia="Times New Roman" w:hAnsi="Times New Roman" w:cs="Times New Roman"/>
          <w:sz w:val="24"/>
        </w:rPr>
        <w:t xml:space="preserve"> tys. zł. </w:t>
      </w:r>
      <w:r w:rsidR="003669AF">
        <w:rPr>
          <w:rFonts w:ascii="Times New Roman" w:eastAsia="Times New Roman" w:hAnsi="Times New Roman" w:cs="Times New Roman"/>
          <w:sz w:val="24"/>
        </w:rPr>
        <w:t>Tak więc</w:t>
      </w:r>
      <w:r w:rsidR="00A54D45">
        <w:rPr>
          <w:rFonts w:ascii="Times New Roman" w:eastAsia="Times New Roman" w:hAnsi="Times New Roman" w:cs="Times New Roman"/>
          <w:sz w:val="24"/>
        </w:rPr>
        <w:t>,</w:t>
      </w:r>
      <w:r>
        <w:rPr>
          <w:rFonts w:ascii="Times New Roman" w:eastAsia="Times New Roman" w:hAnsi="Times New Roman" w:cs="Times New Roman"/>
          <w:sz w:val="24"/>
        </w:rPr>
        <w:t xml:space="preserve"> jeśli </w:t>
      </w:r>
      <w:r w:rsidR="005A4CD9">
        <w:rPr>
          <w:rFonts w:ascii="Times New Roman" w:eastAsia="Times New Roman" w:hAnsi="Times New Roman" w:cs="Times New Roman"/>
          <w:sz w:val="24"/>
        </w:rPr>
        <w:t>spółdzielnia</w:t>
      </w:r>
      <w:r>
        <w:rPr>
          <w:rFonts w:ascii="Times New Roman" w:eastAsia="Times New Roman" w:hAnsi="Times New Roman" w:cs="Times New Roman"/>
          <w:sz w:val="24"/>
        </w:rPr>
        <w:t xml:space="preserve"> decydowała się na leasing jako formę fin</w:t>
      </w:r>
      <w:r w:rsidR="003669AF">
        <w:rPr>
          <w:rFonts w:ascii="Times New Roman" w:eastAsia="Times New Roman" w:hAnsi="Times New Roman" w:cs="Times New Roman"/>
          <w:sz w:val="24"/>
        </w:rPr>
        <w:t>ansowania zakupu, to były to znaczące</w:t>
      </w:r>
      <w:r>
        <w:rPr>
          <w:rFonts w:ascii="Times New Roman" w:eastAsia="Times New Roman" w:hAnsi="Times New Roman" w:cs="Times New Roman"/>
          <w:sz w:val="24"/>
        </w:rPr>
        <w:t xml:space="preserve"> inwestycje. Nigdy jed</w:t>
      </w:r>
      <w:r w:rsidR="005A4CD9">
        <w:rPr>
          <w:rFonts w:ascii="Times New Roman" w:eastAsia="Times New Roman" w:hAnsi="Times New Roman" w:cs="Times New Roman"/>
          <w:sz w:val="24"/>
        </w:rPr>
        <w:t>nak leasing nie był jedynym sposobem</w:t>
      </w:r>
      <w:r>
        <w:rPr>
          <w:rFonts w:ascii="Times New Roman" w:eastAsia="Times New Roman" w:hAnsi="Times New Roman" w:cs="Times New Roman"/>
          <w:sz w:val="24"/>
        </w:rPr>
        <w:t xml:space="preserve"> inwestycji</w:t>
      </w:r>
      <w:r w:rsidR="00A54D45">
        <w:rPr>
          <w:rFonts w:ascii="Times New Roman" w:eastAsia="Times New Roman" w:hAnsi="Times New Roman" w:cs="Times New Roman"/>
          <w:sz w:val="24"/>
        </w:rPr>
        <w:t>;</w:t>
      </w:r>
      <w:r>
        <w:rPr>
          <w:rFonts w:ascii="Times New Roman" w:eastAsia="Times New Roman" w:hAnsi="Times New Roman" w:cs="Times New Roman"/>
          <w:sz w:val="24"/>
        </w:rPr>
        <w:t xml:space="preserve"> wszystkie spółdzielnie</w:t>
      </w:r>
      <w:r w:rsidR="003669AF">
        <w:rPr>
          <w:rFonts w:ascii="Times New Roman" w:eastAsia="Times New Roman" w:hAnsi="Times New Roman" w:cs="Times New Roman"/>
          <w:sz w:val="24"/>
        </w:rPr>
        <w:t>,</w:t>
      </w:r>
      <w:r>
        <w:rPr>
          <w:rFonts w:ascii="Times New Roman" w:eastAsia="Times New Roman" w:hAnsi="Times New Roman" w:cs="Times New Roman"/>
          <w:sz w:val="24"/>
        </w:rPr>
        <w:t xml:space="preserve"> któr</w:t>
      </w:r>
      <w:r w:rsidR="00DF72D4">
        <w:rPr>
          <w:rFonts w:ascii="Times New Roman" w:eastAsia="Times New Roman" w:hAnsi="Times New Roman" w:cs="Times New Roman"/>
          <w:sz w:val="24"/>
        </w:rPr>
        <w:t>e w 2015 r.</w:t>
      </w:r>
      <w:r w:rsidR="00215C75">
        <w:rPr>
          <w:rFonts w:ascii="Times New Roman" w:eastAsia="Times New Roman" w:hAnsi="Times New Roman" w:cs="Times New Roman"/>
          <w:sz w:val="24"/>
        </w:rPr>
        <w:t xml:space="preserve"> posiadały umowy leasingowe, charakteryzowały się rozszerzonym typem reprodukcji majątku.</w:t>
      </w:r>
    </w:p>
    <w:p w:rsidR="007E7F33" w:rsidRPr="004C338C" w:rsidRDefault="00215C75" w:rsidP="005767E1">
      <w:pPr>
        <w:spacing w:before="80" w:after="0" w:line="264" w:lineRule="auto"/>
        <w:ind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Obok inwestycji, nie mniej </w:t>
      </w:r>
      <w:r w:rsidR="007E7F33" w:rsidRPr="004C338C">
        <w:rPr>
          <w:rFonts w:ascii="Times New Roman" w:eastAsia="Times New Roman" w:hAnsi="Times New Roman" w:cs="Times New Roman"/>
          <w:sz w:val="24"/>
        </w:rPr>
        <w:t xml:space="preserve">istotnym z punktu widzenia oceny żywotności </w:t>
      </w:r>
      <w:r w:rsidR="00073E5C">
        <w:rPr>
          <w:rFonts w:ascii="Times New Roman" w:eastAsia="Times New Roman" w:hAnsi="Times New Roman" w:cs="Times New Roman"/>
          <w:sz w:val="24"/>
        </w:rPr>
        <w:t>RSP</w:t>
      </w:r>
      <w:r w:rsidR="003669AF">
        <w:rPr>
          <w:rFonts w:ascii="Times New Roman" w:eastAsia="Times New Roman" w:hAnsi="Times New Roman" w:cs="Times New Roman"/>
          <w:sz w:val="24"/>
        </w:rPr>
        <w:t>,</w:t>
      </w:r>
      <w:r w:rsidR="007E7F33" w:rsidRPr="004C338C">
        <w:rPr>
          <w:rFonts w:ascii="Times New Roman" w:eastAsia="Times New Roman" w:hAnsi="Times New Roman" w:cs="Times New Roman"/>
          <w:sz w:val="24"/>
        </w:rPr>
        <w:t xml:space="preserve"> jest</w:t>
      </w:r>
      <w:r w:rsidR="00073E5C">
        <w:rPr>
          <w:rFonts w:ascii="Times New Roman" w:eastAsia="Times New Roman" w:hAnsi="Times New Roman" w:cs="Times New Roman"/>
          <w:sz w:val="24"/>
        </w:rPr>
        <w:t xml:space="preserve"> ustalany</w:t>
      </w:r>
      <w:r w:rsidR="007E7F33" w:rsidRPr="004C338C">
        <w:rPr>
          <w:rFonts w:ascii="Times New Roman" w:eastAsia="Times New Roman" w:hAnsi="Times New Roman" w:cs="Times New Roman"/>
          <w:sz w:val="24"/>
        </w:rPr>
        <w:t xml:space="preserve"> poziom opłaty</w:t>
      </w:r>
      <w:r w:rsidR="00B92FF7">
        <w:rPr>
          <w:rFonts w:ascii="Times New Roman" w:eastAsia="Times New Roman" w:hAnsi="Times New Roman" w:cs="Times New Roman"/>
          <w:sz w:val="24"/>
        </w:rPr>
        <w:t xml:space="preserve"> pracy</w:t>
      </w:r>
      <w:r w:rsidR="007E7F33" w:rsidRPr="004C338C">
        <w:rPr>
          <w:rFonts w:ascii="Times New Roman" w:eastAsia="Times New Roman" w:hAnsi="Times New Roman" w:cs="Times New Roman"/>
          <w:sz w:val="24"/>
        </w:rPr>
        <w:t xml:space="preserve"> własnej członków. </w:t>
      </w:r>
      <w:r>
        <w:rPr>
          <w:rFonts w:ascii="Times New Roman" w:eastAsia="Times New Roman" w:hAnsi="Times New Roman" w:cs="Times New Roman"/>
          <w:sz w:val="24"/>
        </w:rPr>
        <w:t>Zwykle w</w:t>
      </w:r>
      <w:r w:rsidR="007E7F33" w:rsidRPr="004C338C">
        <w:rPr>
          <w:rFonts w:ascii="Times New Roman" w:eastAsia="Times New Roman" w:hAnsi="Times New Roman" w:cs="Times New Roman"/>
          <w:sz w:val="24"/>
        </w:rPr>
        <w:t xml:space="preserve"> </w:t>
      </w:r>
      <w:r>
        <w:rPr>
          <w:rFonts w:ascii="Times New Roman" w:eastAsia="Times New Roman" w:hAnsi="Times New Roman" w:cs="Times New Roman"/>
          <w:sz w:val="24"/>
        </w:rPr>
        <w:t>latach dekoniunktury</w:t>
      </w:r>
      <w:r w:rsidR="007E7F33" w:rsidRPr="004C338C">
        <w:rPr>
          <w:rFonts w:ascii="Times New Roman" w:eastAsia="Times New Roman" w:hAnsi="Times New Roman" w:cs="Times New Roman"/>
          <w:sz w:val="24"/>
        </w:rPr>
        <w:t xml:space="preserve"> obserwować można było zwiększ</w:t>
      </w:r>
      <w:r w:rsidR="005A4CD9">
        <w:rPr>
          <w:rFonts w:ascii="Times New Roman" w:eastAsia="Times New Roman" w:hAnsi="Times New Roman" w:cs="Times New Roman"/>
          <w:sz w:val="24"/>
        </w:rPr>
        <w:t>on</w:t>
      </w:r>
      <w:r>
        <w:rPr>
          <w:rFonts w:ascii="Times New Roman" w:eastAsia="Times New Roman" w:hAnsi="Times New Roman" w:cs="Times New Roman"/>
          <w:sz w:val="24"/>
        </w:rPr>
        <w:t>ą liczbę spółdzielni</w:t>
      </w:r>
      <w:r w:rsidR="00A21CCD">
        <w:rPr>
          <w:rFonts w:ascii="Times New Roman" w:eastAsia="Times New Roman" w:hAnsi="Times New Roman" w:cs="Times New Roman"/>
          <w:sz w:val="24"/>
        </w:rPr>
        <w:t>,</w:t>
      </w:r>
      <w:r w:rsidR="007E7F33" w:rsidRPr="004C338C">
        <w:rPr>
          <w:rFonts w:ascii="Times New Roman" w:eastAsia="Times New Roman" w:hAnsi="Times New Roman" w:cs="Times New Roman"/>
          <w:sz w:val="24"/>
        </w:rPr>
        <w:t xml:space="preserve"> gdzie opłata </w:t>
      </w:r>
      <w:r w:rsidR="00A54D45">
        <w:rPr>
          <w:rFonts w:ascii="Times New Roman" w:eastAsia="Times New Roman" w:hAnsi="Times New Roman" w:cs="Times New Roman"/>
          <w:sz w:val="24"/>
        </w:rPr>
        <w:t>ta</w:t>
      </w:r>
      <w:r w:rsidR="00B92FF7">
        <w:rPr>
          <w:rFonts w:ascii="Times New Roman" w:eastAsia="Times New Roman" w:hAnsi="Times New Roman" w:cs="Times New Roman"/>
          <w:sz w:val="24"/>
        </w:rPr>
        <w:t xml:space="preserve"> przekraczała wypracowany dochód</w:t>
      </w:r>
      <w:r w:rsidR="00DF72D4">
        <w:rPr>
          <w:rFonts w:ascii="Times New Roman" w:eastAsia="Times New Roman" w:hAnsi="Times New Roman" w:cs="Times New Roman"/>
          <w:sz w:val="24"/>
        </w:rPr>
        <w:t>. Tak było i w 2015 r.</w:t>
      </w:r>
      <w:r w:rsidR="00A54D45">
        <w:rPr>
          <w:rFonts w:ascii="Times New Roman" w:eastAsia="Times New Roman" w:hAnsi="Times New Roman" w:cs="Times New Roman"/>
          <w:sz w:val="24"/>
        </w:rPr>
        <w:t>;</w:t>
      </w:r>
      <w:r>
        <w:rPr>
          <w:rFonts w:ascii="Times New Roman" w:eastAsia="Times New Roman" w:hAnsi="Times New Roman" w:cs="Times New Roman"/>
          <w:sz w:val="24"/>
        </w:rPr>
        <w:t xml:space="preserve"> udział</w:t>
      </w:r>
      <w:r w:rsidR="007E7F33" w:rsidRPr="004C338C">
        <w:rPr>
          <w:rFonts w:ascii="Times New Roman" w:eastAsia="Times New Roman" w:hAnsi="Times New Roman" w:cs="Times New Roman"/>
          <w:sz w:val="24"/>
        </w:rPr>
        <w:t xml:space="preserve"> spółdzielni „prz</w:t>
      </w:r>
      <w:r>
        <w:rPr>
          <w:rFonts w:ascii="Times New Roman" w:eastAsia="Times New Roman" w:hAnsi="Times New Roman" w:cs="Times New Roman"/>
          <w:sz w:val="24"/>
        </w:rPr>
        <w:t>ejadających majątek” wzrósł z 16 do 23</w:t>
      </w:r>
      <w:r w:rsidR="00A21CCD">
        <w:rPr>
          <w:rFonts w:ascii="Times New Roman" w:eastAsia="Times New Roman" w:hAnsi="Times New Roman" w:cs="Times New Roman"/>
          <w:sz w:val="24"/>
        </w:rPr>
        <w:t>%</w:t>
      </w:r>
      <w:r w:rsidR="00CF1E3E" w:rsidRPr="004C338C">
        <w:rPr>
          <w:rFonts w:ascii="Times New Roman" w:eastAsia="Times New Roman" w:hAnsi="Times New Roman" w:cs="Times New Roman"/>
          <w:sz w:val="24"/>
        </w:rPr>
        <w:t xml:space="preserve">. </w:t>
      </w:r>
      <w:r>
        <w:rPr>
          <w:rFonts w:ascii="Times New Roman" w:eastAsia="Times New Roman" w:hAnsi="Times New Roman" w:cs="Times New Roman"/>
          <w:sz w:val="24"/>
        </w:rPr>
        <w:t>Obniżył się udział</w:t>
      </w:r>
      <w:r w:rsidR="00CF1E3E" w:rsidRPr="004C338C">
        <w:rPr>
          <w:rFonts w:ascii="Times New Roman" w:eastAsia="Times New Roman" w:hAnsi="Times New Roman" w:cs="Times New Roman"/>
          <w:sz w:val="24"/>
        </w:rPr>
        <w:t xml:space="preserve"> spółdzielni „egzystujących”, czyli rozdysponowujących na op</w:t>
      </w:r>
      <w:r w:rsidR="00B92FF7">
        <w:rPr>
          <w:rFonts w:ascii="Times New Roman" w:eastAsia="Times New Roman" w:hAnsi="Times New Roman" w:cs="Times New Roman"/>
          <w:sz w:val="24"/>
        </w:rPr>
        <w:t>łatę pracy cały wypracowany dochód</w:t>
      </w:r>
      <w:r w:rsidR="00A54D45">
        <w:rPr>
          <w:rFonts w:ascii="Times New Roman" w:eastAsia="Times New Roman" w:hAnsi="Times New Roman" w:cs="Times New Roman"/>
          <w:sz w:val="24"/>
        </w:rPr>
        <w:t>;</w:t>
      </w:r>
      <w:r w:rsidR="00CF1E3E" w:rsidRPr="004C338C">
        <w:rPr>
          <w:rFonts w:ascii="Times New Roman" w:eastAsia="Times New Roman" w:hAnsi="Times New Roman" w:cs="Times New Roman"/>
          <w:sz w:val="24"/>
        </w:rPr>
        <w:t xml:space="preserve"> w </w:t>
      </w:r>
      <w:r>
        <w:rPr>
          <w:rFonts w:ascii="Times New Roman" w:eastAsia="Times New Roman" w:hAnsi="Times New Roman" w:cs="Times New Roman"/>
          <w:sz w:val="24"/>
        </w:rPr>
        <w:t>ostatnim roku było ich 10</w:t>
      </w:r>
      <w:r w:rsidR="00A21CCD">
        <w:rPr>
          <w:rFonts w:ascii="Times New Roman" w:eastAsia="Times New Roman" w:hAnsi="Times New Roman" w:cs="Times New Roman"/>
          <w:sz w:val="24"/>
        </w:rPr>
        <w:t>%</w:t>
      </w:r>
      <w:r w:rsidR="00B92FF7">
        <w:rPr>
          <w:rFonts w:ascii="Times New Roman" w:eastAsia="Times New Roman" w:hAnsi="Times New Roman" w:cs="Times New Roman"/>
          <w:sz w:val="24"/>
        </w:rPr>
        <w:t>,</w:t>
      </w:r>
      <w:r>
        <w:rPr>
          <w:rFonts w:ascii="Times New Roman" w:eastAsia="Times New Roman" w:hAnsi="Times New Roman" w:cs="Times New Roman"/>
          <w:sz w:val="24"/>
        </w:rPr>
        <w:t xml:space="preserve"> wobec 13</w:t>
      </w:r>
      <w:r w:rsidR="00A21CCD">
        <w:rPr>
          <w:rFonts w:ascii="Times New Roman" w:eastAsia="Times New Roman" w:hAnsi="Times New Roman" w:cs="Times New Roman"/>
          <w:sz w:val="24"/>
        </w:rPr>
        <w:t>%</w:t>
      </w:r>
      <w:r w:rsidR="00CF1E3E" w:rsidRPr="004C338C">
        <w:rPr>
          <w:rFonts w:ascii="Times New Roman" w:eastAsia="Times New Roman" w:hAnsi="Times New Roman" w:cs="Times New Roman"/>
          <w:sz w:val="24"/>
        </w:rPr>
        <w:t xml:space="preserve"> w roku </w:t>
      </w:r>
      <w:r>
        <w:rPr>
          <w:rFonts w:ascii="Times New Roman" w:eastAsia="Times New Roman" w:hAnsi="Times New Roman" w:cs="Times New Roman"/>
          <w:sz w:val="24"/>
        </w:rPr>
        <w:t>poprzednim</w:t>
      </w:r>
      <w:r w:rsidR="00CF1E3E" w:rsidRPr="004C338C">
        <w:rPr>
          <w:rFonts w:ascii="Times New Roman" w:eastAsia="Times New Roman" w:hAnsi="Times New Roman" w:cs="Times New Roman"/>
          <w:sz w:val="24"/>
        </w:rPr>
        <w:t>. Mimo</w:t>
      </w:r>
      <w:r>
        <w:rPr>
          <w:rFonts w:ascii="Times New Roman" w:eastAsia="Times New Roman" w:hAnsi="Times New Roman" w:cs="Times New Roman"/>
          <w:sz w:val="24"/>
        </w:rPr>
        <w:t xml:space="preserve"> że w 2015 roku uwarunkowania produkcji rolniczej były wyjątkowo niekorzystne, w</w:t>
      </w:r>
      <w:r w:rsidR="00CF1E3E" w:rsidRPr="004C338C">
        <w:rPr>
          <w:rFonts w:ascii="Times New Roman" w:eastAsia="Times New Roman" w:hAnsi="Times New Roman" w:cs="Times New Roman"/>
          <w:sz w:val="24"/>
        </w:rPr>
        <w:t xml:space="preserve"> dalszym ciągu najbardziej liczn</w:t>
      </w:r>
      <w:r w:rsidR="001A635C">
        <w:rPr>
          <w:rFonts w:ascii="Times New Roman" w:eastAsia="Times New Roman" w:hAnsi="Times New Roman" w:cs="Times New Roman"/>
          <w:sz w:val="24"/>
        </w:rPr>
        <w:t>ą</w:t>
      </w:r>
      <w:r>
        <w:rPr>
          <w:rFonts w:ascii="Times New Roman" w:eastAsia="Times New Roman" w:hAnsi="Times New Roman" w:cs="Times New Roman"/>
          <w:sz w:val="24"/>
        </w:rPr>
        <w:t xml:space="preserve"> grupę </w:t>
      </w:r>
      <w:r w:rsidR="00E749FF">
        <w:rPr>
          <w:rFonts w:ascii="Times New Roman" w:eastAsia="Times New Roman" w:hAnsi="Times New Roman" w:cs="Times New Roman"/>
          <w:sz w:val="24"/>
        </w:rPr>
        <w:t xml:space="preserve">stanowiły </w:t>
      </w:r>
      <w:r w:rsidR="00E749FF" w:rsidRPr="004C338C">
        <w:rPr>
          <w:rFonts w:ascii="Times New Roman" w:eastAsia="Times New Roman" w:hAnsi="Times New Roman" w:cs="Times New Roman"/>
          <w:sz w:val="24"/>
        </w:rPr>
        <w:t>spółdzielnie</w:t>
      </w:r>
      <w:r w:rsidR="00CF1E3E" w:rsidRPr="004C338C">
        <w:rPr>
          <w:rFonts w:ascii="Times New Roman" w:eastAsia="Times New Roman" w:hAnsi="Times New Roman" w:cs="Times New Roman"/>
          <w:sz w:val="24"/>
        </w:rPr>
        <w:t xml:space="preserve"> „rozwojowe”</w:t>
      </w:r>
      <w:r w:rsidR="00A54D45">
        <w:rPr>
          <w:rFonts w:ascii="Times New Roman" w:eastAsia="Times New Roman" w:hAnsi="Times New Roman" w:cs="Times New Roman"/>
          <w:sz w:val="24"/>
        </w:rPr>
        <w:t>,</w:t>
      </w:r>
      <w:r w:rsidR="00CF1E3E" w:rsidRPr="004C338C">
        <w:rPr>
          <w:rFonts w:ascii="Times New Roman" w:eastAsia="Times New Roman" w:hAnsi="Times New Roman" w:cs="Times New Roman"/>
          <w:sz w:val="24"/>
        </w:rPr>
        <w:t xml:space="preserve"> realizujące odpowiedzialn</w:t>
      </w:r>
      <w:r w:rsidR="001A635C">
        <w:rPr>
          <w:rFonts w:ascii="Times New Roman" w:eastAsia="Times New Roman" w:hAnsi="Times New Roman" w:cs="Times New Roman"/>
          <w:sz w:val="24"/>
        </w:rPr>
        <w:t>ą</w:t>
      </w:r>
      <w:r w:rsidR="00CF1E3E" w:rsidRPr="004C338C">
        <w:rPr>
          <w:rFonts w:ascii="Times New Roman" w:eastAsia="Times New Roman" w:hAnsi="Times New Roman" w:cs="Times New Roman"/>
          <w:sz w:val="24"/>
        </w:rPr>
        <w:t xml:space="preserve"> politykę płacową</w:t>
      </w:r>
      <w:r w:rsidR="00B92FF7">
        <w:rPr>
          <w:rFonts w:ascii="Times New Roman" w:eastAsia="Times New Roman" w:hAnsi="Times New Roman" w:cs="Times New Roman"/>
          <w:sz w:val="24"/>
        </w:rPr>
        <w:t>;</w:t>
      </w:r>
      <w:r w:rsidR="00CF1E3E" w:rsidRPr="004C338C">
        <w:rPr>
          <w:rFonts w:ascii="Times New Roman" w:eastAsia="Times New Roman" w:hAnsi="Times New Roman" w:cs="Times New Roman"/>
          <w:sz w:val="24"/>
        </w:rPr>
        <w:t xml:space="preserve"> w ostatnim roku stanowiły </w:t>
      </w:r>
      <w:r w:rsidR="00B92FF7">
        <w:rPr>
          <w:rFonts w:ascii="Times New Roman" w:eastAsia="Times New Roman" w:hAnsi="Times New Roman" w:cs="Times New Roman"/>
          <w:sz w:val="24"/>
        </w:rPr>
        <w:t xml:space="preserve">one </w:t>
      </w:r>
      <w:r>
        <w:rPr>
          <w:rFonts w:ascii="Times New Roman" w:eastAsia="Times New Roman" w:hAnsi="Times New Roman" w:cs="Times New Roman"/>
          <w:sz w:val="24"/>
        </w:rPr>
        <w:t>77</w:t>
      </w:r>
      <w:r w:rsidR="00A21CCD">
        <w:rPr>
          <w:rFonts w:ascii="Times New Roman" w:eastAsia="Times New Roman" w:hAnsi="Times New Roman" w:cs="Times New Roman"/>
          <w:sz w:val="24"/>
        </w:rPr>
        <w:t>%</w:t>
      </w:r>
      <w:r>
        <w:rPr>
          <w:rFonts w:ascii="Times New Roman" w:eastAsia="Times New Roman" w:hAnsi="Times New Roman" w:cs="Times New Roman"/>
          <w:sz w:val="24"/>
        </w:rPr>
        <w:t xml:space="preserve"> zbiorowości, wobec 70</w:t>
      </w:r>
      <w:r w:rsidR="00A21CCD">
        <w:rPr>
          <w:rFonts w:ascii="Times New Roman" w:eastAsia="Times New Roman" w:hAnsi="Times New Roman" w:cs="Times New Roman"/>
          <w:sz w:val="24"/>
        </w:rPr>
        <w:t>%</w:t>
      </w:r>
      <w:r w:rsidR="00CF1E3E" w:rsidRPr="004C338C">
        <w:rPr>
          <w:rFonts w:ascii="Times New Roman" w:eastAsia="Times New Roman" w:hAnsi="Times New Roman" w:cs="Times New Roman"/>
          <w:sz w:val="24"/>
        </w:rPr>
        <w:t xml:space="preserve"> w roku ubiegłym.</w:t>
      </w:r>
    </w:p>
    <w:p w:rsidR="004B701A" w:rsidRDefault="004B701A" w:rsidP="005767E1">
      <w:pPr>
        <w:spacing w:before="20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Wyniki </w:t>
      </w:r>
      <w:r w:rsidRPr="003323C8">
        <w:rPr>
          <w:rFonts w:ascii="Times New Roman" w:hAnsi="Times New Roman" w:cs="Times New Roman"/>
          <w:b/>
          <w:sz w:val="24"/>
          <w:szCs w:val="24"/>
        </w:rPr>
        <w:t>a ukierunkowanie produkcyjne</w:t>
      </w:r>
    </w:p>
    <w:p w:rsidR="004B701A" w:rsidRDefault="00B134C8" w:rsidP="005767E1">
      <w:pPr>
        <w:spacing w:before="80" w:after="0" w:line="264"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Formuła </w:t>
      </w:r>
      <w:r w:rsidR="00E749FF">
        <w:rPr>
          <w:rFonts w:ascii="Times New Roman" w:hAnsi="Times New Roman" w:cs="Times New Roman"/>
          <w:sz w:val="24"/>
          <w:szCs w:val="24"/>
        </w:rPr>
        <w:t>rankingu umożliwia</w:t>
      </w:r>
      <w:r>
        <w:rPr>
          <w:rFonts w:ascii="Times New Roman" w:hAnsi="Times New Roman" w:cs="Times New Roman"/>
          <w:sz w:val="24"/>
          <w:szCs w:val="24"/>
        </w:rPr>
        <w:t xml:space="preserve"> grupowanie spółdzielni</w:t>
      </w:r>
      <w:r w:rsidR="004B701A" w:rsidRPr="00A93EDC">
        <w:rPr>
          <w:rFonts w:ascii="Times New Roman" w:hAnsi="Times New Roman" w:cs="Times New Roman"/>
          <w:sz w:val="24"/>
          <w:szCs w:val="24"/>
        </w:rPr>
        <w:t xml:space="preserve"> według dominujących kierunków produkcyjnych</w:t>
      </w:r>
      <w:r w:rsidR="004B701A">
        <w:rPr>
          <w:rFonts w:ascii="Times New Roman" w:hAnsi="Times New Roman" w:cs="Times New Roman"/>
          <w:sz w:val="24"/>
          <w:szCs w:val="24"/>
        </w:rPr>
        <w:t>,</w:t>
      </w:r>
      <w:r w:rsidR="004B701A" w:rsidRPr="00A93EDC">
        <w:rPr>
          <w:rFonts w:ascii="Times New Roman" w:hAnsi="Times New Roman" w:cs="Times New Roman"/>
          <w:sz w:val="24"/>
          <w:szCs w:val="24"/>
        </w:rPr>
        <w:t xml:space="preserve"> tzw. uk</w:t>
      </w:r>
      <w:r w:rsidR="004B701A">
        <w:rPr>
          <w:rFonts w:ascii="Times New Roman" w:hAnsi="Times New Roman" w:cs="Times New Roman"/>
          <w:sz w:val="24"/>
          <w:szCs w:val="24"/>
        </w:rPr>
        <w:t>ierunkowania</w:t>
      </w:r>
      <w:r w:rsidR="004B701A" w:rsidRPr="00A93EDC">
        <w:rPr>
          <w:rFonts w:ascii="Times New Roman" w:hAnsi="Times New Roman" w:cs="Times New Roman"/>
          <w:sz w:val="24"/>
          <w:szCs w:val="24"/>
        </w:rPr>
        <w:t xml:space="preserve"> p</w:t>
      </w:r>
      <w:r w:rsidR="004B701A">
        <w:rPr>
          <w:rFonts w:ascii="Times New Roman" w:hAnsi="Times New Roman" w:cs="Times New Roman"/>
          <w:sz w:val="24"/>
          <w:szCs w:val="24"/>
        </w:rPr>
        <w:t>rodukcyjnego</w:t>
      </w:r>
      <w:r w:rsidR="004B701A" w:rsidRPr="00A93EDC">
        <w:rPr>
          <w:rFonts w:ascii="Times New Roman" w:hAnsi="Times New Roman" w:cs="Times New Roman"/>
          <w:sz w:val="24"/>
          <w:szCs w:val="24"/>
        </w:rPr>
        <w:t xml:space="preserve"> (UP). W </w:t>
      </w:r>
      <w:r w:rsidR="004B701A">
        <w:rPr>
          <w:rFonts w:ascii="Times New Roman" w:hAnsi="Times New Roman" w:cs="Times New Roman"/>
          <w:sz w:val="24"/>
          <w:szCs w:val="24"/>
        </w:rPr>
        <w:t>rankingowej</w:t>
      </w:r>
      <w:r w:rsidR="004B701A" w:rsidRPr="00A93EDC">
        <w:rPr>
          <w:rFonts w:ascii="Times New Roman" w:hAnsi="Times New Roman" w:cs="Times New Roman"/>
          <w:sz w:val="24"/>
          <w:szCs w:val="24"/>
        </w:rPr>
        <w:t xml:space="preserve"> ankiecie każda spółdzielnia określiła sama</w:t>
      </w:r>
      <w:r w:rsidR="004B701A">
        <w:rPr>
          <w:rFonts w:ascii="Times New Roman" w:hAnsi="Times New Roman" w:cs="Times New Roman"/>
          <w:sz w:val="24"/>
          <w:szCs w:val="24"/>
        </w:rPr>
        <w:t>,</w:t>
      </w:r>
      <w:r w:rsidR="004B701A" w:rsidRPr="00A93EDC">
        <w:rPr>
          <w:rFonts w:ascii="Times New Roman" w:hAnsi="Times New Roman" w:cs="Times New Roman"/>
          <w:sz w:val="24"/>
          <w:szCs w:val="24"/>
        </w:rPr>
        <w:t xml:space="preserve"> na podstawie dominującej </w:t>
      </w:r>
      <w:r w:rsidR="000F78FE">
        <w:rPr>
          <w:rFonts w:ascii="Times New Roman" w:hAnsi="Times New Roman" w:cs="Times New Roman"/>
          <w:sz w:val="24"/>
          <w:szCs w:val="24"/>
        </w:rPr>
        <w:t>wartości</w:t>
      </w:r>
      <w:r w:rsidR="004B701A">
        <w:rPr>
          <w:rFonts w:ascii="Times New Roman" w:hAnsi="Times New Roman" w:cs="Times New Roman"/>
          <w:sz w:val="24"/>
          <w:szCs w:val="24"/>
        </w:rPr>
        <w:t xml:space="preserve"> </w:t>
      </w:r>
      <w:r w:rsidR="004B701A" w:rsidRPr="00A93EDC">
        <w:rPr>
          <w:rFonts w:ascii="Times New Roman" w:hAnsi="Times New Roman" w:cs="Times New Roman"/>
          <w:sz w:val="24"/>
          <w:szCs w:val="24"/>
        </w:rPr>
        <w:t>sprzedaży</w:t>
      </w:r>
      <w:r w:rsidR="004B701A">
        <w:rPr>
          <w:rFonts w:ascii="Times New Roman" w:hAnsi="Times New Roman" w:cs="Times New Roman"/>
          <w:sz w:val="24"/>
          <w:szCs w:val="24"/>
        </w:rPr>
        <w:t>, jaki</w:t>
      </w:r>
      <w:r w:rsidR="00CF1E3E">
        <w:rPr>
          <w:rFonts w:ascii="Times New Roman" w:hAnsi="Times New Roman" w:cs="Times New Roman"/>
          <w:sz w:val="24"/>
          <w:szCs w:val="24"/>
        </w:rPr>
        <w:t xml:space="preserve"> kierunek produkcji</w:t>
      </w:r>
      <w:r w:rsidR="004B701A">
        <w:rPr>
          <w:rFonts w:ascii="Times New Roman" w:hAnsi="Times New Roman" w:cs="Times New Roman"/>
          <w:sz w:val="24"/>
          <w:szCs w:val="24"/>
        </w:rPr>
        <w:t xml:space="preserve"> w danym roku w </w:t>
      </w:r>
      <w:r w:rsidR="00AD5647">
        <w:rPr>
          <w:rFonts w:ascii="Times New Roman" w:hAnsi="Times New Roman" w:cs="Times New Roman"/>
          <w:sz w:val="24"/>
          <w:szCs w:val="24"/>
        </w:rPr>
        <w:t>niej przeważał</w:t>
      </w:r>
      <w:r w:rsidR="004B701A">
        <w:rPr>
          <w:rFonts w:ascii="Times New Roman" w:hAnsi="Times New Roman" w:cs="Times New Roman"/>
          <w:sz w:val="24"/>
          <w:szCs w:val="24"/>
        </w:rPr>
        <w:t xml:space="preserve">. </w:t>
      </w:r>
      <w:r w:rsidR="000F78FE">
        <w:rPr>
          <w:rFonts w:ascii="Times New Roman" w:hAnsi="Times New Roman" w:cs="Times New Roman"/>
          <w:sz w:val="24"/>
          <w:szCs w:val="24"/>
        </w:rPr>
        <w:t>Tradycyjnie już</w:t>
      </w:r>
      <w:r w:rsidR="004B701A" w:rsidRPr="00A93EDC">
        <w:rPr>
          <w:rFonts w:ascii="Times New Roman" w:hAnsi="Times New Roman" w:cs="Times New Roman"/>
          <w:sz w:val="24"/>
          <w:szCs w:val="24"/>
        </w:rPr>
        <w:t>, analizie poddano trzy główne</w:t>
      </w:r>
      <w:r w:rsidR="005A0D5D">
        <w:rPr>
          <w:rFonts w:ascii="Times New Roman" w:hAnsi="Times New Roman" w:cs="Times New Roman"/>
          <w:sz w:val="24"/>
          <w:szCs w:val="24"/>
        </w:rPr>
        <w:t xml:space="preserve"> ukierunkowania</w:t>
      </w:r>
      <w:r w:rsidR="004B701A">
        <w:rPr>
          <w:rFonts w:ascii="Times New Roman" w:hAnsi="Times New Roman" w:cs="Times New Roman"/>
          <w:sz w:val="24"/>
          <w:szCs w:val="24"/>
        </w:rPr>
        <w:t>,</w:t>
      </w:r>
      <w:r w:rsidR="004B701A" w:rsidRPr="00A93EDC">
        <w:rPr>
          <w:rFonts w:ascii="Times New Roman" w:hAnsi="Times New Roman" w:cs="Times New Roman"/>
          <w:sz w:val="24"/>
          <w:szCs w:val="24"/>
        </w:rPr>
        <w:t xml:space="preserve"> wyróżniając </w:t>
      </w:r>
      <w:r w:rsidR="004B701A">
        <w:rPr>
          <w:rFonts w:ascii="Times New Roman" w:hAnsi="Times New Roman" w:cs="Times New Roman"/>
          <w:sz w:val="24"/>
          <w:szCs w:val="24"/>
        </w:rPr>
        <w:t xml:space="preserve">grupę spółdzielni </w:t>
      </w:r>
      <w:r w:rsidR="004B701A" w:rsidRPr="00A93EDC">
        <w:rPr>
          <w:rFonts w:ascii="Times New Roman" w:hAnsi="Times New Roman" w:cs="Times New Roman"/>
          <w:sz w:val="24"/>
          <w:szCs w:val="24"/>
        </w:rPr>
        <w:t>roślinny</w:t>
      </w:r>
      <w:r w:rsidR="004B701A">
        <w:rPr>
          <w:rFonts w:ascii="Times New Roman" w:hAnsi="Times New Roman" w:cs="Times New Roman"/>
          <w:sz w:val="24"/>
          <w:szCs w:val="24"/>
        </w:rPr>
        <w:t>ch</w:t>
      </w:r>
      <w:r w:rsidR="004B701A" w:rsidRPr="00A93EDC">
        <w:rPr>
          <w:rFonts w:ascii="Times New Roman" w:hAnsi="Times New Roman" w:cs="Times New Roman"/>
          <w:sz w:val="24"/>
          <w:szCs w:val="24"/>
        </w:rPr>
        <w:t xml:space="preserve"> (uprawy polowe, warzywnictwo, ogrodnictwo), zwierzęcy</w:t>
      </w:r>
      <w:r w:rsidR="004B701A">
        <w:rPr>
          <w:rFonts w:ascii="Times New Roman" w:hAnsi="Times New Roman" w:cs="Times New Roman"/>
          <w:sz w:val="24"/>
          <w:szCs w:val="24"/>
        </w:rPr>
        <w:t>ch</w:t>
      </w:r>
      <w:r w:rsidR="004B701A" w:rsidRPr="00A93EDC">
        <w:rPr>
          <w:rFonts w:ascii="Times New Roman" w:hAnsi="Times New Roman" w:cs="Times New Roman"/>
          <w:sz w:val="24"/>
          <w:szCs w:val="24"/>
        </w:rPr>
        <w:t xml:space="preserve"> (chów i hodowla zwierząt) oraz wielostronny</w:t>
      </w:r>
      <w:r w:rsidR="004B701A">
        <w:rPr>
          <w:rFonts w:ascii="Times New Roman" w:hAnsi="Times New Roman" w:cs="Times New Roman"/>
          <w:sz w:val="24"/>
          <w:szCs w:val="24"/>
        </w:rPr>
        <w:t>ch</w:t>
      </w:r>
      <w:r w:rsidR="004B701A" w:rsidRPr="00A93EDC">
        <w:rPr>
          <w:rFonts w:ascii="Times New Roman" w:hAnsi="Times New Roman" w:cs="Times New Roman"/>
          <w:sz w:val="24"/>
          <w:szCs w:val="24"/>
        </w:rPr>
        <w:t xml:space="preserve"> (uprawy polowe połączone z chowem zwierząt)</w:t>
      </w:r>
      <w:r w:rsidR="005A4CD9">
        <w:rPr>
          <w:rFonts w:ascii="Times New Roman" w:hAnsi="Times New Roman" w:cs="Times New Roman"/>
          <w:sz w:val="24"/>
          <w:szCs w:val="24"/>
        </w:rPr>
        <w:t xml:space="preserve"> (t</w:t>
      </w:r>
      <w:r w:rsidR="00215C75">
        <w:rPr>
          <w:rFonts w:ascii="Times New Roman" w:hAnsi="Times New Roman" w:cs="Times New Roman"/>
          <w:sz w:val="24"/>
          <w:szCs w:val="24"/>
        </w:rPr>
        <w:t>abela 4)</w:t>
      </w:r>
      <w:r w:rsidR="004B701A" w:rsidRPr="00A93EDC">
        <w:rPr>
          <w:rFonts w:ascii="Times New Roman" w:hAnsi="Times New Roman" w:cs="Times New Roman"/>
          <w:sz w:val="24"/>
          <w:szCs w:val="24"/>
        </w:rPr>
        <w:t xml:space="preserve">. </w:t>
      </w:r>
      <w:r w:rsidR="00AD4FEF">
        <w:rPr>
          <w:rFonts w:ascii="Times New Roman" w:hAnsi="Times New Roman" w:cs="Times New Roman"/>
          <w:sz w:val="24"/>
          <w:szCs w:val="24"/>
        </w:rPr>
        <w:t>Ostatecznie</w:t>
      </w:r>
      <w:r w:rsidR="004B701A">
        <w:rPr>
          <w:rFonts w:ascii="Times New Roman" w:hAnsi="Times New Roman" w:cs="Times New Roman"/>
          <w:sz w:val="24"/>
          <w:szCs w:val="24"/>
        </w:rPr>
        <w:t xml:space="preserve"> zbiorowość do analiz stanowił</w:t>
      </w:r>
      <w:r w:rsidR="00AD4FEF">
        <w:rPr>
          <w:rFonts w:ascii="Times New Roman" w:hAnsi="Times New Roman" w:cs="Times New Roman"/>
          <w:sz w:val="24"/>
          <w:szCs w:val="24"/>
        </w:rPr>
        <w:t>o</w:t>
      </w:r>
      <w:r w:rsidR="004B701A">
        <w:rPr>
          <w:rFonts w:ascii="Times New Roman" w:hAnsi="Times New Roman" w:cs="Times New Roman"/>
          <w:sz w:val="24"/>
          <w:szCs w:val="24"/>
        </w:rPr>
        <w:t xml:space="preserve"> </w:t>
      </w:r>
      <w:r w:rsidR="005A0D5D">
        <w:rPr>
          <w:rFonts w:ascii="Times New Roman" w:hAnsi="Times New Roman" w:cs="Times New Roman"/>
          <w:sz w:val="24"/>
          <w:szCs w:val="24"/>
        </w:rPr>
        <w:t>86</w:t>
      </w:r>
      <w:r w:rsidR="00AD4FEF">
        <w:rPr>
          <w:rFonts w:ascii="Times New Roman" w:hAnsi="Times New Roman" w:cs="Times New Roman"/>
          <w:sz w:val="24"/>
          <w:szCs w:val="24"/>
        </w:rPr>
        <w:t xml:space="preserve"> </w:t>
      </w:r>
      <w:r w:rsidR="005A0D5D">
        <w:rPr>
          <w:rFonts w:ascii="Times New Roman" w:hAnsi="Times New Roman" w:cs="Times New Roman"/>
          <w:sz w:val="24"/>
          <w:szCs w:val="24"/>
        </w:rPr>
        <w:t>spółdzielni, które w latach 2013-2015</w:t>
      </w:r>
      <w:r w:rsidR="004B701A" w:rsidRPr="00A93EDC">
        <w:rPr>
          <w:rFonts w:ascii="Times New Roman" w:hAnsi="Times New Roman" w:cs="Times New Roman"/>
          <w:sz w:val="24"/>
          <w:szCs w:val="24"/>
        </w:rPr>
        <w:t xml:space="preserve"> </w:t>
      </w:r>
      <w:r w:rsidR="004B701A">
        <w:rPr>
          <w:rFonts w:ascii="Times New Roman" w:hAnsi="Times New Roman" w:cs="Times New Roman"/>
          <w:sz w:val="24"/>
          <w:szCs w:val="24"/>
        </w:rPr>
        <w:t>b</w:t>
      </w:r>
      <w:r w:rsidR="005A0D5D">
        <w:rPr>
          <w:rFonts w:ascii="Times New Roman" w:hAnsi="Times New Roman" w:cs="Times New Roman"/>
          <w:sz w:val="24"/>
          <w:szCs w:val="24"/>
        </w:rPr>
        <w:t>rały udział w rankingu, w tym 44</w:t>
      </w:r>
      <w:r w:rsidR="00127F84">
        <w:rPr>
          <w:rFonts w:ascii="Times New Roman" w:hAnsi="Times New Roman" w:cs="Times New Roman"/>
          <w:sz w:val="24"/>
          <w:szCs w:val="24"/>
        </w:rPr>
        <w:t xml:space="preserve"> o ukierunkowaniu roślinnym, 1</w:t>
      </w:r>
      <w:r w:rsidR="005A0D5D">
        <w:rPr>
          <w:rFonts w:ascii="Times New Roman" w:hAnsi="Times New Roman" w:cs="Times New Roman"/>
          <w:sz w:val="24"/>
          <w:szCs w:val="24"/>
        </w:rPr>
        <w:t>5</w:t>
      </w:r>
      <w:r w:rsidR="004B701A" w:rsidRPr="00A93EDC">
        <w:rPr>
          <w:rFonts w:ascii="Times New Roman" w:hAnsi="Times New Roman" w:cs="Times New Roman"/>
          <w:sz w:val="24"/>
          <w:szCs w:val="24"/>
        </w:rPr>
        <w:t xml:space="preserve"> </w:t>
      </w:r>
      <w:r w:rsidR="006B66D2">
        <w:rPr>
          <w:rFonts w:ascii="Times New Roman" w:hAnsi="Times New Roman" w:cs="Times New Roman"/>
          <w:sz w:val="24"/>
          <w:szCs w:val="24"/>
        </w:rPr>
        <w:t xml:space="preserve">– </w:t>
      </w:r>
      <w:r w:rsidR="004B701A">
        <w:rPr>
          <w:rFonts w:ascii="Times New Roman" w:hAnsi="Times New Roman" w:cs="Times New Roman"/>
          <w:sz w:val="24"/>
          <w:szCs w:val="24"/>
        </w:rPr>
        <w:t>o ukierunkowaniu zwierzęcym i 2</w:t>
      </w:r>
      <w:r w:rsidR="005A0D5D">
        <w:rPr>
          <w:rFonts w:ascii="Times New Roman" w:hAnsi="Times New Roman" w:cs="Times New Roman"/>
          <w:sz w:val="24"/>
          <w:szCs w:val="24"/>
        </w:rPr>
        <w:t>7</w:t>
      </w:r>
      <w:r w:rsidR="004B701A" w:rsidRPr="00A93EDC">
        <w:rPr>
          <w:rFonts w:ascii="Times New Roman" w:hAnsi="Times New Roman" w:cs="Times New Roman"/>
          <w:sz w:val="24"/>
          <w:szCs w:val="24"/>
        </w:rPr>
        <w:t xml:space="preserve"> </w:t>
      </w:r>
      <w:r w:rsidR="006B66D2">
        <w:rPr>
          <w:rFonts w:ascii="Times New Roman" w:hAnsi="Times New Roman" w:cs="Times New Roman"/>
          <w:sz w:val="24"/>
          <w:szCs w:val="24"/>
        </w:rPr>
        <w:t xml:space="preserve">– </w:t>
      </w:r>
      <w:r w:rsidR="004B701A" w:rsidRPr="00A93EDC">
        <w:rPr>
          <w:rFonts w:ascii="Times New Roman" w:hAnsi="Times New Roman" w:cs="Times New Roman"/>
          <w:sz w:val="24"/>
          <w:szCs w:val="24"/>
        </w:rPr>
        <w:t>prowadzących działalnoś</w:t>
      </w:r>
      <w:r w:rsidR="002C55F6">
        <w:rPr>
          <w:rFonts w:ascii="Times New Roman" w:hAnsi="Times New Roman" w:cs="Times New Roman"/>
          <w:sz w:val="24"/>
          <w:szCs w:val="24"/>
        </w:rPr>
        <w:t>ć</w:t>
      </w:r>
      <w:r w:rsidR="004B701A" w:rsidRPr="00A93EDC">
        <w:rPr>
          <w:rFonts w:ascii="Times New Roman" w:hAnsi="Times New Roman" w:cs="Times New Roman"/>
          <w:sz w:val="24"/>
          <w:szCs w:val="24"/>
        </w:rPr>
        <w:t xml:space="preserve"> wielostronną</w:t>
      </w:r>
      <w:r w:rsidR="004B701A">
        <w:rPr>
          <w:rFonts w:ascii="Times New Roman" w:hAnsi="Times New Roman" w:cs="Times New Roman"/>
          <w:sz w:val="24"/>
          <w:szCs w:val="24"/>
        </w:rPr>
        <w:t>.</w:t>
      </w:r>
    </w:p>
    <w:p w:rsidR="00AD4FEF" w:rsidRDefault="00E417C9" w:rsidP="005767E1">
      <w:pPr>
        <w:spacing w:before="80" w:after="0" w:line="264"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Spółdzielnie o ukierunkowaniu </w:t>
      </w:r>
      <w:r w:rsidR="00E80D3D">
        <w:rPr>
          <w:rFonts w:ascii="Times New Roman" w:hAnsi="Times New Roman" w:cs="Times New Roman"/>
          <w:sz w:val="24"/>
          <w:szCs w:val="24"/>
        </w:rPr>
        <w:t>zwierzęcym</w:t>
      </w:r>
      <w:r w:rsidR="00215C75">
        <w:rPr>
          <w:rFonts w:ascii="Times New Roman" w:hAnsi="Times New Roman" w:cs="Times New Roman"/>
          <w:sz w:val="24"/>
          <w:szCs w:val="24"/>
        </w:rPr>
        <w:t xml:space="preserve"> również i</w:t>
      </w:r>
      <w:r w:rsidR="000F78FE">
        <w:rPr>
          <w:rFonts w:ascii="Times New Roman" w:hAnsi="Times New Roman" w:cs="Times New Roman"/>
          <w:sz w:val="24"/>
          <w:szCs w:val="24"/>
        </w:rPr>
        <w:t xml:space="preserve"> w ostatnim</w:t>
      </w:r>
      <w:r w:rsidR="00D45038">
        <w:rPr>
          <w:rFonts w:ascii="Times New Roman" w:hAnsi="Times New Roman" w:cs="Times New Roman"/>
          <w:sz w:val="24"/>
          <w:szCs w:val="24"/>
        </w:rPr>
        <w:t xml:space="preserve"> trzyleciu</w:t>
      </w:r>
      <w:r w:rsidR="00AD4FEF">
        <w:rPr>
          <w:rFonts w:ascii="Times New Roman" w:hAnsi="Times New Roman" w:cs="Times New Roman"/>
          <w:sz w:val="24"/>
          <w:szCs w:val="24"/>
        </w:rPr>
        <w:t xml:space="preserve"> był</w:t>
      </w:r>
      <w:r w:rsidR="00727E5A">
        <w:rPr>
          <w:rFonts w:ascii="Times New Roman" w:hAnsi="Times New Roman" w:cs="Times New Roman"/>
          <w:sz w:val="24"/>
          <w:szCs w:val="24"/>
        </w:rPr>
        <w:t>y</w:t>
      </w:r>
      <w:r w:rsidR="00AD4FEF">
        <w:rPr>
          <w:rFonts w:ascii="Times New Roman" w:hAnsi="Times New Roman" w:cs="Times New Roman"/>
          <w:sz w:val="24"/>
          <w:szCs w:val="24"/>
        </w:rPr>
        <w:t xml:space="preserve"> </w:t>
      </w:r>
      <w:r w:rsidR="00215C75">
        <w:rPr>
          <w:rFonts w:ascii="Times New Roman" w:hAnsi="Times New Roman" w:cs="Times New Roman"/>
          <w:sz w:val="24"/>
          <w:szCs w:val="24"/>
        </w:rPr>
        <w:t xml:space="preserve">w </w:t>
      </w:r>
      <w:r w:rsidR="00AD5647">
        <w:rPr>
          <w:rFonts w:ascii="Times New Roman" w:hAnsi="Times New Roman" w:cs="Times New Roman"/>
          <w:sz w:val="24"/>
          <w:szCs w:val="24"/>
        </w:rPr>
        <w:t xml:space="preserve">najsłabszej </w:t>
      </w:r>
      <w:r w:rsidR="00215C75">
        <w:rPr>
          <w:rFonts w:ascii="Times New Roman" w:hAnsi="Times New Roman" w:cs="Times New Roman"/>
          <w:sz w:val="24"/>
          <w:szCs w:val="24"/>
        </w:rPr>
        <w:t>sytuacji</w:t>
      </w:r>
      <w:r w:rsidR="00AD4FEF">
        <w:rPr>
          <w:rFonts w:ascii="Times New Roman" w:hAnsi="Times New Roman" w:cs="Times New Roman"/>
          <w:sz w:val="24"/>
          <w:szCs w:val="24"/>
        </w:rPr>
        <w:t xml:space="preserve"> </w:t>
      </w:r>
      <w:r w:rsidR="00215C75">
        <w:rPr>
          <w:rFonts w:ascii="Times New Roman" w:hAnsi="Times New Roman" w:cs="Times New Roman"/>
          <w:sz w:val="24"/>
          <w:szCs w:val="24"/>
        </w:rPr>
        <w:t>ekonomicznej</w:t>
      </w:r>
      <w:r w:rsidR="00A54D45">
        <w:rPr>
          <w:rFonts w:ascii="Times New Roman" w:hAnsi="Times New Roman" w:cs="Times New Roman"/>
          <w:sz w:val="24"/>
          <w:szCs w:val="24"/>
        </w:rPr>
        <w:t>. Od</w:t>
      </w:r>
      <w:r w:rsidR="00215C75">
        <w:rPr>
          <w:rFonts w:ascii="Times New Roman" w:hAnsi="Times New Roman" w:cs="Times New Roman"/>
          <w:sz w:val="24"/>
          <w:szCs w:val="24"/>
        </w:rPr>
        <w:t xml:space="preserve"> pięciu</w:t>
      </w:r>
      <w:r w:rsidR="00736D3F">
        <w:rPr>
          <w:rFonts w:ascii="Times New Roman" w:hAnsi="Times New Roman" w:cs="Times New Roman"/>
          <w:sz w:val="24"/>
          <w:szCs w:val="24"/>
        </w:rPr>
        <w:t xml:space="preserve"> lat</w:t>
      </w:r>
      <w:r w:rsidR="00C0506F">
        <w:rPr>
          <w:rFonts w:ascii="Times New Roman" w:hAnsi="Times New Roman" w:cs="Times New Roman"/>
          <w:sz w:val="24"/>
          <w:szCs w:val="24"/>
        </w:rPr>
        <w:t xml:space="preserve"> </w:t>
      </w:r>
      <w:r w:rsidR="00215C75">
        <w:rPr>
          <w:rFonts w:ascii="Times New Roman" w:hAnsi="Times New Roman" w:cs="Times New Roman"/>
          <w:sz w:val="24"/>
          <w:szCs w:val="24"/>
        </w:rPr>
        <w:t>grupa ta</w:t>
      </w:r>
      <w:r w:rsidR="00736D3F">
        <w:rPr>
          <w:rFonts w:ascii="Times New Roman" w:hAnsi="Times New Roman" w:cs="Times New Roman"/>
          <w:sz w:val="24"/>
          <w:szCs w:val="24"/>
        </w:rPr>
        <w:t xml:space="preserve"> wskazywan</w:t>
      </w:r>
      <w:r w:rsidR="00215C75">
        <w:rPr>
          <w:rFonts w:ascii="Times New Roman" w:hAnsi="Times New Roman" w:cs="Times New Roman"/>
          <w:sz w:val="24"/>
          <w:szCs w:val="24"/>
        </w:rPr>
        <w:t>a</w:t>
      </w:r>
      <w:r w:rsidR="00736D3F">
        <w:rPr>
          <w:rFonts w:ascii="Times New Roman" w:hAnsi="Times New Roman" w:cs="Times New Roman"/>
          <w:sz w:val="24"/>
          <w:szCs w:val="24"/>
        </w:rPr>
        <w:t xml:space="preserve"> </w:t>
      </w:r>
      <w:r w:rsidR="00215C75">
        <w:rPr>
          <w:rFonts w:ascii="Times New Roman" w:hAnsi="Times New Roman" w:cs="Times New Roman"/>
          <w:sz w:val="24"/>
          <w:szCs w:val="24"/>
        </w:rPr>
        <w:t>jest</w:t>
      </w:r>
      <w:r w:rsidR="00736D3F">
        <w:rPr>
          <w:rFonts w:ascii="Times New Roman" w:hAnsi="Times New Roman" w:cs="Times New Roman"/>
          <w:sz w:val="24"/>
          <w:szCs w:val="24"/>
        </w:rPr>
        <w:t xml:space="preserve"> jako najmniej dochodow</w:t>
      </w:r>
      <w:r w:rsidR="00215C75">
        <w:rPr>
          <w:rFonts w:ascii="Times New Roman" w:hAnsi="Times New Roman" w:cs="Times New Roman"/>
          <w:sz w:val="24"/>
          <w:szCs w:val="24"/>
        </w:rPr>
        <w:t>a</w:t>
      </w:r>
      <w:r w:rsidR="00AD5647">
        <w:rPr>
          <w:rFonts w:ascii="Times New Roman" w:hAnsi="Times New Roman" w:cs="Times New Roman"/>
          <w:sz w:val="24"/>
          <w:szCs w:val="24"/>
        </w:rPr>
        <w:t>.</w:t>
      </w:r>
      <w:r w:rsidR="00B54BAD">
        <w:rPr>
          <w:rFonts w:ascii="Times New Roman" w:hAnsi="Times New Roman" w:cs="Times New Roman"/>
          <w:sz w:val="24"/>
          <w:szCs w:val="24"/>
        </w:rPr>
        <w:t xml:space="preserve"> </w:t>
      </w:r>
      <w:r w:rsidR="00AD5647">
        <w:rPr>
          <w:rFonts w:ascii="Times New Roman" w:hAnsi="Times New Roman" w:cs="Times New Roman"/>
          <w:sz w:val="24"/>
          <w:szCs w:val="24"/>
        </w:rPr>
        <w:t>D</w:t>
      </w:r>
      <w:r w:rsidR="00B54BAD">
        <w:rPr>
          <w:rFonts w:ascii="Times New Roman" w:hAnsi="Times New Roman" w:cs="Times New Roman"/>
          <w:sz w:val="24"/>
          <w:szCs w:val="24"/>
        </w:rPr>
        <w:t xml:space="preserve">zieje się tak głównie za sprawą </w:t>
      </w:r>
      <w:r w:rsidR="00215C75">
        <w:rPr>
          <w:rFonts w:ascii="Times New Roman" w:hAnsi="Times New Roman" w:cs="Times New Roman"/>
          <w:sz w:val="24"/>
          <w:szCs w:val="24"/>
        </w:rPr>
        <w:t>kryzysu na</w:t>
      </w:r>
      <w:r w:rsidR="00B54BAD">
        <w:rPr>
          <w:rFonts w:ascii="Times New Roman" w:hAnsi="Times New Roman" w:cs="Times New Roman"/>
          <w:sz w:val="24"/>
          <w:szCs w:val="24"/>
        </w:rPr>
        <w:t xml:space="preserve"> rynku trzo</w:t>
      </w:r>
      <w:r w:rsidR="004047EC">
        <w:rPr>
          <w:rFonts w:ascii="Times New Roman" w:hAnsi="Times New Roman" w:cs="Times New Roman"/>
          <w:sz w:val="24"/>
          <w:szCs w:val="24"/>
        </w:rPr>
        <w:t>dy chlewnej.</w:t>
      </w:r>
      <w:r w:rsidR="008058EA">
        <w:rPr>
          <w:rFonts w:ascii="Times New Roman" w:hAnsi="Times New Roman" w:cs="Times New Roman"/>
          <w:sz w:val="24"/>
          <w:szCs w:val="24"/>
        </w:rPr>
        <w:t xml:space="preserve"> </w:t>
      </w:r>
      <w:r w:rsidR="00215C75">
        <w:rPr>
          <w:rFonts w:ascii="Times New Roman" w:hAnsi="Times New Roman" w:cs="Times New Roman"/>
          <w:sz w:val="24"/>
          <w:szCs w:val="24"/>
        </w:rPr>
        <w:t>Niskie ceny trzody</w:t>
      </w:r>
      <w:r w:rsidR="008058EA">
        <w:rPr>
          <w:rFonts w:ascii="Times New Roman" w:hAnsi="Times New Roman" w:cs="Times New Roman"/>
          <w:sz w:val="24"/>
          <w:szCs w:val="24"/>
        </w:rPr>
        <w:t>,</w:t>
      </w:r>
      <w:r w:rsidR="00215C75">
        <w:rPr>
          <w:rFonts w:ascii="Times New Roman" w:hAnsi="Times New Roman" w:cs="Times New Roman"/>
          <w:sz w:val="24"/>
          <w:szCs w:val="24"/>
        </w:rPr>
        <w:t xml:space="preserve"> </w:t>
      </w:r>
      <w:r w:rsidR="005A4CD9">
        <w:rPr>
          <w:rFonts w:ascii="Times New Roman" w:hAnsi="Times New Roman" w:cs="Times New Roman"/>
          <w:sz w:val="24"/>
          <w:szCs w:val="24"/>
        </w:rPr>
        <w:t>przy nieznacznych podwyżkach</w:t>
      </w:r>
      <w:r w:rsidR="00215C75">
        <w:rPr>
          <w:rFonts w:ascii="Times New Roman" w:hAnsi="Times New Roman" w:cs="Times New Roman"/>
          <w:sz w:val="24"/>
          <w:szCs w:val="24"/>
        </w:rPr>
        <w:t xml:space="preserve"> cen pasz</w:t>
      </w:r>
      <w:r w:rsidR="000F78FE">
        <w:rPr>
          <w:rFonts w:ascii="Times New Roman" w:hAnsi="Times New Roman" w:cs="Times New Roman"/>
          <w:sz w:val="24"/>
          <w:szCs w:val="24"/>
        </w:rPr>
        <w:t>,</w:t>
      </w:r>
      <w:r w:rsidR="00215C75">
        <w:rPr>
          <w:rFonts w:ascii="Times New Roman" w:hAnsi="Times New Roman" w:cs="Times New Roman"/>
          <w:sz w:val="24"/>
          <w:szCs w:val="24"/>
        </w:rPr>
        <w:t xml:space="preserve"> nie </w:t>
      </w:r>
      <w:r w:rsidR="008058EA">
        <w:rPr>
          <w:rFonts w:ascii="Times New Roman" w:hAnsi="Times New Roman" w:cs="Times New Roman"/>
          <w:sz w:val="24"/>
          <w:szCs w:val="24"/>
        </w:rPr>
        <w:t xml:space="preserve">umożliwiły spółdzielniom powiększenia dochodowości </w:t>
      </w:r>
      <w:r w:rsidR="005A4CD9">
        <w:rPr>
          <w:rFonts w:ascii="Times New Roman" w:hAnsi="Times New Roman" w:cs="Times New Roman"/>
          <w:sz w:val="24"/>
          <w:szCs w:val="24"/>
        </w:rPr>
        <w:t xml:space="preserve">z </w:t>
      </w:r>
      <w:r w:rsidR="008058EA">
        <w:rPr>
          <w:rFonts w:ascii="Times New Roman" w:hAnsi="Times New Roman" w:cs="Times New Roman"/>
          <w:sz w:val="24"/>
          <w:szCs w:val="24"/>
        </w:rPr>
        <w:t>tej dzi</w:t>
      </w:r>
      <w:r w:rsidR="005A4CD9">
        <w:rPr>
          <w:rFonts w:ascii="Times New Roman" w:hAnsi="Times New Roman" w:cs="Times New Roman"/>
          <w:sz w:val="24"/>
          <w:szCs w:val="24"/>
        </w:rPr>
        <w:t>ałal</w:t>
      </w:r>
      <w:r w:rsidR="008058EA">
        <w:rPr>
          <w:rFonts w:ascii="Times New Roman" w:hAnsi="Times New Roman" w:cs="Times New Roman"/>
          <w:sz w:val="24"/>
          <w:szCs w:val="24"/>
        </w:rPr>
        <w:t>ności.</w:t>
      </w:r>
      <w:r w:rsidR="005A4CD9">
        <w:rPr>
          <w:rFonts w:ascii="Times New Roman" w:hAnsi="Times New Roman" w:cs="Times New Roman"/>
          <w:sz w:val="24"/>
          <w:szCs w:val="24"/>
        </w:rPr>
        <w:t xml:space="preserve"> </w:t>
      </w:r>
      <w:r w:rsidR="000F78FE">
        <w:rPr>
          <w:rFonts w:ascii="Times New Roman" w:hAnsi="Times New Roman" w:cs="Times New Roman"/>
          <w:sz w:val="24"/>
          <w:szCs w:val="24"/>
        </w:rPr>
        <w:t>Warto w tym miejscu przy</w:t>
      </w:r>
      <w:r w:rsidR="00215C75">
        <w:rPr>
          <w:rFonts w:ascii="Times New Roman" w:hAnsi="Times New Roman" w:cs="Times New Roman"/>
          <w:sz w:val="24"/>
          <w:szCs w:val="24"/>
        </w:rPr>
        <w:t>pomnieć</w:t>
      </w:r>
      <w:r w:rsidR="000F78FE">
        <w:rPr>
          <w:rFonts w:ascii="Times New Roman" w:hAnsi="Times New Roman" w:cs="Times New Roman"/>
          <w:sz w:val="24"/>
          <w:szCs w:val="24"/>
        </w:rPr>
        <w:t>,</w:t>
      </w:r>
      <w:r w:rsidR="00215C75">
        <w:rPr>
          <w:rFonts w:ascii="Times New Roman" w:hAnsi="Times New Roman" w:cs="Times New Roman"/>
          <w:sz w:val="24"/>
          <w:szCs w:val="24"/>
        </w:rPr>
        <w:t xml:space="preserve"> że od 2015</w:t>
      </w:r>
      <w:r w:rsidR="000F78FE">
        <w:rPr>
          <w:rFonts w:ascii="Times New Roman" w:hAnsi="Times New Roman" w:cs="Times New Roman"/>
          <w:sz w:val="24"/>
          <w:szCs w:val="24"/>
        </w:rPr>
        <w:t xml:space="preserve"> r.</w:t>
      </w:r>
      <w:r w:rsidR="00215C75">
        <w:rPr>
          <w:rFonts w:ascii="Times New Roman" w:hAnsi="Times New Roman" w:cs="Times New Roman"/>
          <w:sz w:val="24"/>
          <w:szCs w:val="24"/>
        </w:rPr>
        <w:t xml:space="preserve"> dopłaty do produkcji zwierzęcej otrzymują tylko gospodarstwa utrzymujące przeżuwacze, te utrzymujące trzodę i drób, jak w przypadku RSP</w:t>
      </w:r>
      <w:r w:rsidR="00A54D45">
        <w:rPr>
          <w:rFonts w:ascii="Times New Roman" w:hAnsi="Times New Roman" w:cs="Times New Roman"/>
          <w:sz w:val="24"/>
          <w:szCs w:val="24"/>
        </w:rPr>
        <w:t>,</w:t>
      </w:r>
      <w:r w:rsidR="00215C75">
        <w:rPr>
          <w:rFonts w:ascii="Times New Roman" w:hAnsi="Times New Roman" w:cs="Times New Roman"/>
          <w:sz w:val="24"/>
          <w:szCs w:val="24"/>
        </w:rPr>
        <w:t xml:space="preserve"> są tego przywileju pozbawione. </w:t>
      </w:r>
    </w:p>
    <w:p w:rsidR="005B1C39" w:rsidRDefault="00B54BAD" w:rsidP="005767E1">
      <w:pPr>
        <w:spacing w:before="80" w:after="0" w:line="264"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W </w:t>
      </w:r>
      <w:r w:rsidR="008058EA">
        <w:rPr>
          <w:rFonts w:ascii="Times New Roman" w:hAnsi="Times New Roman" w:cs="Times New Roman"/>
          <w:sz w:val="24"/>
          <w:szCs w:val="24"/>
        </w:rPr>
        <w:t>2015</w:t>
      </w:r>
      <w:r w:rsidR="00DF72D4">
        <w:rPr>
          <w:rFonts w:ascii="Times New Roman" w:hAnsi="Times New Roman" w:cs="Times New Roman"/>
          <w:sz w:val="24"/>
          <w:szCs w:val="24"/>
        </w:rPr>
        <w:t xml:space="preserve"> r.</w:t>
      </w:r>
      <w:r>
        <w:rPr>
          <w:rFonts w:ascii="Times New Roman" w:hAnsi="Times New Roman" w:cs="Times New Roman"/>
          <w:sz w:val="24"/>
          <w:szCs w:val="24"/>
        </w:rPr>
        <w:t xml:space="preserve"> w</w:t>
      </w:r>
      <w:r w:rsidR="00E417C9">
        <w:rPr>
          <w:rFonts w:ascii="Times New Roman" w:hAnsi="Times New Roman" w:cs="Times New Roman"/>
          <w:sz w:val="24"/>
          <w:szCs w:val="24"/>
        </w:rPr>
        <w:t>skaźnik dochodowości działalności gospodarczej</w:t>
      </w:r>
      <w:r>
        <w:rPr>
          <w:rFonts w:ascii="Times New Roman" w:hAnsi="Times New Roman" w:cs="Times New Roman"/>
          <w:sz w:val="24"/>
          <w:szCs w:val="24"/>
        </w:rPr>
        <w:t xml:space="preserve"> dla grupy</w:t>
      </w:r>
      <w:r w:rsidR="008058EA">
        <w:rPr>
          <w:rFonts w:ascii="Times New Roman" w:hAnsi="Times New Roman" w:cs="Times New Roman"/>
          <w:sz w:val="24"/>
          <w:szCs w:val="24"/>
        </w:rPr>
        <w:t xml:space="preserve"> o ukierunkowaniu zwierzęcym</w:t>
      </w:r>
      <w:r w:rsidR="00E417C9">
        <w:rPr>
          <w:rFonts w:ascii="Times New Roman" w:hAnsi="Times New Roman" w:cs="Times New Roman"/>
          <w:sz w:val="24"/>
          <w:szCs w:val="24"/>
        </w:rPr>
        <w:t xml:space="preserve"> </w:t>
      </w:r>
      <w:r w:rsidR="008058EA">
        <w:rPr>
          <w:rFonts w:ascii="Times New Roman" w:hAnsi="Times New Roman" w:cs="Times New Roman"/>
          <w:sz w:val="24"/>
          <w:szCs w:val="24"/>
        </w:rPr>
        <w:t>zmalał o 1</w:t>
      </w:r>
      <w:r w:rsidR="0030140E">
        <w:rPr>
          <w:rFonts w:ascii="Times New Roman" w:hAnsi="Times New Roman" w:cs="Times New Roman"/>
          <w:sz w:val="24"/>
          <w:szCs w:val="24"/>
        </w:rPr>
        <w:t xml:space="preserve"> </w:t>
      </w:r>
      <w:r w:rsidR="008058EA">
        <w:rPr>
          <w:rFonts w:ascii="Times New Roman" w:hAnsi="Times New Roman" w:cs="Times New Roman"/>
          <w:sz w:val="24"/>
          <w:szCs w:val="24"/>
        </w:rPr>
        <w:t>p</w:t>
      </w:r>
      <w:r w:rsidR="0030140E">
        <w:rPr>
          <w:rFonts w:ascii="Times New Roman" w:hAnsi="Times New Roman" w:cs="Times New Roman"/>
          <w:sz w:val="24"/>
          <w:szCs w:val="24"/>
        </w:rPr>
        <w:t>.</w:t>
      </w:r>
      <w:r w:rsidR="008058EA">
        <w:rPr>
          <w:rFonts w:ascii="Times New Roman" w:hAnsi="Times New Roman" w:cs="Times New Roman"/>
          <w:sz w:val="24"/>
          <w:szCs w:val="24"/>
        </w:rPr>
        <w:t>p., podczas g</w:t>
      </w:r>
      <w:r w:rsidR="00A54D45">
        <w:rPr>
          <w:rFonts w:ascii="Times New Roman" w:hAnsi="Times New Roman" w:cs="Times New Roman"/>
          <w:sz w:val="24"/>
          <w:szCs w:val="24"/>
        </w:rPr>
        <w:t>d</w:t>
      </w:r>
      <w:r w:rsidR="008058EA">
        <w:rPr>
          <w:rFonts w:ascii="Times New Roman" w:hAnsi="Times New Roman" w:cs="Times New Roman"/>
          <w:sz w:val="24"/>
          <w:szCs w:val="24"/>
        </w:rPr>
        <w:t>y w całym trzyleciu obniżył się już o 3,6</w:t>
      </w:r>
      <w:r w:rsidR="0030140E">
        <w:rPr>
          <w:rFonts w:ascii="Times New Roman" w:hAnsi="Times New Roman" w:cs="Times New Roman"/>
          <w:sz w:val="24"/>
          <w:szCs w:val="24"/>
        </w:rPr>
        <w:t xml:space="preserve"> </w:t>
      </w:r>
      <w:r w:rsidR="008058EA">
        <w:rPr>
          <w:rFonts w:ascii="Times New Roman" w:hAnsi="Times New Roman" w:cs="Times New Roman"/>
          <w:sz w:val="24"/>
          <w:szCs w:val="24"/>
        </w:rPr>
        <w:t>p</w:t>
      </w:r>
      <w:r w:rsidR="0030140E">
        <w:rPr>
          <w:rFonts w:ascii="Times New Roman" w:hAnsi="Times New Roman" w:cs="Times New Roman"/>
          <w:sz w:val="24"/>
          <w:szCs w:val="24"/>
        </w:rPr>
        <w:t>.</w:t>
      </w:r>
      <w:r w:rsidR="008058EA">
        <w:rPr>
          <w:rFonts w:ascii="Times New Roman" w:hAnsi="Times New Roman" w:cs="Times New Roman"/>
          <w:sz w:val="24"/>
          <w:szCs w:val="24"/>
        </w:rPr>
        <w:t>p.</w:t>
      </w:r>
      <w:r w:rsidR="000F78FE">
        <w:rPr>
          <w:rFonts w:ascii="Times New Roman" w:hAnsi="Times New Roman" w:cs="Times New Roman"/>
          <w:sz w:val="24"/>
          <w:szCs w:val="24"/>
        </w:rPr>
        <w:t xml:space="preserve"> Podobną</w:t>
      </w:r>
      <w:r w:rsidR="005B1C39">
        <w:rPr>
          <w:rFonts w:ascii="Times New Roman" w:hAnsi="Times New Roman" w:cs="Times New Roman"/>
          <w:sz w:val="24"/>
          <w:szCs w:val="24"/>
        </w:rPr>
        <w:t xml:space="preserve"> korektę zanotowano w przypadku wskaźnika wartości dodanej, który w ostatnim roku obniżył się o 1,6 p.p.</w:t>
      </w:r>
      <w:r w:rsidR="00D601EE">
        <w:rPr>
          <w:rFonts w:ascii="Times New Roman" w:hAnsi="Times New Roman" w:cs="Times New Roman"/>
          <w:sz w:val="24"/>
          <w:szCs w:val="24"/>
        </w:rPr>
        <w:t xml:space="preserve"> </w:t>
      </w:r>
      <w:r w:rsidR="0030140E">
        <w:rPr>
          <w:rFonts w:ascii="Times New Roman" w:hAnsi="Times New Roman" w:cs="Times New Roman"/>
          <w:sz w:val="24"/>
          <w:szCs w:val="24"/>
        </w:rPr>
        <w:t>Najsilniejszy spadek ze wszystkich grup spółdzielnie zwierzęce odnotowały</w:t>
      </w:r>
      <w:r w:rsidR="000F78FE">
        <w:rPr>
          <w:rFonts w:ascii="Times New Roman" w:hAnsi="Times New Roman" w:cs="Times New Roman"/>
          <w:sz w:val="24"/>
          <w:szCs w:val="24"/>
        </w:rPr>
        <w:t xml:space="preserve"> w</w:t>
      </w:r>
      <w:r w:rsidR="0030140E">
        <w:rPr>
          <w:rFonts w:ascii="Times New Roman" w:hAnsi="Times New Roman" w:cs="Times New Roman"/>
          <w:sz w:val="24"/>
          <w:szCs w:val="24"/>
        </w:rPr>
        <w:t xml:space="preserve"> dzie</w:t>
      </w:r>
      <w:r w:rsidR="005B1C39">
        <w:rPr>
          <w:rFonts w:ascii="Times New Roman" w:hAnsi="Times New Roman" w:cs="Times New Roman"/>
          <w:sz w:val="24"/>
          <w:szCs w:val="24"/>
        </w:rPr>
        <w:t>dz</w:t>
      </w:r>
      <w:r w:rsidR="000F78FE">
        <w:rPr>
          <w:rFonts w:ascii="Times New Roman" w:hAnsi="Times New Roman" w:cs="Times New Roman"/>
          <w:sz w:val="24"/>
          <w:szCs w:val="24"/>
        </w:rPr>
        <w:t>inie dochodowości pracy. W</w:t>
      </w:r>
      <w:r w:rsidR="0030140E">
        <w:rPr>
          <w:rFonts w:ascii="Times New Roman" w:hAnsi="Times New Roman" w:cs="Times New Roman"/>
          <w:sz w:val="24"/>
          <w:szCs w:val="24"/>
        </w:rPr>
        <w:t xml:space="preserve">skaźnik ten mierzony na członka obniżył się </w:t>
      </w:r>
      <w:r w:rsidR="000F78FE">
        <w:rPr>
          <w:rFonts w:ascii="Times New Roman" w:hAnsi="Times New Roman" w:cs="Times New Roman"/>
          <w:sz w:val="24"/>
          <w:szCs w:val="24"/>
        </w:rPr>
        <w:t xml:space="preserve">o </w:t>
      </w:r>
      <w:r w:rsidR="00A54D45">
        <w:rPr>
          <w:rFonts w:ascii="Times New Roman" w:hAnsi="Times New Roman" w:cs="Times New Roman"/>
          <w:sz w:val="24"/>
          <w:szCs w:val="24"/>
        </w:rPr>
        <w:t>10,2 p.p.</w:t>
      </w:r>
      <w:r w:rsidR="0030140E">
        <w:rPr>
          <w:rFonts w:ascii="Times New Roman" w:hAnsi="Times New Roman" w:cs="Times New Roman"/>
          <w:sz w:val="24"/>
          <w:szCs w:val="24"/>
        </w:rPr>
        <w:t xml:space="preserve"> </w:t>
      </w:r>
      <w:r w:rsidR="005B1C39">
        <w:rPr>
          <w:rFonts w:ascii="Times New Roman" w:hAnsi="Times New Roman" w:cs="Times New Roman"/>
          <w:sz w:val="24"/>
          <w:szCs w:val="24"/>
        </w:rPr>
        <w:t>podobnej korekcie uległ wskaźnik wartości dodanej na jednego zatrudnionego, który obniżył się z 80,3 do 69,8</w:t>
      </w:r>
      <w:r w:rsidR="005B1C39" w:rsidRPr="005B1C39">
        <w:rPr>
          <w:rFonts w:ascii="Times New Roman" w:hAnsi="Times New Roman" w:cs="Times New Roman"/>
          <w:sz w:val="24"/>
          <w:szCs w:val="24"/>
        </w:rPr>
        <w:t xml:space="preserve"> </w:t>
      </w:r>
      <w:r w:rsidR="005B1C39">
        <w:rPr>
          <w:rFonts w:ascii="Times New Roman" w:hAnsi="Times New Roman" w:cs="Times New Roman"/>
          <w:sz w:val="24"/>
          <w:szCs w:val="24"/>
        </w:rPr>
        <w:t xml:space="preserve">tys. zł. Należy zauważyć, </w:t>
      </w:r>
      <w:r w:rsidR="009A43F9">
        <w:rPr>
          <w:rFonts w:ascii="Times New Roman" w:hAnsi="Times New Roman" w:cs="Times New Roman"/>
          <w:sz w:val="24"/>
          <w:szCs w:val="24"/>
        </w:rPr>
        <w:t>ż</w:t>
      </w:r>
      <w:r w:rsidR="005B1C39">
        <w:rPr>
          <w:rFonts w:ascii="Times New Roman" w:hAnsi="Times New Roman" w:cs="Times New Roman"/>
          <w:sz w:val="24"/>
          <w:szCs w:val="24"/>
        </w:rPr>
        <w:t xml:space="preserve">e praca </w:t>
      </w:r>
      <w:r w:rsidR="009A43F9">
        <w:rPr>
          <w:rFonts w:ascii="Times New Roman" w:hAnsi="Times New Roman" w:cs="Times New Roman"/>
          <w:sz w:val="24"/>
          <w:szCs w:val="24"/>
        </w:rPr>
        <w:t>wyra</w:t>
      </w:r>
      <w:r w:rsidR="00DF72D4">
        <w:rPr>
          <w:rFonts w:ascii="Times New Roman" w:hAnsi="Times New Roman" w:cs="Times New Roman"/>
          <w:sz w:val="24"/>
          <w:szCs w:val="24"/>
        </w:rPr>
        <w:t>ż</w:t>
      </w:r>
      <w:r w:rsidR="009A43F9">
        <w:rPr>
          <w:rFonts w:ascii="Times New Roman" w:hAnsi="Times New Roman" w:cs="Times New Roman"/>
          <w:sz w:val="24"/>
          <w:szCs w:val="24"/>
        </w:rPr>
        <w:t>ona</w:t>
      </w:r>
      <w:r w:rsidR="005B1C39">
        <w:rPr>
          <w:rFonts w:ascii="Times New Roman" w:hAnsi="Times New Roman" w:cs="Times New Roman"/>
          <w:sz w:val="24"/>
          <w:szCs w:val="24"/>
        </w:rPr>
        <w:t xml:space="preserve"> wartoś</w:t>
      </w:r>
      <w:r w:rsidR="00DF72D4">
        <w:rPr>
          <w:rFonts w:ascii="Times New Roman" w:hAnsi="Times New Roman" w:cs="Times New Roman"/>
          <w:sz w:val="24"/>
          <w:szCs w:val="24"/>
        </w:rPr>
        <w:t>cią dodaną</w:t>
      </w:r>
      <w:r w:rsidR="000F78FE">
        <w:rPr>
          <w:rFonts w:ascii="Times New Roman" w:hAnsi="Times New Roman" w:cs="Times New Roman"/>
          <w:sz w:val="24"/>
          <w:szCs w:val="24"/>
        </w:rPr>
        <w:t xml:space="preserve"> była w ostatnim roku</w:t>
      </w:r>
      <w:r w:rsidR="005B1C39">
        <w:rPr>
          <w:rFonts w:ascii="Times New Roman" w:hAnsi="Times New Roman" w:cs="Times New Roman"/>
          <w:sz w:val="24"/>
          <w:szCs w:val="24"/>
        </w:rPr>
        <w:t xml:space="preserve"> nieco wyżej wyceniana w spółdzielniach zwierzęcych niż tych z działalnością wielostronną. </w:t>
      </w:r>
      <w:r w:rsidR="00FB295A">
        <w:rPr>
          <w:rFonts w:ascii="Times New Roman" w:hAnsi="Times New Roman" w:cs="Times New Roman"/>
          <w:sz w:val="24"/>
          <w:szCs w:val="24"/>
        </w:rPr>
        <w:t xml:space="preserve">Warto podkreślić, </w:t>
      </w:r>
      <w:r w:rsidR="00BA15E2">
        <w:rPr>
          <w:rFonts w:ascii="Times New Roman" w:hAnsi="Times New Roman" w:cs="Times New Roman"/>
          <w:sz w:val="24"/>
          <w:szCs w:val="24"/>
        </w:rPr>
        <w:t>ż</w:t>
      </w:r>
      <w:r w:rsidR="00FB295A">
        <w:rPr>
          <w:rFonts w:ascii="Times New Roman" w:hAnsi="Times New Roman" w:cs="Times New Roman"/>
          <w:sz w:val="24"/>
          <w:szCs w:val="24"/>
        </w:rPr>
        <w:t>e pozytywnym rezultatem dla tej grupy</w:t>
      </w:r>
      <w:r w:rsidR="005B1C39">
        <w:rPr>
          <w:rFonts w:ascii="Times New Roman" w:hAnsi="Times New Roman" w:cs="Times New Roman"/>
          <w:sz w:val="24"/>
          <w:szCs w:val="24"/>
        </w:rPr>
        <w:t xml:space="preserve"> </w:t>
      </w:r>
      <w:r w:rsidR="00BA15E2">
        <w:rPr>
          <w:rFonts w:ascii="Times New Roman" w:hAnsi="Times New Roman" w:cs="Times New Roman"/>
          <w:sz w:val="24"/>
          <w:szCs w:val="24"/>
        </w:rPr>
        <w:t>jest powiększanie</w:t>
      </w:r>
      <w:r w:rsidR="005B1C39">
        <w:rPr>
          <w:rFonts w:ascii="Times New Roman" w:hAnsi="Times New Roman" w:cs="Times New Roman"/>
          <w:sz w:val="24"/>
          <w:szCs w:val="24"/>
        </w:rPr>
        <w:t xml:space="preserve"> </w:t>
      </w:r>
      <w:r w:rsidR="00BA15E2">
        <w:rPr>
          <w:rFonts w:ascii="Times New Roman" w:hAnsi="Times New Roman" w:cs="Times New Roman"/>
          <w:sz w:val="24"/>
          <w:szCs w:val="24"/>
        </w:rPr>
        <w:t>powierzchni gruntów</w:t>
      </w:r>
      <w:r w:rsidR="009A43F9">
        <w:rPr>
          <w:rFonts w:ascii="Times New Roman" w:hAnsi="Times New Roman" w:cs="Times New Roman"/>
          <w:sz w:val="24"/>
          <w:szCs w:val="24"/>
        </w:rPr>
        <w:t>;</w:t>
      </w:r>
      <w:r w:rsidR="005B1C39">
        <w:rPr>
          <w:rFonts w:ascii="Times New Roman" w:hAnsi="Times New Roman" w:cs="Times New Roman"/>
          <w:sz w:val="24"/>
          <w:szCs w:val="24"/>
        </w:rPr>
        <w:t xml:space="preserve"> </w:t>
      </w:r>
      <w:r w:rsidR="00FB295A">
        <w:rPr>
          <w:rFonts w:ascii="Times New Roman" w:hAnsi="Times New Roman" w:cs="Times New Roman"/>
          <w:sz w:val="24"/>
          <w:szCs w:val="24"/>
        </w:rPr>
        <w:t>w ciągu ostatniego roku</w:t>
      </w:r>
      <w:r w:rsidR="005B1C39">
        <w:rPr>
          <w:rFonts w:ascii="Times New Roman" w:hAnsi="Times New Roman" w:cs="Times New Roman"/>
          <w:sz w:val="24"/>
          <w:szCs w:val="24"/>
        </w:rPr>
        <w:t xml:space="preserve"> </w:t>
      </w:r>
      <w:r w:rsidR="00BA15E2">
        <w:rPr>
          <w:rFonts w:ascii="Times New Roman" w:hAnsi="Times New Roman" w:cs="Times New Roman"/>
          <w:sz w:val="24"/>
          <w:szCs w:val="24"/>
        </w:rPr>
        <w:t xml:space="preserve">przeciętnie </w:t>
      </w:r>
      <w:r w:rsidR="005B1C39">
        <w:rPr>
          <w:rFonts w:ascii="Times New Roman" w:hAnsi="Times New Roman" w:cs="Times New Roman"/>
          <w:sz w:val="24"/>
          <w:szCs w:val="24"/>
        </w:rPr>
        <w:t>wzrosła</w:t>
      </w:r>
      <w:r w:rsidR="00BA15E2">
        <w:rPr>
          <w:rFonts w:ascii="Times New Roman" w:hAnsi="Times New Roman" w:cs="Times New Roman"/>
          <w:sz w:val="24"/>
          <w:szCs w:val="24"/>
        </w:rPr>
        <w:t xml:space="preserve"> ona</w:t>
      </w:r>
      <w:r w:rsidR="005B1C39">
        <w:rPr>
          <w:rFonts w:ascii="Times New Roman" w:hAnsi="Times New Roman" w:cs="Times New Roman"/>
          <w:sz w:val="24"/>
          <w:szCs w:val="24"/>
        </w:rPr>
        <w:t xml:space="preserve"> o </w:t>
      </w:r>
      <w:r w:rsidR="000804C5">
        <w:rPr>
          <w:rFonts w:ascii="Times New Roman" w:hAnsi="Times New Roman" w:cs="Times New Roman"/>
          <w:sz w:val="24"/>
          <w:szCs w:val="24"/>
        </w:rPr>
        <w:t xml:space="preserve">5 ha, podczas gdy w pozostałych </w:t>
      </w:r>
      <w:r w:rsidR="00BA15E2">
        <w:rPr>
          <w:rFonts w:ascii="Times New Roman" w:hAnsi="Times New Roman" w:cs="Times New Roman"/>
          <w:sz w:val="24"/>
          <w:szCs w:val="24"/>
        </w:rPr>
        <w:t xml:space="preserve">ukierunkowaniach </w:t>
      </w:r>
      <w:r w:rsidR="000804C5">
        <w:rPr>
          <w:rFonts w:ascii="Times New Roman" w:hAnsi="Times New Roman" w:cs="Times New Roman"/>
          <w:sz w:val="24"/>
          <w:szCs w:val="24"/>
        </w:rPr>
        <w:t>odnotowano wyraźne spadki</w:t>
      </w:r>
      <w:r w:rsidR="00A6443E">
        <w:rPr>
          <w:rFonts w:ascii="Times New Roman" w:hAnsi="Times New Roman" w:cs="Times New Roman"/>
          <w:sz w:val="24"/>
          <w:szCs w:val="24"/>
        </w:rPr>
        <w:t xml:space="preserve">. </w:t>
      </w:r>
      <w:r w:rsidR="00BA15E2">
        <w:rPr>
          <w:rFonts w:ascii="Times New Roman" w:hAnsi="Times New Roman" w:cs="Times New Roman"/>
          <w:sz w:val="24"/>
          <w:szCs w:val="24"/>
        </w:rPr>
        <w:t>Bardzo znaczący</w:t>
      </w:r>
      <w:r w:rsidR="00A6443E">
        <w:rPr>
          <w:rFonts w:ascii="Times New Roman" w:hAnsi="Times New Roman" w:cs="Times New Roman"/>
          <w:sz w:val="24"/>
          <w:szCs w:val="24"/>
        </w:rPr>
        <w:t xml:space="preserve"> w</w:t>
      </w:r>
      <w:r w:rsidR="00BA15E2">
        <w:rPr>
          <w:rFonts w:ascii="Times New Roman" w:hAnsi="Times New Roman" w:cs="Times New Roman"/>
          <w:sz w:val="24"/>
          <w:szCs w:val="24"/>
        </w:rPr>
        <w:t xml:space="preserve"> tej</w:t>
      </w:r>
      <w:r w:rsidR="00A6443E">
        <w:rPr>
          <w:rFonts w:ascii="Times New Roman" w:hAnsi="Times New Roman" w:cs="Times New Roman"/>
          <w:sz w:val="24"/>
          <w:szCs w:val="24"/>
        </w:rPr>
        <w:t xml:space="preserve"> grupie </w:t>
      </w:r>
      <w:r w:rsidR="00BA15E2">
        <w:rPr>
          <w:rFonts w:ascii="Times New Roman" w:hAnsi="Times New Roman" w:cs="Times New Roman"/>
          <w:sz w:val="24"/>
          <w:szCs w:val="24"/>
        </w:rPr>
        <w:t>był</w:t>
      </w:r>
      <w:r w:rsidR="00A6443E">
        <w:rPr>
          <w:rFonts w:ascii="Times New Roman" w:hAnsi="Times New Roman" w:cs="Times New Roman"/>
          <w:sz w:val="24"/>
          <w:szCs w:val="24"/>
        </w:rPr>
        <w:t xml:space="preserve"> spadek wolnych środków</w:t>
      </w:r>
      <w:r w:rsidR="009A43F9">
        <w:rPr>
          <w:rFonts w:ascii="Times New Roman" w:hAnsi="Times New Roman" w:cs="Times New Roman"/>
          <w:sz w:val="24"/>
          <w:szCs w:val="24"/>
        </w:rPr>
        <w:t>;</w:t>
      </w:r>
      <w:r w:rsidR="00A6443E">
        <w:rPr>
          <w:rFonts w:ascii="Times New Roman" w:hAnsi="Times New Roman" w:cs="Times New Roman"/>
          <w:sz w:val="24"/>
          <w:szCs w:val="24"/>
        </w:rPr>
        <w:t xml:space="preserve"> wskaźnik generowania gotówki w ostatnim roku</w:t>
      </w:r>
      <w:r w:rsidR="00BA15E2">
        <w:rPr>
          <w:rFonts w:ascii="Times New Roman" w:hAnsi="Times New Roman" w:cs="Times New Roman"/>
          <w:sz w:val="24"/>
          <w:szCs w:val="24"/>
        </w:rPr>
        <w:t xml:space="preserve"> był</w:t>
      </w:r>
      <w:r w:rsidR="00A6443E">
        <w:rPr>
          <w:rFonts w:ascii="Times New Roman" w:hAnsi="Times New Roman" w:cs="Times New Roman"/>
          <w:sz w:val="24"/>
          <w:szCs w:val="24"/>
        </w:rPr>
        <w:t xml:space="preserve"> bliski zeru</w:t>
      </w:r>
      <w:r w:rsidR="00FB295A">
        <w:rPr>
          <w:rFonts w:ascii="Times New Roman" w:hAnsi="Times New Roman" w:cs="Times New Roman"/>
          <w:sz w:val="24"/>
          <w:szCs w:val="24"/>
        </w:rPr>
        <w:t xml:space="preserve">, </w:t>
      </w:r>
      <w:r w:rsidR="00BA15E2">
        <w:rPr>
          <w:rFonts w:ascii="Times New Roman" w:hAnsi="Times New Roman" w:cs="Times New Roman"/>
          <w:sz w:val="24"/>
          <w:szCs w:val="24"/>
        </w:rPr>
        <w:t xml:space="preserve">a </w:t>
      </w:r>
      <w:r w:rsidR="00FB295A">
        <w:rPr>
          <w:rFonts w:ascii="Times New Roman" w:hAnsi="Times New Roman" w:cs="Times New Roman"/>
          <w:sz w:val="24"/>
          <w:szCs w:val="24"/>
        </w:rPr>
        <w:t xml:space="preserve">indeks </w:t>
      </w:r>
      <w:r w:rsidR="00BA15E2">
        <w:rPr>
          <w:rFonts w:ascii="Times New Roman" w:hAnsi="Times New Roman" w:cs="Times New Roman"/>
          <w:sz w:val="24"/>
          <w:szCs w:val="24"/>
        </w:rPr>
        <w:t xml:space="preserve">tworzenia </w:t>
      </w:r>
      <w:r w:rsidR="00FB295A">
        <w:rPr>
          <w:rFonts w:ascii="Times New Roman" w:hAnsi="Times New Roman" w:cs="Times New Roman"/>
          <w:sz w:val="24"/>
          <w:szCs w:val="24"/>
        </w:rPr>
        <w:t xml:space="preserve">wartości mówił o </w:t>
      </w:r>
      <w:r w:rsidR="00BA15E2">
        <w:rPr>
          <w:rFonts w:ascii="Times New Roman" w:hAnsi="Times New Roman" w:cs="Times New Roman"/>
          <w:sz w:val="24"/>
          <w:szCs w:val="24"/>
        </w:rPr>
        <w:t>jej utracie</w:t>
      </w:r>
      <w:r w:rsidR="00FB295A">
        <w:rPr>
          <w:rFonts w:ascii="Times New Roman" w:hAnsi="Times New Roman" w:cs="Times New Roman"/>
          <w:sz w:val="24"/>
          <w:szCs w:val="24"/>
        </w:rPr>
        <w:t xml:space="preserve">. </w:t>
      </w:r>
      <w:r w:rsidR="004F43B7">
        <w:rPr>
          <w:rFonts w:ascii="Times New Roman" w:hAnsi="Times New Roman" w:cs="Times New Roman"/>
          <w:sz w:val="24"/>
          <w:szCs w:val="24"/>
        </w:rPr>
        <w:t>Świadczy</w:t>
      </w:r>
      <w:r w:rsidR="00FB295A">
        <w:rPr>
          <w:rFonts w:ascii="Times New Roman" w:hAnsi="Times New Roman" w:cs="Times New Roman"/>
          <w:sz w:val="24"/>
          <w:szCs w:val="24"/>
        </w:rPr>
        <w:t xml:space="preserve"> to o tym, iż uwarunkowania rynkowe</w:t>
      </w:r>
      <w:r w:rsidR="00BA15E2">
        <w:rPr>
          <w:rFonts w:ascii="Times New Roman" w:hAnsi="Times New Roman" w:cs="Times New Roman"/>
          <w:sz w:val="24"/>
          <w:szCs w:val="24"/>
        </w:rPr>
        <w:t xml:space="preserve"> z 2015 r</w:t>
      </w:r>
      <w:r w:rsidR="00DF72D4">
        <w:rPr>
          <w:rFonts w:ascii="Times New Roman" w:hAnsi="Times New Roman" w:cs="Times New Roman"/>
          <w:sz w:val="24"/>
          <w:szCs w:val="24"/>
        </w:rPr>
        <w:t>.</w:t>
      </w:r>
      <w:r w:rsidR="00FB295A">
        <w:rPr>
          <w:rFonts w:ascii="Times New Roman" w:hAnsi="Times New Roman" w:cs="Times New Roman"/>
          <w:sz w:val="24"/>
          <w:szCs w:val="24"/>
        </w:rPr>
        <w:t xml:space="preserve"> praktycznie uniemożliwi</w:t>
      </w:r>
      <w:r w:rsidR="00BA15E2">
        <w:rPr>
          <w:rFonts w:ascii="Times New Roman" w:hAnsi="Times New Roman" w:cs="Times New Roman"/>
          <w:sz w:val="24"/>
          <w:szCs w:val="24"/>
        </w:rPr>
        <w:t>ły</w:t>
      </w:r>
      <w:r w:rsidR="00FB295A">
        <w:rPr>
          <w:rFonts w:ascii="Times New Roman" w:hAnsi="Times New Roman" w:cs="Times New Roman"/>
          <w:sz w:val="24"/>
          <w:szCs w:val="24"/>
        </w:rPr>
        <w:t>, nie tylko rozwój</w:t>
      </w:r>
      <w:r w:rsidR="000F78FE">
        <w:rPr>
          <w:rFonts w:ascii="Times New Roman" w:hAnsi="Times New Roman" w:cs="Times New Roman"/>
          <w:sz w:val="24"/>
          <w:szCs w:val="24"/>
        </w:rPr>
        <w:t>,</w:t>
      </w:r>
      <w:r w:rsidR="00FB295A">
        <w:rPr>
          <w:rFonts w:ascii="Times New Roman" w:hAnsi="Times New Roman" w:cs="Times New Roman"/>
          <w:sz w:val="24"/>
          <w:szCs w:val="24"/>
        </w:rPr>
        <w:t xml:space="preserve"> ale </w:t>
      </w:r>
      <w:r w:rsidR="000F78FE">
        <w:rPr>
          <w:rFonts w:ascii="Times New Roman" w:hAnsi="Times New Roman" w:cs="Times New Roman"/>
          <w:sz w:val="24"/>
          <w:szCs w:val="24"/>
        </w:rPr>
        <w:t xml:space="preserve">i </w:t>
      </w:r>
      <w:r w:rsidR="00BA15E2">
        <w:rPr>
          <w:rFonts w:ascii="Times New Roman" w:hAnsi="Times New Roman" w:cs="Times New Roman"/>
          <w:sz w:val="24"/>
          <w:szCs w:val="24"/>
        </w:rPr>
        <w:t>postawiły duży znak zapytania dla dalszego</w:t>
      </w:r>
      <w:r w:rsidR="00FB295A">
        <w:rPr>
          <w:rFonts w:ascii="Times New Roman" w:hAnsi="Times New Roman" w:cs="Times New Roman"/>
          <w:sz w:val="24"/>
          <w:szCs w:val="24"/>
        </w:rPr>
        <w:t xml:space="preserve"> byt</w:t>
      </w:r>
      <w:r w:rsidR="00BA15E2">
        <w:rPr>
          <w:rFonts w:ascii="Times New Roman" w:hAnsi="Times New Roman" w:cs="Times New Roman"/>
          <w:sz w:val="24"/>
          <w:szCs w:val="24"/>
        </w:rPr>
        <w:t>u</w:t>
      </w:r>
      <w:r w:rsidR="00FB295A">
        <w:rPr>
          <w:rFonts w:ascii="Times New Roman" w:hAnsi="Times New Roman" w:cs="Times New Roman"/>
          <w:sz w:val="24"/>
          <w:szCs w:val="24"/>
        </w:rPr>
        <w:t xml:space="preserve"> tego kierunku produkcji. Jeżeli ws</w:t>
      </w:r>
      <w:r w:rsidR="009A43F9">
        <w:rPr>
          <w:rFonts w:ascii="Times New Roman" w:hAnsi="Times New Roman" w:cs="Times New Roman"/>
          <w:sz w:val="24"/>
          <w:szCs w:val="24"/>
        </w:rPr>
        <w:t>pomniane realia nie zmienią się</w:t>
      </w:r>
      <w:r w:rsidR="00FB295A">
        <w:rPr>
          <w:rFonts w:ascii="Times New Roman" w:hAnsi="Times New Roman" w:cs="Times New Roman"/>
          <w:sz w:val="24"/>
          <w:szCs w:val="24"/>
        </w:rPr>
        <w:t xml:space="preserve"> w najbliższej przyszłości</w:t>
      </w:r>
      <w:r w:rsidR="000F78FE">
        <w:rPr>
          <w:rFonts w:ascii="Times New Roman" w:hAnsi="Times New Roman" w:cs="Times New Roman"/>
          <w:sz w:val="24"/>
          <w:szCs w:val="24"/>
        </w:rPr>
        <w:t>,</w:t>
      </w:r>
      <w:r w:rsidR="00FB295A">
        <w:rPr>
          <w:rFonts w:ascii="Times New Roman" w:hAnsi="Times New Roman" w:cs="Times New Roman"/>
          <w:sz w:val="24"/>
          <w:szCs w:val="24"/>
        </w:rPr>
        <w:t xml:space="preserve"> t</w:t>
      </w:r>
      <w:r w:rsidR="00BA15E2">
        <w:rPr>
          <w:rFonts w:ascii="Times New Roman" w:hAnsi="Times New Roman" w:cs="Times New Roman"/>
          <w:sz w:val="24"/>
          <w:szCs w:val="24"/>
        </w:rPr>
        <w:t>o</w:t>
      </w:r>
      <w:r w:rsidR="00FB295A">
        <w:rPr>
          <w:rFonts w:ascii="Times New Roman" w:hAnsi="Times New Roman" w:cs="Times New Roman"/>
          <w:sz w:val="24"/>
          <w:szCs w:val="24"/>
        </w:rPr>
        <w:t xml:space="preserve"> ukierunkowanie </w:t>
      </w:r>
      <w:r w:rsidR="000F78FE">
        <w:rPr>
          <w:rFonts w:ascii="Times New Roman" w:hAnsi="Times New Roman" w:cs="Times New Roman"/>
          <w:sz w:val="24"/>
          <w:szCs w:val="24"/>
        </w:rPr>
        <w:t xml:space="preserve">to </w:t>
      </w:r>
      <w:r w:rsidR="00FB295A">
        <w:rPr>
          <w:rFonts w:ascii="Times New Roman" w:hAnsi="Times New Roman" w:cs="Times New Roman"/>
          <w:sz w:val="24"/>
          <w:szCs w:val="24"/>
        </w:rPr>
        <w:t xml:space="preserve">i tak już najmniej liczne, prawdopodobnie przestanie istnieć.  </w:t>
      </w:r>
    </w:p>
    <w:p w:rsidR="00D0494B" w:rsidRDefault="001E2280" w:rsidP="005767E1">
      <w:pPr>
        <w:spacing w:before="80" w:after="0" w:line="264" w:lineRule="auto"/>
        <w:ind w:firstLine="425"/>
        <w:jc w:val="both"/>
        <w:rPr>
          <w:rFonts w:ascii="Times New Roman" w:hAnsi="Times New Roman" w:cs="Times New Roman"/>
          <w:sz w:val="24"/>
          <w:szCs w:val="24"/>
        </w:rPr>
      </w:pPr>
      <w:r>
        <w:rPr>
          <w:rFonts w:ascii="Times New Roman" w:hAnsi="Times New Roman" w:cs="Times New Roman"/>
          <w:sz w:val="24"/>
          <w:szCs w:val="24"/>
        </w:rPr>
        <w:t>Kolejnym z analizowanych ukierunkowań</w:t>
      </w:r>
      <w:r w:rsidR="004F43B7">
        <w:rPr>
          <w:rFonts w:ascii="Times New Roman" w:hAnsi="Times New Roman" w:cs="Times New Roman"/>
          <w:sz w:val="24"/>
          <w:szCs w:val="24"/>
        </w:rPr>
        <w:t xml:space="preserve"> </w:t>
      </w:r>
      <w:r>
        <w:rPr>
          <w:rFonts w:ascii="Times New Roman" w:hAnsi="Times New Roman" w:cs="Times New Roman"/>
          <w:sz w:val="24"/>
          <w:szCs w:val="24"/>
        </w:rPr>
        <w:t>były spółdzielnie wielostronne</w:t>
      </w:r>
      <w:r w:rsidR="007D2D5A">
        <w:rPr>
          <w:rFonts w:ascii="Times New Roman" w:hAnsi="Times New Roman" w:cs="Times New Roman"/>
          <w:sz w:val="24"/>
          <w:szCs w:val="24"/>
        </w:rPr>
        <w:t xml:space="preserve">, </w:t>
      </w:r>
      <w:r w:rsidR="003C31E9">
        <w:rPr>
          <w:rFonts w:ascii="Times New Roman" w:hAnsi="Times New Roman" w:cs="Times New Roman"/>
          <w:sz w:val="24"/>
          <w:szCs w:val="24"/>
        </w:rPr>
        <w:t xml:space="preserve">które w ostatnim roku </w:t>
      </w:r>
      <w:r w:rsidR="00523A26">
        <w:rPr>
          <w:rFonts w:ascii="Times New Roman" w:hAnsi="Times New Roman" w:cs="Times New Roman"/>
          <w:sz w:val="24"/>
          <w:szCs w:val="24"/>
        </w:rPr>
        <w:t>charakteryzował</w:t>
      </w:r>
      <w:r w:rsidR="003C31E9">
        <w:rPr>
          <w:rFonts w:ascii="Times New Roman" w:hAnsi="Times New Roman" w:cs="Times New Roman"/>
          <w:sz w:val="24"/>
          <w:szCs w:val="24"/>
        </w:rPr>
        <w:t>y</w:t>
      </w:r>
      <w:r w:rsidR="00523A26">
        <w:rPr>
          <w:rFonts w:ascii="Times New Roman" w:hAnsi="Times New Roman" w:cs="Times New Roman"/>
          <w:sz w:val="24"/>
          <w:szCs w:val="24"/>
        </w:rPr>
        <w:t xml:space="preserve"> się najwyższym wskaźnikiem dochodowości działalności gospodarczej</w:t>
      </w:r>
      <w:r w:rsidR="002B3DB1">
        <w:rPr>
          <w:rFonts w:ascii="Times New Roman" w:hAnsi="Times New Roman" w:cs="Times New Roman"/>
          <w:sz w:val="24"/>
          <w:szCs w:val="24"/>
        </w:rPr>
        <w:t xml:space="preserve"> </w:t>
      </w:r>
      <w:r w:rsidR="00BA15E2">
        <w:rPr>
          <w:rFonts w:ascii="Times New Roman" w:hAnsi="Times New Roman" w:cs="Times New Roman"/>
          <w:sz w:val="24"/>
          <w:szCs w:val="24"/>
        </w:rPr>
        <w:t>w wysokości</w:t>
      </w:r>
      <w:r w:rsidR="002B3DB1">
        <w:rPr>
          <w:rFonts w:ascii="Times New Roman" w:hAnsi="Times New Roman" w:cs="Times New Roman"/>
          <w:sz w:val="24"/>
          <w:szCs w:val="24"/>
        </w:rPr>
        <w:t xml:space="preserve"> </w:t>
      </w:r>
      <w:r w:rsidR="003C31E9">
        <w:rPr>
          <w:rFonts w:ascii="Times New Roman" w:hAnsi="Times New Roman" w:cs="Times New Roman"/>
          <w:sz w:val="24"/>
          <w:szCs w:val="24"/>
        </w:rPr>
        <w:t>24,2</w:t>
      </w:r>
      <w:r w:rsidR="002B3DB1">
        <w:rPr>
          <w:rFonts w:ascii="Times New Roman" w:hAnsi="Times New Roman" w:cs="Times New Roman"/>
          <w:sz w:val="24"/>
          <w:szCs w:val="24"/>
        </w:rPr>
        <w:t xml:space="preserve"> </w:t>
      </w:r>
      <w:r w:rsidR="00BA15E2">
        <w:rPr>
          <w:rFonts w:ascii="Times New Roman" w:hAnsi="Times New Roman" w:cs="Times New Roman"/>
          <w:sz w:val="24"/>
          <w:szCs w:val="24"/>
        </w:rPr>
        <w:t>%</w:t>
      </w:r>
      <w:r w:rsidR="00523A26">
        <w:rPr>
          <w:rFonts w:ascii="Times New Roman" w:hAnsi="Times New Roman" w:cs="Times New Roman"/>
          <w:sz w:val="24"/>
          <w:szCs w:val="24"/>
        </w:rPr>
        <w:t xml:space="preserve">. </w:t>
      </w:r>
      <w:r w:rsidR="003C31E9">
        <w:rPr>
          <w:rFonts w:ascii="Times New Roman" w:hAnsi="Times New Roman" w:cs="Times New Roman"/>
          <w:sz w:val="24"/>
          <w:szCs w:val="24"/>
        </w:rPr>
        <w:t xml:space="preserve">Wskaźnik </w:t>
      </w:r>
      <w:r w:rsidR="002B3DB1">
        <w:rPr>
          <w:rFonts w:ascii="Times New Roman" w:hAnsi="Times New Roman" w:cs="Times New Roman"/>
          <w:sz w:val="24"/>
          <w:szCs w:val="24"/>
        </w:rPr>
        <w:t>te</w:t>
      </w:r>
      <w:r w:rsidR="00523A26">
        <w:rPr>
          <w:rFonts w:ascii="Times New Roman" w:hAnsi="Times New Roman" w:cs="Times New Roman"/>
          <w:sz w:val="24"/>
          <w:szCs w:val="24"/>
        </w:rPr>
        <w:t>n</w:t>
      </w:r>
      <w:r w:rsidR="003C31E9">
        <w:rPr>
          <w:rFonts w:ascii="Times New Roman" w:hAnsi="Times New Roman" w:cs="Times New Roman"/>
          <w:sz w:val="24"/>
          <w:szCs w:val="24"/>
        </w:rPr>
        <w:t xml:space="preserve">, </w:t>
      </w:r>
      <w:r w:rsidR="00BA15E2">
        <w:rPr>
          <w:rFonts w:ascii="Times New Roman" w:hAnsi="Times New Roman" w:cs="Times New Roman"/>
          <w:sz w:val="24"/>
          <w:szCs w:val="24"/>
        </w:rPr>
        <w:t>tak jak w całej zbiorowości</w:t>
      </w:r>
      <w:r w:rsidR="000F78FE">
        <w:rPr>
          <w:rFonts w:ascii="Times New Roman" w:hAnsi="Times New Roman" w:cs="Times New Roman"/>
          <w:sz w:val="24"/>
          <w:szCs w:val="24"/>
        </w:rPr>
        <w:t>,</w:t>
      </w:r>
      <w:r w:rsidR="00523A26">
        <w:rPr>
          <w:rFonts w:ascii="Times New Roman" w:hAnsi="Times New Roman" w:cs="Times New Roman"/>
          <w:sz w:val="24"/>
          <w:szCs w:val="24"/>
        </w:rPr>
        <w:t xml:space="preserve"> </w:t>
      </w:r>
      <w:r w:rsidR="003C31E9">
        <w:rPr>
          <w:rFonts w:ascii="Times New Roman" w:hAnsi="Times New Roman" w:cs="Times New Roman"/>
          <w:sz w:val="24"/>
          <w:szCs w:val="24"/>
        </w:rPr>
        <w:t>uległ</w:t>
      </w:r>
      <w:r w:rsidR="00BA15E2">
        <w:rPr>
          <w:rFonts w:ascii="Times New Roman" w:hAnsi="Times New Roman" w:cs="Times New Roman"/>
          <w:sz w:val="24"/>
          <w:szCs w:val="24"/>
        </w:rPr>
        <w:t xml:space="preserve"> co prawda</w:t>
      </w:r>
      <w:r w:rsidR="003C31E9">
        <w:rPr>
          <w:rFonts w:ascii="Times New Roman" w:hAnsi="Times New Roman" w:cs="Times New Roman"/>
          <w:sz w:val="24"/>
          <w:szCs w:val="24"/>
        </w:rPr>
        <w:t xml:space="preserve"> obniżeniu w </w:t>
      </w:r>
      <w:r w:rsidR="00BA15E2">
        <w:rPr>
          <w:rFonts w:ascii="Times New Roman" w:hAnsi="Times New Roman" w:cs="Times New Roman"/>
          <w:sz w:val="24"/>
          <w:szCs w:val="24"/>
        </w:rPr>
        <w:t>ostatnim roku</w:t>
      </w:r>
      <w:r w:rsidR="00947128">
        <w:rPr>
          <w:rFonts w:ascii="Times New Roman" w:hAnsi="Times New Roman" w:cs="Times New Roman"/>
          <w:sz w:val="24"/>
          <w:szCs w:val="24"/>
        </w:rPr>
        <w:t>, to należy zauważyć</w:t>
      </w:r>
      <w:r w:rsidR="007C5B19">
        <w:rPr>
          <w:rFonts w:ascii="Times New Roman" w:hAnsi="Times New Roman" w:cs="Times New Roman"/>
          <w:sz w:val="24"/>
          <w:szCs w:val="24"/>
        </w:rPr>
        <w:t>,</w:t>
      </w:r>
      <w:r w:rsidR="00523A26">
        <w:rPr>
          <w:rFonts w:ascii="Times New Roman" w:hAnsi="Times New Roman" w:cs="Times New Roman"/>
          <w:sz w:val="24"/>
          <w:szCs w:val="24"/>
        </w:rPr>
        <w:t xml:space="preserve"> </w:t>
      </w:r>
      <w:r w:rsidR="00947128">
        <w:rPr>
          <w:rFonts w:ascii="Times New Roman" w:hAnsi="Times New Roman" w:cs="Times New Roman"/>
          <w:sz w:val="24"/>
          <w:szCs w:val="24"/>
        </w:rPr>
        <w:t xml:space="preserve">że </w:t>
      </w:r>
      <w:r w:rsidR="00523A26">
        <w:rPr>
          <w:rFonts w:ascii="Times New Roman" w:hAnsi="Times New Roman" w:cs="Times New Roman"/>
          <w:sz w:val="24"/>
          <w:szCs w:val="24"/>
        </w:rPr>
        <w:t xml:space="preserve">skala </w:t>
      </w:r>
      <w:r w:rsidR="00BC6507">
        <w:rPr>
          <w:rFonts w:ascii="Times New Roman" w:hAnsi="Times New Roman" w:cs="Times New Roman"/>
          <w:sz w:val="24"/>
          <w:szCs w:val="24"/>
        </w:rPr>
        <w:t>tego</w:t>
      </w:r>
      <w:r w:rsidR="00BA15E2">
        <w:rPr>
          <w:rFonts w:ascii="Times New Roman" w:hAnsi="Times New Roman" w:cs="Times New Roman"/>
          <w:sz w:val="24"/>
          <w:szCs w:val="24"/>
        </w:rPr>
        <w:t xml:space="preserve"> zjawiska</w:t>
      </w:r>
      <w:r w:rsidR="00BC6507">
        <w:rPr>
          <w:rFonts w:ascii="Times New Roman" w:hAnsi="Times New Roman" w:cs="Times New Roman"/>
          <w:sz w:val="24"/>
          <w:szCs w:val="24"/>
        </w:rPr>
        <w:t xml:space="preserve"> </w:t>
      </w:r>
      <w:r w:rsidR="003C31E9">
        <w:rPr>
          <w:rFonts w:ascii="Times New Roman" w:hAnsi="Times New Roman" w:cs="Times New Roman"/>
          <w:sz w:val="24"/>
          <w:szCs w:val="24"/>
        </w:rPr>
        <w:t>była w przypadku tej grupy RSP najmniejsza</w:t>
      </w:r>
      <w:r w:rsidR="00523A26">
        <w:rPr>
          <w:rFonts w:ascii="Times New Roman" w:hAnsi="Times New Roman" w:cs="Times New Roman"/>
          <w:sz w:val="24"/>
          <w:szCs w:val="24"/>
        </w:rPr>
        <w:t>.</w:t>
      </w:r>
      <w:r w:rsidR="003C31E9">
        <w:rPr>
          <w:rFonts w:ascii="Times New Roman" w:hAnsi="Times New Roman" w:cs="Times New Roman"/>
          <w:sz w:val="24"/>
          <w:szCs w:val="24"/>
        </w:rPr>
        <w:t xml:space="preserve"> Potwierdza się zatem stara zasada, że umiejęt</w:t>
      </w:r>
      <w:r w:rsidR="000F78FE">
        <w:rPr>
          <w:rFonts w:ascii="Times New Roman" w:hAnsi="Times New Roman" w:cs="Times New Roman"/>
          <w:sz w:val="24"/>
          <w:szCs w:val="24"/>
        </w:rPr>
        <w:t>ne łączenie kilku specjalizacji jest sposobem</w:t>
      </w:r>
      <w:r w:rsidR="003C31E9">
        <w:rPr>
          <w:rFonts w:ascii="Times New Roman" w:hAnsi="Times New Roman" w:cs="Times New Roman"/>
          <w:sz w:val="24"/>
          <w:szCs w:val="24"/>
        </w:rPr>
        <w:t xml:space="preserve"> radzenia sobie w syt</w:t>
      </w:r>
      <w:r w:rsidR="000F78FE">
        <w:rPr>
          <w:rFonts w:ascii="Times New Roman" w:hAnsi="Times New Roman" w:cs="Times New Roman"/>
          <w:sz w:val="24"/>
          <w:szCs w:val="24"/>
        </w:rPr>
        <w:t xml:space="preserve">uacjach kryzysowych, a taką był </w:t>
      </w:r>
      <w:r w:rsidR="003C31E9">
        <w:rPr>
          <w:rFonts w:ascii="Times New Roman" w:hAnsi="Times New Roman" w:cs="Times New Roman"/>
          <w:sz w:val="24"/>
          <w:szCs w:val="24"/>
        </w:rPr>
        <w:t>2015 r.</w:t>
      </w:r>
      <w:r w:rsidR="00BC6507">
        <w:rPr>
          <w:rFonts w:ascii="Times New Roman" w:hAnsi="Times New Roman" w:cs="Times New Roman"/>
          <w:sz w:val="24"/>
          <w:szCs w:val="24"/>
        </w:rPr>
        <w:t xml:space="preserve"> </w:t>
      </w:r>
      <w:r w:rsidR="003C31E9">
        <w:rPr>
          <w:rFonts w:ascii="Times New Roman" w:hAnsi="Times New Roman" w:cs="Times New Roman"/>
          <w:sz w:val="24"/>
          <w:szCs w:val="24"/>
        </w:rPr>
        <w:t xml:space="preserve">Nieco gorzej grupa </w:t>
      </w:r>
      <w:r w:rsidR="00BA15E2">
        <w:rPr>
          <w:rFonts w:ascii="Times New Roman" w:hAnsi="Times New Roman" w:cs="Times New Roman"/>
          <w:sz w:val="24"/>
          <w:szCs w:val="24"/>
        </w:rPr>
        <w:t>ta</w:t>
      </w:r>
      <w:r w:rsidR="003C31E9">
        <w:rPr>
          <w:rFonts w:ascii="Times New Roman" w:hAnsi="Times New Roman" w:cs="Times New Roman"/>
          <w:sz w:val="24"/>
          <w:szCs w:val="24"/>
        </w:rPr>
        <w:t xml:space="preserve"> wypada pod względem wskaźnika wartości dodanej</w:t>
      </w:r>
      <w:r w:rsidR="0084322F">
        <w:rPr>
          <w:rFonts w:ascii="Times New Roman" w:hAnsi="Times New Roman" w:cs="Times New Roman"/>
          <w:sz w:val="24"/>
          <w:szCs w:val="24"/>
        </w:rPr>
        <w:t>, który niezn</w:t>
      </w:r>
      <w:r w:rsidR="009A43F9">
        <w:rPr>
          <w:rFonts w:ascii="Times New Roman" w:hAnsi="Times New Roman" w:cs="Times New Roman"/>
          <w:sz w:val="24"/>
          <w:szCs w:val="24"/>
        </w:rPr>
        <w:t>acznie wzrósł w ostatnim roku; był jednak o</w:t>
      </w:r>
      <w:r w:rsidR="0084322F">
        <w:rPr>
          <w:rFonts w:ascii="Times New Roman" w:hAnsi="Times New Roman" w:cs="Times New Roman"/>
          <w:sz w:val="24"/>
          <w:szCs w:val="24"/>
        </w:rPr>
        <w:t xml:space="preserve"> 1,7 p.p. niższy niż w zbiorowości o ukierunkowaniu roślinnym. Było to prawdopodobnie spowodowane relatywnie wyższym zatrudnieniem w grupie RSP wielostronnych, choć i na tym polu grupa ta poczyniła wyraźne zmiany, redukując przeciętne zatrudnienie na 100 ha o 1,7 osoby w ciągu zaledwie 3 lat. Można jednak przypuszczać, </w:t>
      </w:r>
      <w:r w:rsidR="009A43F9">
        <w:rPr>
          <w:rFonts w:ascii="Times New Roman" w:hAnsi="Times New Roman" w:cs="Times New Roman"/>
          <w:sz w:val="24"/>
          <w:szCs w:val="24"/>
        </w:rPr>
        <w:t>ż</w:t>
      </w:r>
      <w:r w:rsidR="0084322F">
        <w:rPr>
          <w:rFonts w:ascii="Times New Roman" w:hAnsi="Times New Roman" w:cs="Times New Roman"/>
          <w:sz w:val="24"/>
          <w:szCs w:val="24"/>
        </w:rPr>
        <w:t>e tempo tych zmian mogło być spowodowane ograniczaniem produkcji zwierzęcej</w:t>
      </w:r>
      <w:r w:rsidR="009A43F9">
        <w:rPr>
          <w:rFonts w:ascii="Times New Roman" w:hAnsi="Times New Roman" w:cs="Times New Roman"/>
          <w:sz w:val="24"/>
          <w:szCs w:val="24"/>
        </w:rPr>
        <w:t>,</w:t>
      </w:r>
      <w:r w:rsidR="00607F4C">
        <w:rPr>
          <w:rFonts w:ascii="Times New Roman" w:hAnsi="Times New Roman" w:cs="Times New Roman"/>
          <w:sz w:val="24"/>
          <w:szCs w:val="24"/>
        </w:rPr>
        <w:t xml:space="preserve"> </w:t>
      </w:r>
      <w:r w:rsidR="009A43F9">
        <w:rPr>
          <w:rFonts w:ascii="Times New Roman" w:hAnsi="Times New Roman" w:cs="Times New Roman"/>
          <w:sz w:val="24"/>
          <w:szCs w:val="24"/>
        </w:rPr>
        <w:t>wywołującej</w:t>
      </w:r>
      <w:r w:rsidR="00607F4C">
        <w:rPr>
          <w:rFonts w:ascii="Times New Roman" w:hAnsi="Times New Roman" w:cs="Times New Roman"/>
          <w:sz w:val="24"/>
          <w:szCs w:val="24"/>
        </w:rPr>
        <w:t xml:space="preserve"> największe dysproporcje tego wskaźnika między porównywanymi grupami</w:t>
      </w:r>
      <w:r w:rsidR="0084322F">
        <w:rPr>
          <w:rFonts w:ascii="Times New Roman" w:hAnsi="Times New Roman" w:cs="Times New Roman"/>
          <w:sz w:val="24"/>
          <w:szCs w:val="24"/>
        </w:rPr>
        <w:t>.</w:t>
      </w:r>
      <w:r w:rsidR="00CA236C">
        <w:rPr>
          <w:rFonts w:ascii="Times New Roman" w:hAnsi="Times New Roman" w:cs="Times New Roman"/>
          <w:sz w:val="24"/>
          <w:szCs w:val="24"/>
        </w:rPr>
        <w:t xml:space="preserve"> </w:t>
      </w:r>
      <w:r w:rsidR="0084322F">
        <w:rPr>
          <w:rFonts w:ascii="Times New Roman" w:hAnsi="Times New Roman" w:cs="Times New Roman"/>
          <w:sz w:val="24"/>
          <w:szCs w:val="24"/>
        </w:rPr>
        <w:t xml:space="preserve">Mimo </w:t>
      </w:r>
      <w:r w:rsidR="00CA236C">
        <w:rPr>
          <w:rFonts w:ascii="Times New Roman" w:hAnsi="Times New Roman" w:cs="Times New Roman"/>
          <w:sz w:val="24"/>
          <w:szCs w:val="24"/>
        </w:rPr>
        <w:t>najwyższej rentowności działalności oraz ograniczeniu zatrudnienia,</w:t>
      </w:r>
      <w:r w:rsidR="002B3DB1">
        <w:rPr>
          <w:rFonts w:ascii="Times New Roman" w:hAnsi="Times New Roman" w:cs="Times New Roman"/>
          <w:sz w:val="24"/>
          <w:szCs w:val="24"/>
        </w:rPr>
        <w:t xml:space="preserve"> </w:t>
      </w:r>
      <w:r w:rsidR="00CA236C">
        <w:rPr>
          <w:rFonts w:ascii="Times New Roman" w:hAnsi="Times New Roman" w:cs="Times New Roman"/>
          <w:sz w:val="24"/>
          <w:szCs w:val="24"/>
        </w:rPr>
        <w:t xml:space="preserve">RSP </w:t>
      </w:r>
      <w:r w:rsidR="002B3DB1">
        <w:rPr>
          <w:rFonts w:ascii="Times New Roman" w:hAnsi="Times New Roman" w:cs="Times New Roman"/>
          <w:sz w:val="24"/>
          <w:szCs w:val="24"/>
        </w:rPr>
        <w:t>wielostronne n</w:t>
      </w:r>
      <w:r w:rsidR="00BC6507">
        <w:rPr>
          <w:rFonts w:ascii="Times New Roman" w:hAnsi="Times New Roman" w:cs="Times New Roman"/>
          <w:sz w:val="24"/>
          <w:szCs w:val="24"/>
        </w:rPr>
        <w:t xml:space="preserve">ie </w:t>
      </w:r>
      <w:r w:rsidR="00607F4C">
        <w:rPr>
          <w:rFonts w:ascii="Times New Roman" w:hAnsi="Times New Roman" w:cs="Times New Roman"/>
          <w:sz w:val="24"/>
          <w:szCs w:val="24"/>
        </w:rPr>
        <w:t>osiągnęły</w:t>
      </w:r>
      <w:r w:rsidR="002B3DB1">
        <w:rPr>
          <w:rFonts w:ascii="Times New Roman" w:hAnsi="Times New Roman" w:cs="Times New Roman"/>
          <w:sz w:val="24"/>
          <w:szCs w:val="24"/>
        </w:rPr>
        <w:t xml:space="preserve"> jednak</w:t>
      </w:r>
      <w:r w:rsidR="001368E5">
        <w:rPr>
          <w:rFonts w:ascii="Times New Roman" w:hAnsi="Times New Roman" w:cs="Times New Roman"/>
          <w:sz w:val="24"/>
          <w:szCs w:val="24"/>
        </w:rPr>
        <w:t xml:space="preserve"> w 2015</w:t>
      </w:r>
      <w:r w:rsidR="00DF72D4">
        <w:rPr>
          <w:rFonts w:ascii="Times New Roman" w:hAnsi="Times New Roman" w:cs="Times New Roman"/>
          <w:sz w:val="24"/>
          <w:szCs w:val="24"/>
        </w:rPr>
        <w:t xml:space="preserve"> r.</w:t>
      </w:r>
      <w:r w:rsidR="00CA236C">
        <w:rPr>
          <w:rFonts w:ascii="Times New Roman" w:hAnsi="Times New Roman" w:cs="Times New Roman"/>
          <w:sz w:val="24"/>
          <w:szCs w:val="24"/>
        </w:rPr>
        <w:t xml:space="preserve"> dodatniej rentowności kapitału</w:t>
      </w:r>
      <w:r w:rsidR="009A43F9">
        <w:rPr>
          <w:rFonts w:ascii="Times New Roman" w:hAnsi="Times New Roman" w:cs="Times New Roman"/>
          <w:sz w:val="24"/>
          <w:szCs w:val="24"/>
        </w:rPr>
        <w:t>;</w:t>
      </w:r>
      <w:r w:rsidR="000F78FE">
        <w:rPr>
          <w:rFonts w:ascii="Times New Roman" w:hAnsi="Times New Roman" w:cs="Times New Roman"/>
          <w:sz w:val="24"/>
          <w:szCs w:val="24"/>
        </w:rPr>
        <w:t xml:space="preserve"> dodatni wynik</w:t>
      </w:r>
      <w:r w:rsidR="00607F4C">
        <w:rPr>
          <w:rFonts w:ascii="Times New Roman" w:hAnsi="Times New Roman" w:cs="Times New Roman"/>
          <w:sz w:val="24"/>
          <w:szCs w:val="24"/>
        </w:rPr>
        <w:t xml:space="preserve"> </w:t>
      </w:r>
      <w:r w:rsidR="000F78FE">
        <w:rPr>
          <w:rFonts w:ascii="Times New Roman" w:hAnsi="Times New Roman" w:cs="Times New Roman"/>
          <w:sz w:val="24"/>
          <w:szCs w:val="24"/>
        </w:rPr>
        <w:t>finansowy</w:t>
      </w:r>
      <w:r w:rsidR="00607F4C">
        <w:rPr>
          <w:rFonts w:ascii="Times New Roman" w:hAnsi="Times New Roman" w:cs="Times New Roman"/>
          <w:sz w:val="24"/>
          <w:szCs w:val="24"/>
        </w:rPr>
        <w:t xml:space="preserve"> było często </w:t>
      </w:r>
      <w:r w:rsidR="000F78FE">
        <w:rPr>
          <w:rFonts w:ascii="Times New Roman" w:hAnsi="Times New Roman" w:cs="Times New Roman"/>
          <w:sz w:val="24"/>
          <w:szCs w:val="24"/>
        </w:rPr>
        <w:t>osiągany przez</w:t>
      </w:r>
      <w:r w:rsidR="00607F4C">
        <w:rPr>
          <w:rFonts w:ascii="Times New Roman" w:hAnsi="Times New Roman" w:cs="Times New Roman"/>
          <w:sz w:val="24"/>
          <w:szCs w:val="24"/>
        </w:rPr>
        <w:t xml:space="preserve"> sprzedaż majątku.</w:t>
      </w:r>
      <w:r w:rsidR="00BC6507">
        <w:rPr>
          <w:rFonts w:ascii="Times New Roman" w:hAnsi="Times New Roman" w:cs="Times New Roman"/>
          <w:sz w:val="24"/>
          <w:szCs w:val="24"/>
        </w:rPr>
        <w:t xml:space="preserve"> </w:t>
      </w:r>
      <w:r w:rsidR="00CA236C">
        <w:rPr>
          <w:rFonts w:ascii="Times New Roman" w:hAnsi="Times New Roman" w:cs="Times New Roman"/>
          <w:sz w:val="24"/>
          <w:szCs w:val="24"/>
        </w:rPr>
        <w:t>Obniżył się tu</w:t>
      </w:r>
      <w:r w:rsidR="002B3DB1">
        <w:rPr>
          <w:rFonts w:ascii="Times New Roman" w:hAnsi="Times New Roman" w:cs="Times New Roman"/>
          <w:sz w:val="24"/>
          <w:szCs w:val="24"/>
        </w:rPr>
        <w:t xml:space="preserve"> również wskaźnik generowania gotówki operacyjnej</w:t>
      </w:r>
      <w:r w:rsidR="009A43F9">
        <w:rPr>
          <w:rFonts w:ascii="Times New Roman" w:hAnsi="Times New Roman" w:cs="Times New Roman"/>
          <w:sz w:val="24"/>
          <w:szCs w:val="24"/>
        </w:rPr>
        <w:t>,</w:t>
      </w:r>
      <w:r w:rsidR="002B3DB1">
        <w:rPr>
          <w:rFonts w:ascii="Times New Roman" w:hAnsi="Times New Roman" w:cs="Times New Roman"/>
          <w:sz w:val="24"/>
          <w:szCs w:val="24"/>
        </w:rPr>
        <w:t xml:space="preserve"> o </w:t>
      </w:r>
      <w:r w:rsidR="00D0494B">
        <w:rPr>
          <w:rFonts w:ascii="Times New Roman" w:hAnsi="Times New Roman" w:cs="Times New Roman"/>
          <w:sz w:val="24"/>
          <w:szCs w:val="24"/>
        </w:rPr>
        <w:t>4,</w:t>
      </w:r>
      <w:r w:rsidR="002B3DB1">
        <w:rPr>
          <w:rFonts w:ascii="Times New Roman" w:hAnsi="Times New Roman" w:cs="Times New Roman"/>
          <w:sz w:val="24"/>
          <w:szCs w:val="24"/>
        </w:rPr>
        <w:t>1</w:t>
      </w:r>
      <w:r w:rsidR="00C75A59">
        <w:rPr>
          <w:rFonts w:ascii="Times New Roman" w:hAnsi="Times New Roman" w:cs="Times New Roman"/>
          <w:sz w:val="24"/>
          <w:szCs w:val="24"/>
        </w:rPr>
        <w:t xml:space="preserve"> </w:t>
      </w:r>
      <w:r w:rsidR="002B3DB1">
        <w:rPr>
          <w:rFonts w:ascii="Times New Roman" w:hAnsi="Times New Roman" w:cs="Times New Roman"/>
          <w:sz w:val="24"/>
          <w:szCs w:val="24"/>
        </w:rPr>
        <w:t>p.p.</w:t>
      </w:r>
      <w:r w:rsidR="00D0494B">
        <w:rPr>
          <w:rFonts w:ascii="Times New Roman" w:hAnsi="Times New Roman" w:cs="Times New Roman"/>
          <w:sz w:val="24"/>
          <w:szCs w:val="24"/>
        </w:rPr>
        <w:t>, osiągając najniższ</w:t>
      </w:r>
      <w:r w:rsidR="00607F4C">
        <w:rPr>
          <w:rFonts w:ascii="Times New Roman" w:hAnsi="Times New Roman" w:cs="Times New Roman"/>
          <w:sz w:val="24"/>
          <w:szCs w:val="24"/>
        </w:rPr>
        <w:t>ą</w:t>
      </w:r>
      <w:r w:rsidR="00D0494B">
        <w:rPr>
          <w:rFonts w:ascii="Times New Roman" w:hAnsi="Times New Roman" w:cs="Times New Roman"/>
          <w:sz w:val="24"/>
          <w:szCs w:val="24"/>
        </w:rPr>
        <w:t xml:space="preserve"> w historii</w:t>
      </w:r>
      <w:r w:rsidR="00607F4C">
        <w:rPr>
          <w:rFonts w:ascii="Times New Roman" w:hAnsi="Times New Roman" w:cs="Times New Roman"/>
          <w:sz w:val="24"/>
          <w:szCs w:val="24"/>
        </w:rPr>
        <w:t xml:space="preserve"> wartość 5%</w:t>
      </w:r>
      <w:r w:rsidR="005531D3">
        <w:rPr>
          <w:rFonts w:ascii="Times New Roman" w:hAnsi="Times New Roman" w:cs="Times New Roman"/>
          <w:sz w:val="24"/>
          <w:szCs w:val="24"/>
        </w:rPr>
        <w:t>,</w:t>
      </w:r>
      <w:r w:rsidR="009A43F9">
        <w:rPr>
          <w:rFonts w:ascii="Times New Roman" w:hAnsi="Times New Roman" w:cs="Times New Roman"/>
          <w:sz w:val="24"/>
          <w:szCs w:val="24"/>
        </w:rPr>
        <w:t xml:space="preserve"> co</w:t>
      </w:r>
      <w:r w:rsidR="005531D3">
        <w:rPr>
          <w:rFonts w:ascii="Times New Roman" w:hAnsi="Times New Roman" w:cs="Times New Roman"/>
          <w:sz w:val="24"/>
          <w:szCs w:val="24"/>
        </w:rPr>
        <w:t xml:space="preserve"> </w:t>
      </w:r>
      <w:r w:rsidR="00CA236C">
        <w:rPr>
          <w:rFonts w:ascii="Times New Roman" w:hAnsi="Times New Roman" w:cs="Times New Roman"/>
          <w:sz w:val="24"/>
          <w:szCs w:val="24"/>
        </w:rPr>
        <w:t>było prawdop</w:t>
      </w:r>
      <w:r w:rsidR="00607F4C">
        <w:rPr>
          <w:rFonts w:ascii="Times New Roman" w:hAnsi="Times New Roman" w:cs="Times New Roman"/>
          <w:sz w:val="24"/>
          <w:szCs w:val="24"/>
        </w:rPr>
        <w:t>odobnie jedną z przyczyn wyraźnego spadku inwestycji w tej grupie</w:t>
      </w:r>
      <w:r w:rsidR="00CA236C">
        <w:rPr>
          <w:rFonts w:ascii="Times New Roman" w:hAnsi="Times New Roman" w:cs="Times New Roman"/>
          <w:sz w:val="24"/>
          <w:szCs w:val="24"/>
        </w:rPr>
        <w:t>.</w:t>
      </w:r>
    </w:p>
    <w:p w:rsidR="009D6045" w:rsidRDefault="00CA236C" w:rsidP="005767E1">
      <w:pPr>
        <w:spacing w:before="80" w:after="0" w:line="264"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Spółdzielnie o ukierunkowaniu roślinnym w </w:t>
      </w:r>
      <w:r w:rsidR="0034749C">
        <w:rPr>
          <w:rFonts w:ascii="Times New Roman" w:hAnsi="Times New Roman" w:cs="Times New Roman"/>
          <w:sz w:val="24"/>
          <w:szCs w:val="24"/>
        </w:rPr>
        <w:t>ostatnim okresie przeżywają szczególnie trudny czas</w:t>
      </w:r>
      <w:r w:rsidR="009A43F9">
        <w:rPr>
          <w:rFonts w:ascii="Times New Roman" w:hAnsi="Times New Roman" w:cs="Times New Roman"/>
          <w:sz w:val="24"/>
          <w:szCs w:val="24"/>
        </w:rPr>
        <w:t>.</w:t>
      </w:r>
      <w:r w:rsidR="0034749C">
        <w:rPr>
          <w:rFonts w:ascii="Times New Roman" w:hAnsi="Times New Roman" w:cs="Times New Roman"/>
          <w:sz w:val="24"/>
          <w:szCs w:val="24"/>
        </w:rPr>
        <w:t xml:space="preserve"> </w:t>
      </w:r>
      <w:r w:rsidR="009A43F9">
        <w:rPr>
          <w:rFonts w:ascii="Times New Roman" w:hAnsi="Times New Roman" w:cs="Times New Roman"/>
          <w:sz w:val="24"/>
          <w:szCs w:val="24"/>
        </w:rPr>
        <w:t xml:space="preserve">Relatywnie </w:t>
      </w:r>
      <w:r w:rsidR="00607F4C">
        <w:rPr>
          <w:rFonts w:ascii="Times New Roman" w:hAnsi="Times New Roman" w:cs="Times New Roman"/>
          <w:sz w:val="24"/>
          <w:szCs w:val="24"/>
        </w:rPr>
        <w:t>niskie ceny</w:t>
      </w:r>
      <w:r w:rsidR="0034749C">
        <w:rPr>
          <w:rFonts w:ascii="Times New Roman" w:hAnsi="Times New Roman" w:cs="Times New Roman"/>
          <w:sz w:val="24"/>
          <w:szCs w:val="24"/>
        </w:rPr>
        <w:t xml:space="preserve"> zbóż połączon</w:t>
      </w:r>
      <w:r w:rsidR="00607F4C">
        <w:rPr>
          <w:rFonts w:ascii="Times New Roman" w:hAnsi="Times New Roman" w:cs="Times New Roman"/>
          <w:sz w:val="24"/>
          <w:szCs w:val="24"/>
        </w:rPr>
        <w:t>e</w:t>
      </w:r>
      <w:r w:rsidR="0034749C">
        <w:rPr>
          <w:rFonts w:ascii="Times New Roman" w:hAnsi="Times New Roman" w:cs="Times New Roman"/>
          <w:sz w:val="24"/>
          <w:szCs w:val="24"/>
        </w:rPr>
        <w:t xml:space="preserve"> z rekordowo niskimi zbiorami </w:t>
      </w:r>
      <w:r w:rsidR="00607F4C">
        <w:rPr>
          <w:rFonts w:ascii="Times New Roman" w:hAnsi="Times New Roman" w:cs="Times New Roman"/>
          <w:sz w:val="24"/>
          <w:szCs w:val="24"/>
        </w:rPr>
        <w:t>były</w:t>
      </w:r>
      <w:r w:rsidR="0034749C">
        <w:rPr>
          <w:rFonts w:ascii="Times New Roman" w:hAnsi="Times New Roman" w:cs="Times New Roman"/>
          <w:sz w:val="24"/>
          <w:szCs w:val="24"/>
        </w:rPr>
        <w:t xml:space="preserve"> wyjątkowo widoczn</w:t>
      </w:r>
      <w:r w:rsidR="00607F4C">
        <w:rPr>
          <w:rFonts w:ascii="Times New Roman" w:hAnsi="Times New Roman" w:cs="Times New Roman"/>
          <w:sz w:val="24"/>
          <w:szCs w:val="24"/>
        </w:rPr>
        <w:t>e</w:t>
      </w:r>
      <w:r w:rsidR="0034749C">
        <w:rPr>
          <w:rFonts w:ascii="Times New Roman" w:hAnsi="Times New Roman" w:cs="Times New Roman"/>
          <w:sz w:val="24"/>
          <w:szCs w:val="24"/>
        </w:rPr>
        <w:t xml:space="preserve"> w wynikach tej grupy. Rentowność działalności gospodarczej obniżyła się o 4,4 p.p. i była najniższa w całym analizowanym okresie</w:t>
      </w:r>
      <w:r w:rsidR="002B690D">
        <w:rPr>
          <w:rFonts w:ascii="Times New Roman" w:hAnsi="Times New Roman" w:cs="Times New Roman"/>
          <w:sz w:val="24"/>
          <w:szCs w:val="24"/>
        </w:rPr>
        <w:t>. Ł</w:t>
      </w:r>
      <w:r w:rsidR="0034749C">
        <w:rPr>
          <w:rFonts w:ascii="Times New Roman" w:hAnsi="Times New Roman" w:cs="Times New Roman"/>
          <w:sz w:val="24"/>
          <w:szCs w:val="24"/>
        </w:rPr>
        <w:t>agodniejszemu obniżeniu</w:t>
      </w:r>
      <w:r w:rsidR="002B690D">
        <w:rPr>
          <w:rFonts w:ascii="Times New Roman" w:hAnsi="Times New Roman" w:cs="Times New Roman"/>
          <w:sz w:val="24"/>
          <w:szCs w:val="24"/>
        </w:rPr>
        <w:t>, bo o 2,7 p.p.</w:t>
      </w:r>
      <w:r w:rsidR="009A43F9">
        <w:rPr>
          <w:rFonts w:ascii="Times New Roman" w:hAnsi="Times New Roman" w:cs="Times New Roman"/>
          <w:sz w:val="24"/>
          <w:szCs w:val="24"/>
        </w:rPr>
        <w:t>,</w:t>
      </w:r>
      <w:r w:rsidR="002B690D">
        <w:rPr>
          <w:rFonts w:ascii="Times New Roman" w:hAnsi="Times New Roman" w:cs="Times New Roman"/>
          <w:sz w:val="24"/>
          <w:szCs w:val="24"/>
        </w:rPr>
        <w:t xml:space="preserve"> uległ wskaźnik wa</w:t>
      </w:r>
      <w:r w:rsidR="0093666F">
        <w:rPr>
          <w:rFonts w:ascii="Times New Roman" w:hAnsi="Times New Roman" w:cs="Times New Roman"/>
          <w:sz w:val="24"/>
          <w:szCs w:val="24"/>
        </w:rPr>
        <w:t>rtości dodanej. Mimo regularnego ograniczania</w:t>
      </w:r>
      <w:r w:rsidR="002B690D">
        <w:rPr>
          <w:rFonts w:ascii="Times New Roman" w:hAnsi="Times New Roman" w:cs="Times New Roman"/>
          <w:sz w:val="24"/>
          <w:szCs w:val="24"/>
        </w:rPr>
        <w:t xml:space="preserve"> zatrudnienia</w:t>
      </w:r>
      <w:r w:rsidR="0093666F">
        <w:rPr>
          <w:rFonts w:ascii="Times New Roman" w:hAnsi="Times New Roman" w:cs="Times New Roman"/>
          <w:sz w:val="24"/>
          <w:szCs w:val="24"/>
        </w:rPr>
        <w:t>,</w:t>
      </w:r>
      <w:r w:rsidR="002B690D">
        <w:rPr>
          <w:rFonts w:ascii="Times New Roman" w:hAnsi="Times New Roman" w:cs="Times New Roman"/>
          <w:sz w:val="24"/>
          <w:szCs w:val="24"/>
        </w:rPr>
        <w:t xml:space="preserve"> ukierunkowanie roślinne </w:t>
      </w:r>
      <w:r w:rsidR="0093666F">
        <w:rPr>
          <w:rFonts w:ascii="Times New Roman" w:hAnsi="Times New Roman" w:cs="Times New Roman"/>
          <w:sz w:val="24"/>
          <w:szCs w:val="24"/>
        </w:rPr>
        <w:t>siln</w:t>
      </w:r>
      <w:r w:rsidR="00C76C2E">
        <w:rPr>
          <w:rFonts w:ascii="Times New Roman" w:hAnsi="Times New Roman" w:cs="Times New Roman"/>
          <w:sz w:val="24"/>
          <w:szCs w:val="24"/>
        </w:rPr>
        <w:t>ie</w:t>
      </w:r>
      <w:r w:rsidR="002B690D">
        <w:rPr>
          <w:rFonts w:ascii="Times New Roman" w:hAnsi="Times New Roman" w:cs="Times New Roman"/>
          <w:sz w:val="24"/>
          <w:szCs w:val="24"/>
        </w:rPr>
        <w:t xml:space="preserve"> odczuło</w:t>
      </w:r>
      <w:r w:rsidR="00C76C2E">
        <w:rPr>
          <w:rFonts w:ascii="Times New Roman" w:hAnsi="Times New Roman" w:cs="Times New Roman"/>
          <w:sz w:val="24"/>
          <w:szCs w:val="24"/>
        </w:rPr>
        <w:t xml:space="preserve"> w ostatnim roku</w:t>
      </w:r>
      <w:r w:rsidR="002B690D">
        <w:rPr>
          <w:rFonts w:ascii="Times New Roman" w:hAnsi="Times New Roman" w:cs="Times New Roman"/>
          <w:sz w:val="24"/>
          <w:szCs w:val="24"/>
        </w:rPr>
        <w:t xml:space="preserve"> spadek dochodowości pracy</w:t>
      </w:r>
      <w:r w:rsidR="009A43F9">
        <w:rPr>
          <w:rFonts w:ascii="Times New Roman" w:hAnsi="Times New Roman" w:cs="Times New Roman"/>
          <w:sz w:val="24"/>
          <w:szCs w:val="24"/>
        </w:rPr>
        <w:t>,</w:t>
      </w:r>
      <w:r w:rsidR="002B690D">
        <w:rPr>
          <w:rFonts w:ascii="Times New Roman" w:hAnsi="Times New Roman" w:cs="Times New Roman"/>
          <w:sz w:val="24"/>
          <w:szCs w:val="24"/>
        </w:rPr>
        <w:t xml:space="preserve"> z 72</w:t>
      </w:r>
      <w:r w:rsidR="00C76C2E">
        <w:rPr>
          <w:rFonts w:ascii="Times New Roman" w:hAnsi="Times New Roman" w:cs="Times New Roman"/>
          <w:sz w:val="24"/>
          <w:szCs w:val="24"/>
        </w:rPr>
        <w:t>,3</w:t>
      </w:r>
      <w:r w:rsidR="002B690D">
        <w:rPr>
          <w:rFonts w:ascii="Times New Roman" w:hAnsi="Times New Roman" w:cs="Times New Roman"/>
          <w:sz w:val="24"/>
          <w:szCs w:val="24"/>
        </w:rPr>
        <w:t xml:space="preserve"> do 57,5 tys. zł na członka</w:t>
      </w:r>
      <w:r w:rsidR="00F9644B">
        <w:rPr>
          <w:rFonts w:ascii="Times New Roman" w:hAnsi="Times New Roman" w:cs="Times New Roman"/>
          <w:sz w:val="24"/>
          <w:szCs w:val="24"/>
        </w:rPr>
        <w:t>. Nieco inaczej kształtowała się sytuacja w przypadku wydajności pracy mierzonej wartością dodaną</w:t>
      </w:r>
      <w:r w:rsidR="009A43F9">
        <w:rPr>
          <w:rFonts w:ascii="Times New Roman" w:hAnsi="Times New Roman" w:cs="Times New Roman"/>
          <w:sz w:val="24"/>
          <w:szCs w:val="24"/>
        </w:rPr>
        <w:t>.</w:t>
      </w:r>
      <w:r w:rsidR="00F9644B">
        <w:rPr>
          <w:rFonts w:ascii="Times New Roman" w:hAnsi="Times New Roman" w:cs="Times New Roman"/>
          <w:sz w:val="24"/>
          <w:szCs w:val="24"/>
        </w:rPr>
        <w:t xml:space="preserve"> </w:t>
      </w:r>
      <w:r w:rsidR="009A43F9">
        <w:rPr>
          <w:rFonts w:ascii="Times New Roman" w:hAnsi="Times New Roman" w:cs="Times New Roman"/>
          <w:sz w:val="24"/>
          <w:szCs w:val="24"/>
        </w:rPr>
        <w:t xml:space="preserve">Wskaźnik </w:t>
      </w:r>
      <w:r w:rsidR="00F9644B">
        <w:rPr>
          <w:rFonts w:ascii="Times New Roman" w:hAnsi="Times New Roman" w:cs="Times New Roman"/>
          <w:sz w:val="24"/>
          <w:szCs w:val="24"/>
        </w:rPr>
        <w:t>ten, co prawda uległ wyraźnemu obniżeniu, ale nie przekroczył minimum</w:t>
      </w:r>
      <w:r w:rsidR="0093666F">
        <w:rPr>
          <w:rFonts w:ascii="Times New Roman" w:hAnsi="Times New Roman" w:cs="Times New Roman"/>
          <w:sz w:val="24"/>
          <w:szCs w:val="24"/>
        </w:rPr>
        <w:t>,</w:t>
      </w:r>
      <w:r w:rsidR="00F9644B">
        <w:rPr>
          <w:rFonts w:ascii="Times New Roman" w:hAnsi="Times New Roman" w:cs="Times New Roman"/>
          <w:sz w:val="24"/>
          <w:szCs w:val="24"/>
        </w:rPr>
        <w:t xml:space="preserve"> </w:t>
      </w:r>
      <w:r w:rsidR="009D6045">
        <w:rPr>
          <w:rFonts w:ascii="Times New Roman" w:hAnsi="Times New Roman" w:cs="Times New Roman"/>
          <w:sz w:val="24"/>
          <w:szCs w:val="24"/>
        </w:rPr>
        <w:t>j</w:t>
      </w:r>
      <w:r w:rsidR="00F9644B">
        <w:rPr>
          <w:rFonts w:ascii="Times New Roman" w:hAnsi="Times New Roman" w:cs="Times New Roman"/>
          <w:sz w:val="24"/>
          <w:szCs w:val="24"/>
        </w:rPr>
        <w:t xml:space="preserve">akie </w:t>
      </w:r>
      <w:r w:rsidR="009D6045">
        <w:rPr>
          <w:rFonts w:ascii="Times New Roman" w:hAnsi="Times New Roman" w:cs="Times New Roman"/>
          <w:sz w:val="24"/>
          <w:szCs w:val="24"/>
        </w:rPr>
        <w:t>obserwowaliśmy w momencie 25</w:t>
      </w:r>
      <w:r w:rsidR="0093666F">
        <w:rPr>
          <w:rFonts w:ascii="Times New Roman" w:hAnsi="Times New Roman" w:cs="Times New Roman"/>
          <w:sz w:val="24"/>
          <w:szCs w:val="24"/>
        </w:rPr>
        <w:t>%</w:t>
      </w:r>
      <w:r w:rsidR="009D6045">
        <w:rPr>
          <w:rFonts w:ascii="Times New Roman" w:hAnsi="Times New Roman" w:cs="Times New Roman"/>
          <w:sz w:val="24"/>
          <w:szCs w:val="24"/>
        </w:rPr>
        <w:t xml:space="preserve"> przeceny zbóż</w:t>
      </w:r>
      <w:r w:rsidR="00F9644B">
        <w:rPr>
          <w:rFonts w:ascii="Times New Roman" w:hAnsi="Times New Roman" w:cs="Times New Roman"/>
          <w:sz w:val="24"/>
          <w:szCs w:val="24"/>
        </w:rPr>
        <w:t xml:space="preserve"> </w:t>
      </w:r>
      <w:r w:rsidR="009D6045">
        <w:rPr>
          <w:rFonts w:ascii="Times New Roman" w:hAnsi="Times New Roman" w:cs="Times New Roman"/>
          <w:sz w:val="24"/>
          <w:szCs w:val="24"/>
        </w:rPr>
        <w:t xml:space="preserve">w </w:t>
      </w:r>
      <w:r w:rsidR="00F9644B">
        <w:rPr>
          <w:rFonts w:ascii="Times New Roman" w:hAnsi="Times New Roman" w:cs="Times New Roman"/>
          <w:sz w:val="24"/>
          <w:szCs w:val="24"/>
        </w:rPr>
        <w:t>2013</w:t>
      </w:r>
      <w:r w:rsidR="00DF72D4">
        <w:rPr>
          <w:rFonts w:ascii="Times New Roman" w:hAnsi="Times New Roman" w:cs="Times New Roman"/>
          <w:sz w:val="24"/>
          <w:szCs w:val="24"/>
        </w:rPr>
        <w:t xml:space="preserve"> r.</w:t>
      </w:r>
      <w:r w:rsidR="00DA4291">
        <w:rPr>
          <w:rFonts w:ascii="Times New Roman" w:hAnsi="Times New Roman" w:cs="Times New Roman"/>
          <w:sz w:val="24"/>
          <w:szCs w:val="24"/>
        </w:rPr>
        <w:t xml:space="preserve"> Niższa produkcja</w:t>
      </w:r>
      <w:r w:rsidR="00607F4C">
        <w:rPr>
          <w:rFonts w:ascii="Times New Roman" w:hAnsi="Times New Roman" w:cs="Times New Roman"/>
          <w:sz w:val="24"/>
          <w:szCs w:val="24"/>
        </w:rPr>
        <w:t xml:space="preserve"> i</w:t>
      </w:r>
      <w:r w:rsidR="00DA4291">
        <w:rPr>
          <w:rFonts w:ascii="Times New Roman" w:hAnsi="Times New Roman" w:cs="Times New Roman"/>
          <w:sz w:val="24"/>
          <w:szCs w:val="24"/>
        </w:rPr>
        <w:t xml:space="preserve"> r</w:t>
      </w:r>
      <w:r w:rsidR="009D6045">
        <w:rPr>
          <w:rFonts w:ascii="Times New Roman" w:hAnsi="Times New Roman" w:cs="Times New Roman"/>
          <w:sz w:val="24"/>
          <w:szCs w:val="24"/>
        </w:rPr>
        <w:t>elatywnie niskie przychody</w:t>
      </w:r>
      <w:r w:rsidR="00DA4291">
        <w:rPr>
          <w:rFonts w:ascii="Times New Roman" w:hAnsi="Times New Roman" w:cs="Times New Roman"/>
          <w:sz w:val="24"/>
          <w:szCs w:val="24"/>
        </w:rPr>
        <w:t xml:space="preserve"> ze sprzedaży</w:t>
      </w:r>
      <w:r w:rsidR="009D6045">
        <w:rPr>
          <w:rFonts w:ascii="Times New Roman" w:hAnsi="Times New Roman" w:cs="Times New Roman"/>
          <w:sz w:val="24"/>
          <w:szCs w:val="24"/>
        </w:rPr>
        <w:t xml:space="preserve"> spowodowały obniżenie </w:t>
      </w:r>
      <w:r w:rsidR="009D6045">
        <w:rPr>
          <w:rFonts w:ascii="Times New Roman" w:hAnsi="Times New Roman" w:cs="Times New Roman"/>
          <w:sz w:val="24"/>
          <w:szCs w:val="24"/>
        </w:rPr>
        <w:lastRenderedPageBreak/>
        <w:t>wskaźnika</w:t>
      </w:r>
      <w:r w:rsidR="00607F4C">
        <w:rPr>
          <w:rFonts w:ascii="Times New Roman" w:hAnsi="Times New Roman" w:cs="Times New Roman"/>
          <w:sz w:val="24"/>
          <w:szCs w:val="24"/>
        </w:rPr>
        <w:t xml:space="preserve"> przychodów</w:t>
      </w:r>
      <w:r w:rsidR="009D6045">
        <w:rPr>
          <w:rFonts w:ascii="Times New Roman" w:hAnsi="Times New Roman" w:cs="Times New Roman"/>
          <w:sz w:val="24"/>
          <w:szCs w:val="24"/>
        </w:rPr>
        <w:t xml:space="preserve"> </w:t>
      </w:r>
      <w:r w:rsidR="00607F4C">
        <w:rPr>
          <w:rFonts w:ascii="Times New Roman" w:hAnsi="Times New Roman" w:cs="Times New Roman"/>
          <w:sz w:val="24"/>
          <w:szCs w:val="24"/>
        </w:rPr>
        <w:t>na</w:t>
      </w:r>
      <w:r w:rsidR="009D6045">
        <w:rPr>
          <w:rFonts w:ascii="Times New Roman" w:hAnsi="Times New Roman" w:cs="Times New Roman"/>
          <w:sz w:val="24"/>
          <w:szCs w:val="24"/>
        </w:rPr>
        <w:t xml:space="preserve"> 1 ha </w:t>
      </w:r>
      <w:r w:rsidR="00684103">
        <w:rPr>
          <w:rFonts w:ascii="Times New Roman" w:hAnsi="Times New Roman" w:cs="Times New Roman"/>
          <w:sz w:val="24"/>
          <w:szCs w:val="24"/>
        </w:rPr>
        <w:t>użytków</w:t>
      </w:r>
      <w:r w:rsidR="009D6045">
        <w:rPr>
          <w:rFonts w:ascii="Times New Roman" w:hAnsi="Times New Roman" w:cs="Times New Roman"/>
          <w:sz w:val="24"/>
          <w:szCs w:val="24"/>
        </w:rPr>
        <w:t xml:space="preserve"> rolnych z 7,5 do 6,2 tys. zł</w:t>
      </w:r>
      <w:r w:rsidR="00DA4291">
        <w:rPr>
          <w:rFonts w:ascii="Times New Roman" w:hAnsi="Times New Roman" w:cs="Times New Roman"/>
          <w:sz w:val="24"/>
          <w:szCs w:val="24"/>
        </w:rPr>
        <w:t>. Spółdzie</w:t>
      </w:r>
      <w:r w:rsidR="0093666F">
        <w:rPr>
          <w:rFonts w:ascii="Times New Roman" w:hAnsi="Times New Roman" w:cs="Times New Roman"/>
          <w:sz w:val="24"/>
          <w:szCs w:val="24"/>
        </w:rPr>
        <w:t>lnie o ukierunkowaniu roślinnym</w:t>
      </w:r>
      <w:r w:rsidR="00DF72D4">
        <w:rPr>
          <w:rFonts w:ascii="Times New Roman" w:hAnsi="Times New Roman" w:cs="Times New Roman"/>
          <w:sz w:val="24"/>
          <w:szCs w:val="24"/>
        </w:rPr>
        <w:t xml:space="preserve"> w 2015 r.</w:t>
      </w:r>
      <w:r w:rsidR="00DA4291">
        <w:rPr>
          <w:rFonts w:ascii="Times New Roman" w:hAnsi="Times New Roman" w:cs="Times New Roman"/>
          <w:sz w:val="24"/>
          <w:szCs w:val="24"/>
        </w:rPr>
        <w:t xml:space="preserve"> z pewnością odczuły ograniczenie wolnych środków,</w:t>
      </w:r>
      <w:r w:rsidR="009A43F9">
        <w:rPr>
          <w:rFonts w:ascii="Times New Roman" w:hAnsi="Times New Roman" w:cs="Times New Roman"/>
          <w:sz w:val="24"/>
          <w:szCs w:val="24"/>
        </w:rPr>
        <w:t xml:space="preserve"> gdyż</w:t>
      </w:r>
      <w:r w:rsidR="00DA4291">
        <w:rPr>
          <w:rFonts w:ascii="Times New Roman" w:hAnsi="Times New Roman" w:cs="Times New Roman"/>
          <w:sz w:val="24"/>
          <w:szCs w:val="24"/>
        </w:rPr>
        <w:t xml:space="preserve"> ostatni rok był kolejnym</w:t>
      </w:r>
      <w:r w:rsidR="0093666F">
        <w:rPr>
          <w:rFonts w:ascii="Times New Roman" w:hAnsi="Times New Roman" w:cs="Times New Roman"/>
          <w:sz w:val="24"/>
          <w:szCs w:val="24"/>
        </w:rPr>
        <w:t>,</w:t>
      </w:r>
      <w:r w:rsidR="00DA4291">
        <w:rPr>
          <w:rFonts w:ascii="Times New Roman" w:hAnsi="Times New Roman" w:cs="Times New Roman"/>
          <w:sz w:val="24"/>
          <w:szCs w:val="24"/>
        </w:rPr>
        <w:t xml:space="preserve"> kiedy stosunek nadwyżki operacyjnej do sumy p</w:t>
      </w:r>
      <w:r w:rsidR="0093666F">
        <w:rPr>
          <w:rFonts w:ascii="Times New Roman" w:hAnsi="Times New Roman" w:cs="Times New Roman"/>
          <w:sz w:val="24"/>
          <w:szCs w:val="24"/>
        </w:rPr>
        <w:t>rzychodów, wyrażony we wskaźniku</w:t>
      </w:r>
      <w:r w:rsidR="00DA4291">
        <w:rPr>
          <w:rFonts w:ascii="Times New Roman" w:hAnsi="Times New Roman" w:cs="Times New Roman"/>
          <w:sz w:val="24"/>
          <w:szCs w:val="24"/>
        </w:rPr>
        <w:t xml:space="preserve"> generowania gotówki operacyjnej</w:t>
      </w:r>
      <w:r w:rsidR="0093666F">
        <w:rPr>
          <w:rFonts w:ascii="Times New Roman" w:hAnsi="Times New Roman" w:cs="Times New Roman"/>
          <w:sz w:val="24"/>
          <w:szCs w:val="24"/>
        </w:rPr>
        <w:t>,</w:t>
      </w:r>
      <w:r w:rsidR="00DA4291">
        <w:rPr>
          <w:rFonts w:ascii="Times New Roman" w:hAnsi="Times New Roman" w:cs="Times New Roman"/>
          <w:sz w:val="24"/>
          <w:szCs w:val="24"/>
        </w:rPr>
        <w:t xml:space="preserve"> ulegał obniżeniu. </w:t>
      </w:r>
      <w:r w:rsidR="00952B72">
        <w:rPr>
          <w:rFonts w:ascii="Times New Roman" w:hAnsi="Times New Roman" w:cs="Times New Roman"/>
          <w:sz w:val="24"/>
          <w:szCs w:val="24"/>
        </w:rPr>
        <w:t>Należy je</w:t>
      </w:r>
      <w:r w:rsidR="0093666F">
        <w:rPr>
          <w:rFonts w:ascii="Times New Roman" w:hAnsi="Times New Roman" w:cs="Times New Roman"/>
          <w:sz w:val="24"/>
          <w:szCs w:val="24"/>
        </w:rPr>
        <w:t>dnak zaznaczyć, że pomimo wyraźnej</w:t>
      </w:r>
      <w:r w:rsidR="00952B72">
        <w:rPr>
          <w:rFonts w:ascii="Times New Roman" w:hAnsi="Times New Roman" w:cs="Times New Roman"/>
          <w:sz w:val="24"/>
          <w:szCs w:val="24"/>
        </w:rPr>
        <w:t xml:space="preserve"> tendencji spadkowej</w:t>
      </w:r>
      <w:r w:rsidR="0093666F">
        <w:rPr>
          <w:rFonts w:ascii="Times New Roman" w:hAnsi="Times New Roman" w:cs="Times New Roman"/>
          <w:sz w:val="24"/>
          <w:szCs w:val="24"/>
        </w:rPr>
        <w:t>,</w:t>
      </w:r>
      <w:r w:rsidR="00952B72">
        <w:rPr>
          <w:rFonts w:ascii="Times New Roman" w:hAnsi="Times New Roman" w:cs="Times New Roman"/>
          <w:sz w:val="24"/>
          <w:szCs w:val="24"/>
        </w:rPr>
        <w:t xml:space="preserve"> ukierunkowanie roślinne utrzymało ten wskaźnik na najwyższym poziomie. Niewielki wzrost odnotowano w tej grupie w dziedzinie działalności inwestycyjnej</w:t>
      </w:r>
      <w:r w:rsidR="009A43F9">
        <w:rPr>
          <w:rFonts w:ascii="Times New Roman" w:hAnsi="Times New Roman" w:cs="Times New Roman"/>
          <w:sz w:val="24"/>
          <w:szCs w:val="24"/>
        </w:rPr>
        <w:t>.</w:t>
      </w:r>
      <w:r w:rsidR="001E053D">
        <w:rPr>
          <w:rFonts w:ascii="Times New Roman" w:hAnsi="Times New Roman" w:cs="Times New Roman"/>
          <w:sz w:val="24"/>
          <w:szCs w:val="24"/>
        </w:rPr>
        <w:t xml:space="preserve"> </w:t>
      </w:r>
      <w:r w:rsidR="009A43F9">
        <w:rPr>
          <w:rFonts w:ascii="Times New Roman" w:hAnsi="Times New Roman" w:cs="Times New Roman"/>
          <w:sz w:val="24"/>
          <w:szCs w:val="24"/>
        </w:rPr>
        <w:t xml:space="preserve">Należy </w:t>
      </w:r>
      <w:r w:rsidR="001E053D">
        <w:rPr>
          <w:rFonts w:ascii="Times New Roman" w:hAnsi="Times New Roman" w:cs="Times New Roman"/>
          <w:sz w:val="24"/>
          <w:szCs w:val="24"/>
        </w:rPr>
        <w:t>w tym miejscu wspomnieć, że to właśnie spółdzielnie o ukierunkowaniu roślinnym najczęściej przy finansowaniu maszyn i urządzeń korzystały z usług firm leasingowych</w:t>
      </w:r>
      <w:r w:rsidR="001A5C7D">
        <w:rPr>
          <w:rFonts w:ascii="Times New Roman" w:hAnsi="Times New Roman" w:cs="Times New Roman"/>
          <w:sz w:val="24"/>
          <w:szCs w:val="24"/>
        </w:rPr>
        <w:t xml:space="preserve">. </w:t>
      </w:r>
      <w:r w:rsidR="00FC7CDB">
        <w:rPr>
          <w:rFonts w:ascii="Times New Roman" w:hAnsi="Times New Roman" w:cs="Times New Roman"/>
          <w:sz w:val="24"/>
          <w:szCs w:val="24"/>
        </w:rPr>
        <w:t>Zadziwiające, że wobec klęski suszy</w:t>
      </w:r>
      <w:r w:rsidR="0093666F">
        <w:rPr>
          <w:rFonts w:ascii="Times New Roman" w:hAnsi="Times New Roman" w:cs="Times New Roman"/>
          <w:sz w:val="24"/>
          <w:szCs w:val="24"/>
        </w:rPr>
        <w:t>,</w:t>
      </w:r>
      <w:r w:rsidR="00FC7CDB">
        <w:rPr>
          <w:rFonts w:ascii="Times New Roman" w:hAnsi="Times New Roman" w:cs="Times New Roman"/>
          <w:sz w:val="24"/>
          <w:szCs w:val="24"/>
        </w:rPr>
        <w:t xml:space="preserve"> jaką </w:t>
      </w:r>
      <w:r w:rsidR="00DF72D4">
        <w:rPr>
          <w:rFonts w:ascii="Times New Roman" w:hAnsi="Times New Roman" w:cs="Times New Roman"/>
          <w:sz w:val="24"/>
          <w:szCs w:val="24"/>
        </w:rPr>
        <w:t>obserwowano w Polsce w 2015 r.</w:t>
      </w:r>
      <w:r w:rsidR="00FC7CDB">
        <w:rPr>
          <w:rFonts w:ascii="Times New Roman" w:hAnsi="Times New Roman" w:cs="Times New Roman"/>
          <w:sz w:val="24"/>
          <w:szCs w:val="24"/>
        </w:rPr>
        <w:t>, spółdzielnie</w:t>
      </w:r>
      <w:r w:rsidR="0093666F">
        <w:rPr>
          <w:rFonts w:ascii="Times New Roman" w:hAnsi="Times New Roman" w:cs="Times New Roman"/>
          <w:sz w:val="24"/>
          <w:szCs w:val="24"/>
        </w:rPr>
        <w:t>,</w:t>
      </w:r>
      <w:r w:rsidR="00FC7CDB">
        <w:rPr>
          <w:rFonts w:ascii="Times New Roman" w:hAnsi="Times New Roman" w:cs="Times New Roman"/>
          <w:sz w:val="24"/>
          <w:szCs w:val="24"/>
        </w:rPr>
        <w:t xml:space="preserve"> zwłaszcza o tym </w:t>
      </w:r>
      <w:r w:rsidR="00607F4C">
        <w:rPr>
          <w:rFonts w:ascii="Times New Roman" w:hAnsi="Times New Roman" w:cs="Times New Roman"/>
          <w:sz w:val="24"/>
          <w:szCs w:val="24"/>
        </w:rPr>
        <w:t>profilu produkcji</w:t>
      </w:r>
      <w:r w:rsidR="00FC7CDB">
        <w:rPr>
          <w:rFonts w:ascii="Times New Roman" w:hAnsi="Times New Roman" w:cs="Times New Roman"/>
          <w:sz w:val="24"/>
          <w:szCs w:val="24"/>
        </w:rPr>
        <w:t xml:space="preserve">, w tak niewielkim stopniu ubezpieczały uprawy. Ponieważ zmiany klimatyczne są w naszym kraju coraz bardziej odczuwalne, </w:t>
      </w:r>
      <w:r w:rsidR="00607F4C">
        <w:rPr>
          <w:rFonts w:ascii="Times New Roman" w:hAnsi="Times New Roman" w:cs="Times New Roman"/>
          <w:sz w:val="24"/>
          <w:szCs w:val="24"/>
        </w:rPr>
        <w:t>dodatkowe obciążenie kosztów</w:t>
      </w:r>
      <w:r w:rsidR="00FC7CDB">
        <w:rPr>
          <w:rFonts w:ascii="Times New Roman" w:hAnsi="Times New Roman" w:cs="Times New Roman"/>
          <w:sz w:val="24"/>
          <w:szCs w:val="24"/>
        </w:rPr>
        <w:t xml:space="preserve"> w postaci polis ubezpieczeniowych </w:t>
      </w:r>
      <w:r w:rsidR="00F40EE3">
        <w:rPr>
          <w:rFonts w:ascii="Times New Roman" w:hAnsi="Times New Roman" w:cs="Times New Roman"/>
          <w:sz w:val="24"/>
          <w:szCs w:val="24"/>
        </w:rPr>
        <w:t>powinno się</w:t>
      </w:r>
      <w:r w:rsidR="00607F4C">
        <w:rPr>
          <w:rFonts w:ascii="Times New Roman" w:hAnsi="Times New Roman" w:cs="Times New Roman"/>
          <w:sz w:val="24"/>
          <w:szCs w:val="24"/>
        </w:rPr>
        <w:t xml:space="preserve"> jednak</w:t>
      </w:r>
      <w:r w:rsidR="00FC7CDB">
        <w:rPr>
          <w:rFonts w:ascii="Times New Roman" w:hAnsi="Times New Roman" w:cs="Times New Roman"/>
          <w:sz w:val="24"/>
          <w:szCs w:val="24"/>
        </w:rPr>
        <w:t xml:space="preserve"> okazać</w:t>
      </w:r>
      <w:r w:rsidR="00F40EE3">
        <w:rPr>
          <w:rFonts w:ascii="Times New Roman" w:hAnsi="Times New Roman" w:cs="Times New Roman"/>
          <w:sz w:val="24"/>
          <w:szCs w:val="24"/>
        </w:rPr>
        <w:t xml:space="preserve"> finalnie korzystniejsze</w:t>
      </w:r>
      <w:r w:rsidR="002C0DCA">
        <w:rPr>
          <w:rFonts w:ascii="Times New Roman" w:hAnsi="Times New Roman" w:cs="Times New Roman"/>
          <w:sz w:val="24"/>
          <w:szCs w:val="24"/>
        </w:rPr>
        <w:t xml:space="preserve"> niż powtórzenie scenariusza z ostatniego roku.</w:t>
      </w:r>
    </w:p>
    <w:p w:rsidR="004617F8" w:rsidRPr="003323C8" w:rsidRDefault="004617F8" w:rsidP="00F57BE5">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br w:type="page"/>
      </w:r>
    </w:p>
    <w:p w:rsidR="004617F8" w:rsidRDefault="004617F8" w:rsidP="00270617">
      <w:pPr>
        <w:spacing w:line="264" w:lineRule="auto"/>
        <w:jc w:val="right"/>
        <w:rPr>
          <w:rFonts w:ascii="Times New Roman" w:eastAsia="Times New Roman" w:hAnsi="Times New Roman" w:cs="Times New Roman"/>
          <w:sz w:val="24"/>
        </w:rPr>
        <w:sectPr w:rsidR="004617F8" w:rsidSect="00673E12">
          <w:footerReference w:type="default" r:id="rId12"/>
          <w:pgSz w:w="11906" w:h="16838"/>
          <w:pgMar w:top="1418" w:right="1418" w:bottom="1276" w:left="1418" w:header="709" w:footer="709" w:gutter="0"/>
          <w:cols w:space="708"/>
          <w:docGrid w:linePitch="360"/>
        </w:sectPr>
      </w:pPr>
    </w:p>
    <w:p w:rsidR="00270617" w:rsidRDefault="00270617" w:rsidP="00270617">
      <w:pPr>
        <w:spacing w:line="264" w:lineRule="auto"/>
        <w:jc w:val="right"/>
        <w:rPr>
          <w:rFonts w:ascii="Times New Roman" w:eastAsia="Times New Roman" w:hAnsi="Times New Roman" w:cs="Times New Roman"/>
          <w:sz w:val="24"/>
        </w:rPr>
      </w:pPr>
    </w:p>
    <w:p w:rsidR="00270617" w:rsidRPr="00270617" w:rsidRDefault="006F10BF" w:rsidP="00270617">
      <w:pPr>
        <w:spacing w:line="264" w:lineRule="auto"/>
        <w:jc w:val="right"/>
        <w:rPr>
          <w:rFonts w:ascii="Times New Roman" w:eastAsia="Times New Roman" w:hAnsi="Times New Roman" w:cs="Times New Roman"/>
          <w:sz w:val="24"/>
        </w:rPr>
      </w:pPr>
      <w:r>
        <w:rPr>
          <w:rFonts w:ascii="Times New Roman" w:eastAsia="Times New Roman" w:hAnsi="Times New Roman" w:cs="Times New Roman"/>
          <w:sz w:val="24"/>
        </w:rPr>
        <w:t>Tabela 4</w:t>
      </w:r>
    </w:p>
    <w:p w:rsidR="00270617" w:rsidRPr="00377E89" w:rsidRDefault="00270617" w:rsidP="00127F84">
      <w:pPr>
        <w:spacing w:after="0" w:line="240" w:lineRule="auto"/>
        <w:jc w:val="center"/>
        <w:rPr>
          <w:rFonts w:ascii="Times New Roman" w:eastAsia="Times New Roman" w:hAnsi="Times New Roman" w:cs="Times New Roman"/>
          <w:sz w:val="24"/>
        </w:rPr>
      </w:pPr>
      <w:r w:rsidRPr="00270617">
        <w:rPr>
          <w:rFonts w:ascii="Times New Roman" w:eastAsia="Times New Roman" w:hAnsi="Times New Roman" w:cs="Times New Roman"/>
          <w:sz w:val="24"/>
        </w:rPr>
        <w:t>Sytuacja ekonomiczno-finansowa RSP w</w:t>
      </w:r>
      <w:r w:rsidR="004848DE">
        <w:rPr>
          <w:rFonts w:ascii="Times New Roman" w:eastAsia="Times New Roman" w:hAnsi="Times New Roman" w:cs="Times New Roman"/>
          <w:sz w:val="24"/>
        </w:rPr>
        <w:t>edłu</w:t>
      </w:r>
      <w:r w:rsidRPr="00270617">
        <w:rPr>
          <w:rFonts w:ascii="Times New Roman" w:eastAsia="Times New Roman" w:hAnsi="Times New Roman" w:cs="Times New Roman"/>
          <w:sz w:val="24"/>
        </w:rPr>
        <w:t xml:space="preserve">g ukierunkowania produkcyjnego w latach </w:t>
      </w:r>
      <w:r w:rsidR="00346776">
        <w:rPr>
          <w:rFonts w:ascii="Times New Roman" w:eastAsia="Times New Roman" w:hAnsi="Times New Roman" w:cs="Times New Roman"/>
          <w:sz w:val="24"/>
        </w:rPr>
        <w:t>2013-2015</w:t>
      </w:r>
    </w:p>
    <w:tbl>
      <w:tblPr>
        <w:tblW w:w="0" w:type="auto"/>
        <w:jc w:val="center"/>
        <w:tblInd w:w="98" w:type="dxa"/>
        <w:tblCellMar>
          <w:left w:w="10" w:type="dxa"/>
          <w:right w:w="10" w:type="dxa"/>
        </w:tblCellMar>
        <w:tblLook w:val="0000" w:firstRow="0" w:lastRow="0" w:firstColumn="0" w:lastColumn="0" w:noHBand="0" w:noVBand="0"/>
      </w:tblPr>
      <w:tblGrid>
        <w:gridCol w:w="4243"/>
        <w:gridCol w:w="715"/>
        <w:gridCol w:w="715"/>
        <w:gridCol w:w="715"/>
        <w:gridCol w:w="752"/>
        <w:gridCol w:w="774"/>
        <w:gridCol w:w="774"/>
        <w:gridCol w:w="837"/>
        <w:gridCol w:w="836"/>
        <w:gridCol w:w="860"/>
      </w:tblGrid>
      <w:tr w:rsidR="00270617" w:rsidRPr="00270617" w:rsidTr="005E21B7">
        <w:trPr>
          <w:trHeight w:val="20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0617" w:rsidRPr="00270617" w:rsidRDefault="00270617" w:rsidP="00270617">
            <w:pPr>
              <w:spacing w:line="240" w:lineRule="auto"/>
              <w:jc w:val="center"/>
              <w:rPr>
                <w:rFonts w:ascii="Calibri" w:eastAsia="Times New Roman" w:hAnsi="Calibri" w:cs="Times New Roman"/>
              </w:rPr>
            </w:pPr>
            <w:r w:rsidRPr="00270617">
              <w:rPr>
                <w:rFonts w:ascii="Times New Roman" w:eastAsia="Times New Roman" w:hAnsi="Times New Roman" w:cs="Times New Roman"/>
                <w:sz w:val="20"/>
              </w:rPr>
              <w:t>Wyszczególnienie</w:t>
            </w:r>
          </w:p>
        </w:tc>
        <w:tc>
          <w:tcPr>
            <w:tcW w:w="0" w:type="auto"/>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0617" w:rsidRPr="00270617" w:rsidRDefault="006B66D2" w:rsidP="00270617">
            <w:pPr>
              <w:spacing w:line="240" w:lineRule="auto"/>
              <w:jc w:val="center"/>
              <w:rPr>
                <w:rFonts w:ascii="Calibri" w:eastAsia="Times New Roman" w:hAnsi="Calibri" w:cs="Times New Roman"/>
              </w:rPr>
            </w:pPr>
            <w:r>
              <w:rPr>
                <w:rFonts w:ascii="Times New Roman" w:eastAsia="Times New Roman" w:hAnsi="Times New Roman" w:cs="Times New Roman"/>
                <w:sz w:val="20"/>
              </w:rPr>
              <w:t>RSP wg kierunku produkcji</w:t>
            </w:r>
            <w:r w:rsidR="009A43F9">
              <w:rPr>
                <w:rFonts w:ascii="Times New Roman" w:eastAsia="Times New Roman" w:hAnsi="Times New Roman" w:cs="Times New Roman"/>
                <w:sz w:val="20"/>
              </w:rPr>
              <w:t>:</w:t>
            </w:r>
          </w:p>
        </w:tc>
      </w:tr>
      <w:tr w:rsidR="00270617" w:rsidRPr="00270617" w:rsidTr="005E21B7">
        <w:trPr>
          <w:trHeight w:val="60"/>
          <w:jc w:val="center"/>
        </w:trPr>
        <w:tc>
          <w:tcPr>
            <w:tcW w:w="0" w:type="auto"/>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0617" w:rsidRPr="00270617" w:rsidRDefault="00270617" w:rsidP="00270617">
            <w:pPr>
              <w:rPr>
                <w:rFonts w:ascii="Calibri" w:eastAsia="Calibri" w:hAnsi="Calibri" w:cs="Calibri"/>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0617" w:rsidRPr="00270617" w:rsidRDefault="00127F84" w:rsidP="00270617">
            <w:pPr>
              <w:spacing w:line="240" w:lineRule="auto"/>
              <w:jc w:val="center"/>
              <w:rPr>
                <w:rFonts w:ascii="Calibri" w:eastAsia="Times New Roman" w:hAnsi="Calibri" w:cs="Times New Roman"/>
              </w:rPr>
            </w:pPr>
            <w:r>
              <w:rPr>
                <w:rFonts w:ascii="Times New Roman" w:eastAsia="Times New Roman" w:hAnsi="Times New Roman" w:cs="Times New Roman"/>
                <w:sz w:val="20"/>
              </w:rPr>
              <w:t>r</w:t>
            </w:r>
            <w:r w:rsidR="00270617" w:rsidRPr="00270617">
              <w:rPr>
                <w:rFonts w:ascii="Times New Roman" w:eastAsia="Times New Roman" w:hAnsi="Times New Roman" w:cs="Times New Roman"/>
                <w:sz w:val="20"/>
              </w:rPr>
              <w:t>oślinny</w:t>
            </w:r>
            <w:r w:rsidR="00346776">
              <w:rPr>
                <w:rFonts w:ascii="Times New Roman" w:eastAsia="Times New Roman" w:hAnsi="Times New Roman" w:cs="Times New Roman"/>
                <w:sz w:val="20"/>
              </w:rPr>
              <w:t xml:space="preserve"> (panel 44</w:t>
            </w:r>
            <w:r>
              <w:rPr>
                <w:rFonts w:ascii="Times New Roman" w:eastAsia="Times New Roman" w:hAnsi="Times New Roman" w:cs="Times New Roman"/>
                <w:sz w:val="20"/>
              </w:rPr>
              <w:t xml:space="preserve"> RSP)</w:t>
            </w: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0617" w:rsidRPr="00270617" w:rsidRDefault="00127F84" w:rsidP="00270617">
            <w:pPr>
              <w:spacing w:line="240" w:lineRule="auto"/>
              <w:jc w:val="center"/>
              <w:rPr>
                <w:rFonts w:ascii="Calibri" w:eastAsia="Times New Roman" w:hAnsi="Calibri" w:cs="Times New Roman"/>
              </w:rPr>
            </w:pPr>
            <w:r>
              <w:rPr>
                <w:rFonts w:ascii="Times New Roman" w:eastAsia="Times New Roman" w:hAnsi="Times New Roman" w:cs="Times New Roman"/>
                <w:sz w:val="20"/>
              </w:rPr>
              <w:t>z</w:t>
            </w:r>
            <w:r w:rsidR="00270617" w:rsidRPr="00270617">
              <w:rPr>
                <w:rFonts w:ascii="Times New Roman" w:eastAsia="Times New Roman" w:hAnsi="Times New Roman" w:cs="Times New Roman"/>
                <w:sz w:val="20"/>
              </w:rPr>
              <w:t>wierzęcy</w:t>
            </w:r>
            <w:r w:rsidR="00CC7B05">
              <w:rPr>
                <w:rFonts w:ascii="Times New Roman" w:eastAsia="Times New Roman" w:hAnsi="Times New Roman" w:cs="Times New Roman"/>
                <w:sz w:val="20"/>
              </w:rPr>
              <w:t xml:space="preserve"> (panel </w:t>
            </w:r>
            <w:r w:rsidR="00CA7668">
              <w:rPr>
                <w:rFonts w:ascii="Times New Roman" w:eastAsia="Times New Roman" w:hAnsi="Times New Roman" w:cs="Times New Roman"/>
                <w:sz w:val="20"/>
              </w:rPr>
              <w:t>15</w:t>
            </w:r>
            <w:r>
              <w:rPr>
                <w:rFonts w:ascii="Times New Roman" w:eastAsia="Times New Roman" w:hAnsi="Times New Roman" w:cs="Times New Roman"/>
                <w:sz w:val="20"/>
              </w:rPr>
              <w:t xml:space="preserve"> RSP)</w:t>
            </w: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0617" w:rsidRPr="00270617" w:rsidRDefault="00127F84" w:rsidP="00270617">
            <w:pPr>
              <w:spacing w:line="240" w:lineRule="auto"/>
              <w:jc w:val="center"/>
              <w:rPr>
                <w:rFonts w:ascii="Calibri" w:eastAsia="Times New Roman" w:hAnsi="Calibri" w:cs="Times New Roman"/>
              </w:rPr>
            </w:pPr>
            <w:r>
              <w:rPr>
                <w:rFonts w:ascii="Times New Roman" w:eastAsia="Times New Roman" w:hAnsi="Times New Roman" w:cs="Times New Roman"/>
                <w:sz w:val="20"/>
              </w:rPr>
              <w:t>w</w:t>
            </w:r>
            <w:r w:rsidR="00270617" w:rsidRPr="00270617">
              <w:rPr>
                <w:rFonts w:ascii="Times New Roman" w:eastAsia="Times New Roman" w:hAnsi="Times New Roman" w:cs="Times New Roman"/>
                <w:sz w:val="20"/>
              </w:rPr>
              <w:t>ielostronny</w:t>
            </w:r>
            <w:r w:rsidR="0048409E">
              <w:rPr>
                <w:rFonts w:ascii="Times New Roman" w:eastAsia="Times New Roman" w:hAnsi="Times New Roman" w:cs="Times New Roman"/>
                <w:sz w:val="20"/>
              </w:rPr>
              <w:t xml:space="preserve"> (panel 27</w:t>
            </w:r>
            <w:r>
              <w:rPr>
                <w:rFonts w:ascii="Times New Roman" w:eastAsia="Times New Roman" w:hAnsi="Times New Roman" w:cs="Times New Roman"/>
                <w:sz w:val="20"/>
              </w:rPr>
              <w:t xml:space="preserve"> RSP)</w:t>
            </w:r>
          </w:p>
        </w:tc>
      </w:tr>
      <w:tr w:rsidR="00B4756D" w:rsidRPr="00270617" w:rsidTr="005E21B7">
        <w:trPr>
          <w:trHeight w:val="125"/>
          <w:jc w:val="center"/>
        </w:trPr>
        <w:tc>
          <w:tcPr>
            <w:tcW w:w="0" w:type="auto"/>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6776" w:rsidRPr="00270617" w:rsidRDefault="00346776" w:rsidP="00270617">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6776" w:rsidRPr="00270617" w:rsidRDefault="00346776" w:rsidP="00346776">
            <w:pPr>
              <w:spacing w:after="120" w:line="240" w:lineRule="auto"/>
              <w:jc w:val="center"/>
              <w:rPr>
                <w:rFonts w:ascii="Calibri" w:eastAsia="Times New Roman" w:hAnsi="Calibri" w:cs="Times New Roman"/>
              </w:rPr>
            </w:pPr>
            <w:r>
              <w:rPr>
                <w:rFonts w:ascii="Times New Roman" w:eastAsia="Times New Roman" w:hAnsi="Times New Roman" w:cs="Times New Roman"/>
              </w:rPr>
              <w:t>2013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6776" w:rsidRPr="00270617" w:rsidRDefault="00346776" w:rsidP="00346776">
            <w:pPr>
              <w:spacing w:after="120" w:line="240" w:lineRule="auto"/>
              <w:jc w:val="center"/>
              <w:rPr>
                <w:rFonts w:ascii="Calibri" w:eastAsia="Times New Roman" w:hAnsi="Calibri" w:cs="Times New Roman"/>
              </w:rPr>
            </w:pPr>
            <w:r>
              <w:rPr>
                <w:rFonts w:ascii="Times New Roman" w:eastAsia="Times New Roman" w:hAnsi="Times New Roman" w:cs="Times New Roman"/>
              </w:rPr>
              <w:t>2014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6776" w:rsidRPr="00346776" w:rsidRDefault="00346776" w:rsidP="00270617">
            <w:pPr>
              <w:spacing w:after="120" w:line="240" w:lineRule="auto"/>
              <w:jc w:val="center"/>
              <w:rPr>
                <w:rFonts w:ascii="Times New Roman" w:eastAsia="Times New Roman" w:hAnsi="Times New Roman" w:cs="Times New Roman"/>
              </w:rPr>
            </w:pPr>
            <w:r w:rsidRPr="00346776">
              <w:rPr>
                <w:rFonts w:ascii="Times New Roman" w:eastAsia="Times New Roman" w:hAnsi="Times New Roman" w:cs="Times New Roman"/>
              </w:rPr>
              <w:t>2015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6776" w:rsidRPr="00270617" w:rsidRDefault="00346776" w:rsidP="00346776">
            <w:pPr>
              <w:spacing w:after="120" w:line="240" w:lineRule="auto"/>
              <w:jc w:val="center"/>
              <w:rPr>
                <w:rFonts w:ascii="Calibri" w:eastAsia="Times New Roman" w:hAnsi="Calibri" w:cs="Times New Roman"/>
              </w:rPr>
            </w:pPr>
            <w:r>
              <w:rPr>
                <w:rFonts w:ascii="Times New Roman" w:eastAsia="Times New Roman" w:hAnsi="Times New Roman" w:cs="Times New Roman"/>
              </w:rPr>
              <w:t>2013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6776" w:rsidRPr="00270617" w:rsidRDefault="00346776" w:rsidP="00346776">
            <w:pPr>
              <w:spacing w:after="120" w:line="240" w:lineRule="auto"/>
              <w:jc w:val="center"/>
              <w:rPr>
                <w:rFonts w:ascii="Calibri" w:eastAsia="Times New Roman" w:hAnsi="Calibri" w:cs="Times New Roman"/>
              </w:rPr>
            </w:pPr>
            <w:r>
              <w:rPr>
                <w:rFonts w:ascii="Times New Roman" w:eastAsia="Times New Roman" w:hAnsi="Times New Roman" w:cs="Times New Roman"/>
              </w:rPr>
              <w:t>2014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6776" w:rsidRPr="00346776" w:rsidRDefault="00346776" w:rsidP="00346776">
            <w:pPr>
              <w:spacing w:after="120" w:line="240" w:lineRule="auto"/>
              <w:jc w:val="center"/>
              <w:rPr>
                <w:rFonts w:ascii="Times New Roman" w:eastAsia="Times New Roman" w:hAnsi="Times New Roman" w:cs="Times New Roman"/>
              </w:rPr>
            </w:pPr>
            <w:r w:rsidRPr="00346776">
              <w:rPr>
                <w:rFonts w:ascii="Times New Roman" w:eastAsia="Times New Roman" w:hAnsi="Times New Roman" w:cs="Times New Roman"/>
              </w:rPr>
              <w:t>2015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6776" w:rsidRPr="00270617" w:rsidRDefault="00346776" w:rsidP="00346776">
            <w:pPr>
              <w:spacing w:after="120" w:line="240" w:lineRule="auto"/>
              <w:jc w:val="center"/>
              <w:rPr>
                <w:rFonts w:ascii="Calibri" w:eastAsia="Times New Roman" w:hAnsi="Calibri" w:cs="Times New Roman"/>
              </w:rPr>
            </w:pPr>
            <w:r>
              <w:rPr>
                <w:rFonts w:ascii="Times New Roman" w:eastAsia="Times New Roman" w:hAnsi="Times New Roman" w:cs="Times New Roman"/>
              </w:rPr>
              <w:t>2013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6776" w:rsidRPr="00270617" w:rsidRDefault="00346776" w:rsidP="00346776">
            <w:pPr>
              <w:spacing w:after="120" w:line="240" w:lineRule="auto"/>
              <w:jc w:val="center"/>
              <w:rPr>
                <w:rFonts w:ascii="Calibri" w:eastAsia="Times New Roman" w:hAnsi="Calibri" w:cs="Times New Roman"/>
              </w:rPr>
            </w:pPr>
            <w:r>
              <w:rPr>
                <w:rFonts w:ascii="Times New Roman" w:eastAsia="Times New Roman" w:hAnsi="Times New Roman" w:cs="Times New Roman"/>
              </w:rPr>
              <w:t>2014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6776" w:rsidRPr="00346776" w:rsidRDefault="00346776" w:rsidP="00346776">
            <w:pPr>
              <w:spacing w:after="120" w:line="240" w:lineRule="auto"/>
              <w:jc w:val="center"/>
              <w:rPr>
                <w:rFonts w:ascii="Times New Roman" w:eastAsia="Times New Roman" w:hAnsi="Times New Roman" w:cs="Times New Roman"/>
              </w:rPr>
            </w:pPr>
            <w:r w:rsidRPr="00346776">
              <w:rPr>
                <w:rFonts w:ascii="Times New Roman" w:eastAsia="Times New Roman" w:hAnsi="Times New Roman" w:cs="Times New Roman"/>
              </w:rPr>
              <w:t>2015</w:t>
            </w:r>
          </w:p>
        </w:tc>
      </w:tr>
      <w:tr w:rsidR="00B4756D" w:rsidRPr="00270617" w:rsidTr="00FD39A7">
        <w:trPr>
          <w:trHeight w:val="468"/>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56D" w:rsidRPr="00270617" w:rsidRDefault="00B4756D" w:rsidP="00270617">
            <w:pPr>
              <w:spacing w:line="240" w:lineRule="auto"/>
              <w:rPr>
                <w:rFonts w:ascii="Calibri" w:eastAsia="Times New Roman" w:hAnsi="Calibri" w:cs="Times New Roman"/>
              </w:rPr>
            </w:pPr>
            <w:r w:rsidRPr="00270617">
              <w:rPr>
                <w:rFonts w:ascii="Times New Roman" w:eastAsia="Times New Roman" w:hAnsi="Times New Roman" w:cs="Times New Roman"/>
                <w:sz w:val="20"/>
              </w:rPr>
              <w:t>Przeciętny obszar (ha UR)</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346776" w:rsidRDefault="00B4756D" w:rsidP="00346776">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616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346776" w:rsidRDefault="00B4756D" w:rsidP="00346776">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611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346776" w:rsidRDefault="00B4756D" w:rsidP="00346776">
            <w:pPr>
              <w:spacing w:after="120" w:line="240" w:lineRule="auto"/>
              <w:jc w:val="center"/>
              <w:rPr>
                <w:rFonts w:ascii="Times New Roman" w:eastAsia="Times New Roman" w:hAnsi="Times New Roman" w:cs="Times New Roman"/>
              </w:rPr>
            </w:pPr>
            <w:r w:rsidRPr="00346776">
              <w:rPr>
                <w:rFonts w:ascii="Times New Roman" w:eastAsia="Times New Roman" w:hAnsi="Times New Roman" w:cs="Times New Roman"/>
              </w:rPr>
              <w:t>603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896AF1" w:rsidRDefault="00B4756D" w:rsidP="00896AF1">
            <w:pPr>
              <w:spacing w:after="120" w:line="240" w:lineRule="auto"/>
              <w:jc w:val="center"/>
              <w:rPr>
                <w:rFonts w:ascii="Times New Roman" w:eastAsia="Times New Roman" w:hAnsi="Times New Roman" w:cs="Times New Roman"/>
              </w:rPr>
            </w:pPr>
            <w:r w:rsidRPr="00896AF1">
              <w:rPr>
                <w:rFonts w:ascii="Times New Roman" w:eastAsia="Times New Roman" w:hAnsi="Times New Roman" w:cs="Times New Roman"/>
              </w:rPr>
              <w:t>615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896AF1" w:rsidRDefault="00B4756D" w:rsidP="00896AF1">
            <w:pPr>
              <w:spacing w:after="120" w:line="240" w:lineRule="auto"/>
              <w:jc w:val="center"/>
              <w:rPr>
                <w:rFonts w:ascii="Times New Roman" w:eastAsia="Times New Roman" w:hAnsi="Times New Roman" w:cs="Times New Roman"/>
              </w:rPr>
            </w:pPr>
            <w:r w:rsidRPr="00896AF1">
              <w:rPr>
                <w:rFonts w:ascii="Times New Roman" w:eastAsia="Times New Roman" w:hAnsi="Times New Roman" w:cs="Times New Roman"/>
              </w:rPr>
              <w:t>601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896AF1" w:rsidRDefault="00B4756D" w:rsidP="00896AF1">
            <w:pPr>
              <w:spacing w:after="120" w:line="240" w:lineRule="auto"/>
              <w:jc w:val="center"/>
              <w:rPr>
                <w:rFonts w:ascii="Times New Roman" w:eastAsia="Times New Roman" w:hAnsi="Times New Roman" w:cs="Times New Roman"/>
              </w:rPr>
            </w:pPr>
            <w:r w:rsidRPr="00896AF1">
              <w:rPr>
                <w:rFonts w:ascii="Times New Roman" w:eastAsia="Times New Roman" w:hAnsi="Times New Roman" w:cs="Times New Roman"/>
              </w:rPr>
              <w:t>606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B4756D" w:rsidRDefault="00B4756D" w:rsidP="00B4756D">
            <w:pPr>
              <w:spacing w:after="120" w:line="240" w:lineRule="auto"/>
              <w:jc w:val="center"/>
              <w:rPr>
                <w:rFonts w:ascii="Times New Roman" w:eastAsia="Times New Roman" w:hAnsi="Times New Roman" w:cs="Times New Roman"/>
              </w:rPr>
            </w:pPr>
            <w:r w:rsidRPr="00B4756D">
              <w:rPr>
                <w:rFonts w:ascii="Times New Roman" w:eastAsia="Times New Roman" w:hAnsi="Times New Roman" w:cs="Times New Roman"/>
              </w:rPr>
              <w:t>445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B4756D" w:rsidRDefault="00B4756D" w:rsidP="00B4756D">
            <w:pPr>
              <w:spacing w:after="120" w:line="240" w:lineRule="auto"/>
              <w:jc w:val="center"/>
              <w:rPr>
                <w:rFonts w:ascii="Times New Roman" w:eastAsia="Times New Roman" w:hAnsi="Times New Roman" w:cs="Times New Roman"/>
              </w:rPr>
            </w:pPr>
            <w:r w:rsidRPr="00B4756D">
              <w:rPr>
                <w:rFonts w:ascii="Times New Roman" w:eastAsia="Times New Roman" w:hAnsi="Times New Roman" w:cs="Times New Roman"/>
              </w:rPr>
              <w:t>443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B4756D" w:rsidRDefault="00B4756D" w:rsidP="00B4756D">
            <w:pPr>
              <w:spacing w:after="120" w:line="240" w:lineRule="auto"/>
              <w:jc w:val="center"/>
              <w:rPr>
                <w:rFonts w:ascii="Times New Roman" w:eastAsia="Times New Roman" w:hAnsi="Times New Roman" w:cs="Times New Roman"/>
              </w:rPr>
            </w:pPr>
            <w:r w:rsidRPr="00B4756D">
              <w:rPr>
                <w:rFonts w:ascii="Times New Roman" w:eastAsia="Times New Roman" w:hAnsi="Times New Roman" w:cs="Times New Roman"/>
              </w:rPr>
              <w:t>434</w:t>
            </w:r>
          </w:p>
        </w:tc>
      </w:tr>
      <w:tr w:rsidR="00B4756D" w:rsidRPr="00270617" w:rsidTr="00FD39A7">
        <w:trPr>
          <w:trHeight w:val="468"/>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56D" w:rsidRPr="00270617" w:rsidRDefault="00B4756D" w:rsidP="00270617">
            <w:pPr>
              <w:spacing w:line="240" w:lineRule="auto"/>
              <w:rPr>
                <w:rFonts w:ascii="Calibri" w:eastAsia="Times New Roman" w:hAnsi="Calibri" w:cs="Times New Roman"/>
              </w:rPr>
            </w:pPr>
            <w:r w:rsidRPr="00270617">
              <w:rPr>
                <w:rFonts w:ascii="Times New Roman" w:eastAsia="Times New Roman" w:hAnsi="Times New Roman" w:cs="Times New Roman"/>
                <w:sz w:val="20"/>
              </w:rPr>
              <w:t>Przychody ogółem na 1 ha UR ( tys. zł)</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346776" w:rsidRDefault="00B4756D" w:rsidP="00346776">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7,3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346776" w:rsidRDefault="00B4756D" w:rsidP="00346776">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346776" w:rsidRDefault="00B4756D" w:rsidP="00346776">
            <w:pPr>
              <w:spacing w:after="120" w:line="240" w:lineRule="auto"/>
              <w:jc w:val="center"/>
              <w:rPr>
                <w:rFonts w:ascii="Times New Roman" w:eastAsia="Times New Roman" w:hAnsi="Times New Roman" w:cs="Times New Roman"/>
              </w:rPr>
            </w:pPr>
            <w:r w:rsidRPr="00346776">
              <w:rPr>
                <w:rFonts w:ascii="Times New Roman" w:eastAsia="Times New Roman" w:hAnsi="Times New Roman" w:cs="Times New Roman"/>
              </w:rPr>
              <w:t>6,7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19,6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18,5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18,8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B4756D" w:rsidRDefault="00B4756D" w:rsidP="00B4756D">
            <w:pPr>
              <w:spacing w:after="120" w:line="240" w:lineRule="auto"/>
              <w:jc w:val="center"/>
              <w:rPr>
                <w:rFonts w:ascii="Times New Roman" w:eastAsia="Times New Roman" w:hAnsi="Times New Roman" w:cs="Times New Roman"/>
              </w:rPr>
            </w:pPr>
            <w:r w:rsidRPr="00B4756D">
              <w:rPr>
                <w:rFonts w:ascii="Times New Roman" w:eastAsia="Times New Roman" w:hAnsi="Times New Roman" w:cs="Times New Roman"/>
              </w:rPr>
              <w:t>12,8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B4756D" w:rsidRDefault="00B4756D" w:rsidP="00B4756D">
            <w:pPr>
              <w:spacing w:after="120" w:line="240" w:lineRule="auto"/>
              <w:jc w:val="center"/>
              <w:rPr>
                <w:rFonts w:ascii="Times New Roman" w:eastAsia="Times New Roman" w:hAnsi="Times New Roman" w:cs="Times New Roman"/>
              </w:rPr>
            </w:pPr>
            <w:r w:rsidRPr="00B4756D">
              <w:rPr>
                <w:rFonts w:ascii="Times New Roman" w:eastAsia="Times New Roman" w:hAnsi="Times New Roman" w:cs="Times New Roman"/>
              </w:rPr>
              <w:t>12,9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B4756D" w:rsidRDefault="00B4756D" w:rsidP="00B4756D">
            <w:pPr>
              <w:spacing w:after="120" w:line="240" w:lineRule="auto"/>
              <w:jc w:val="center"/>
              <w:rPr>
                <w:rFonts w:ascii="Times New Roman" w:eastAsia="Times New Roman" w:hAnsi="Times New Roman" w:cs="Times New Roman"/>
              </w:rPr>
            </w:pPr>
            <w:r w:rsidRPr="00B4756D">
              <w:rPr>
                <w:rFonts w:ascii="Times New Roman" w:eastAsia="Times New Roman" w:hAnsi="Times New Roman" w:cs="Times New Roman"/>
              </w:rPr>
              <w:t>12,7</w:t>
            </w:r>
          </w:p>
        </w:tc>
      </w:tr>
      <w:tr w:rsidR="00B4756D" w:rsidRPr="00270617" w:rsidTr="00FD39A7">
        <w:trPr>
          <w:trHeight w:val="441"/>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56D" w:rsidRPr="00270617" w:rsidRDefault="00B4756D" w:rsidP="00270617">
            <w:pPr>
              <w:spacing w:line="240" w:lineRule="auto"/>
              <w:rPr>
                <w:rFonts w:ascii="Calibri" w:eastAsia="Times New Roman" w:hAnsi="Calibri" w:cs="Times New Roman"/>
              </w:rPr>
            </w:pPr>
            <w:r w:rsidRPr="00270617">
              <w:rPr>
                <w:rFonts w:ascii="Times New Roman" w:eastAsia="Times New Roman" w:hAnsi="Times New Roman" w:cs="Times New Roman"/>
                <w:sz w:val="20"/>
              </w:rPr>
              <w:t>Pracujący na 100 ha UR (osoby)</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346776" w:rsidRDefault="00B4756D" w:rsidP="00346776">
            <w:pPr>
              <w:spacing w:after="120" w:line="240" w:lineRule="auto"/>
              <w:jc w:val="center"/>
              <w:rPr>
                <w:rFonts w:ascii="Times New Roman" w:eastAsia="Times New Roman" w:hAnsi="Times New Roman" w:cs="Times New Roman"/>
              </w:rPr>
            </w:pPr>
            <w:r w:rsidRPr="00346776">
              <w:rPr>
                <w:rFonts w:ascii="Times New Roman" w:eastAsia="Times New Roman" w:hAnsi="Times New Roman" w:cs="Times New Roman"/>
              </w:rPr>
              <w:t>3,0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346776" w:rsidRDefault="00B4756D" w:rsidP="00346776">
            <w:pPr>
              <w:spacing w:after="120" w:line="240" w:lineRule="auto"/>
              <w:jc w:val="center"/>
              <w:rPr>
                <w:rFonts w:ascii="Times New Roman" w:eastAsia="Times New Roman" w:hAnsi="Times New Roman" w:cs="Times New Roman"/>
              </w:rPr>
            </w:pPr>
            <w:r w:rsidRPr="00346776">
              <w:rPr>
                <w:rFonts w:ascii="Times New Roman" w:eastAsia="Times New Roman" w:hAnsi="Times New Roman" w:cs="Times New Roman"/>
              </w:rPr>
              <w:t>2,9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346776" w:rsidRDefault="00B4756D" w:rsidP="00346776">
            <w:pPr>
              <w:spacing w:after="120" w:line="240" w:lineRule="auto"/>
              <w:jc w:val="center"/>
              <w:rPr>
                <w:rFonts w:ascii="Times New Roman" w:eastAsia="Times New Roman" w:hAnsi="Times New Roman" w:cs="Times New Roman"/>
              </w:rPr>
            </w:pPr>
            <w:r w:rsidRPr="00346776">
              <w:rPr>
                <w:rFonts w:ascii="Times New Roman" w:eastAsia="Times New Roman" w:hAnsi="Times New Roman" w:cs="Times New Roman"/>
              </w:rPr>
              <w:t>2,8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6,6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6,2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6,1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B4756D" w:rsidRDefault="00B4756D" w:rsidP="00B4756D">
            <w:pPr>
              <w:spacing w:after="120" w:line="240" w:lineRule="auto"/>
              <w:jc w:val="center"/>
              <w:rPr>
                <w:rFonts w:ascii="Times New Roman" w:eastAsia="Times New Roman" w:hAnsi="Times New Roman" w:cs="Times New Roman"/>
              </w:rPr>
            </w:pPr>
            <w:r w:rsidRPr="00B4756D">
              <w:rPr>
                <w:rFonts w:ascii="Times New Roman" w:eastAsia="Times New Roman" w:hAnsi="Times New Roman" w:cs="Times New Roman"/>
              </w:rPr>
              <w:t>6,5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B4756D" w:rsidRDefault="00B4756D" w:rsidP="00B4756D">
            <w:pPr>
              <w:spacing w:after="120" w:line="240" w:lineRule="auto"/>
              <w:jc w:val="center"/>
              <w:rPr>
                <w:rFonts w:ascii="Times New Roman" w:eastAsia="Times New Roman" w:hAnsi="Times New Roman" w:cs="Times New Roman"/>
              </w:rPr>
            </w:pPr>
            <w:r w:rsidRPr="00B4756D">
              <w:rPr>
                <w:rFonts w:ascii="Times New Roman" w:eastAsia="Times New Roman" w:hAnsi="Times New Roman" w:cs="Times New Roman"/>
              </w:rPr>
              <w:t>5,0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B4756D" w:rsidRDefault="00B4756D" w:rsidP="00B4756D">
            <w:pPr>
              <w:spacing w:after="120" w:line="240" w:lineRule="auto"/>
              <w:jc w:val="center"/>
              <w:rPr>
                <w:rFonts w:ascii="Times New Roman" w:eastAsia="Times New Roman" w:hAnsi="Times New Roman" w:cs="Times New Roman"/>
              </w:rPr>
            </w:pPr>
            <w:r w:rsidRPr="00B4756D">
              <w:rPr>
                <w:rFonts w:ascii="Times New Roman" w:eastAsia="Times New Roman" w:hAnsi="Times New Roman" w:cs="Times New Roman"/>
              </w:rPr>
              <w:t>4,8</w:t>
            </w:r>
          </w:p>
        </w:tc>
      </w:tr>
      <w:tr w:rsidR="00B4756D" w:rsidRPr="00270617" w:rsidTr="00FD39A7">
        <w:trPr>
          <w:trHeight w:val="429"/>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56D" w:rsidRPr="00270617" w:rsidRDefault="00B4756D" w:rsidP="00270617">
            <w:pPr>
              <w:spacing w:line="240" w:lineRule="auto"/>
              <w:rPr>
                <w:rFonts w:ascii="Calibri" w:eastAsia="Times New Roman" w:hAnsi="Calibri" w:cs="Times New Roman"/>
              </w:rPr>
            </w:pPr>
            <w:r w:rsidRPr="00270617">
              <w:rPr>
                <w:rFonts w:ascii="Times New Roman" w:eastAsia="Times New Roman" w:hAnsi="Times New Roman" w:cs="Times New Roman"/>
                <w:sz w:val="20"/>
              </w:rPr>
              <w:t>Wydajność pracy – wartość dodana (tys. zł/osobę)</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753E57" w:rsidRDefault="00B4756D" w:rsidP="00753E57">
            <w:pPr>
              <w:spacing w:after="120" w:line="240" w:lineRule="auto"/>
              <w:jc w:val="center"/>
              <w:rPr>
                <w:rFonts w:ascii="Times New Roman" w:eastAsia="Times New Roman" w:hAnsi="Times New Roman" w:cs="Times New Roman"/>
              </w:rPr>
            </w:pPr>
            <w:r w:rsidRPr="00753E57">
              <w:rPr>
                <w:rFonts w:ascii="Times New Roman" w:eastAsia="Times New Roman" w:hAnsi="Times New Roman" w:cs="Times New Roman"/>
              </w:rPr>
              <w:t>101,1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753E57" w:rsidRDefault="00B4756D" w:rsidP="00753E57">
            <w:pPr>
              <w:spacing w:after="120" w:line="240" w:lineRule="auto"/>
              <w:jc w:val="center"/>
              <w:rPr>
                <w:rFonts w:ascii="Times New Roman" w:eastAsia="Times New Roman" w:hAnsi="Times New Roman" w:cs="Times New Roman"/>
              </w:rPr>
            </w:pPr>
            <w:r w:rsidRPr="00753E57">
              <w:rPr>
                <w:rFonts w:ascii="Times New Roman" w:eastAsia="Times New Roman" w:hAnsi="Times New Roman" w:cs="Times New Roman"/>
              </w:rPr>
              <w:t>115,3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753E57" w:rsidRDefault="00B4756D" w:rsidP="00753E57">
            <w:pPr>
              <w:spacing w:after="120" w:line="240" w:lineRule="auto"/>
              <w:jc w:val="center"/>
              <w:rPr>
                <w:rFonts w:ascii="Times New Roman" w:eastAsia="Times New Roman" w:hAnsi="Times New Roman" w:cs="Times New Roman"/>
              </w:rPr>
            </w:pPr>
            <w:r w:rsidRPr="00753E57">
              <w:rPr>
                <w:rFonts w:ascii="Times New Roman" w:eastAsia="Times New Roman" w:hAnsi="Times New Roman" w:cs="Times New Roman"/>
              </w:rPr>
              <w:t>102,7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76,4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80,3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69,8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B4756D" w:rsidRDefault="00B4756D" w:rsidP="00B4756D">
            <w:pPr>
              <w:spacing w:after="120" w:line="240" w:lineRule="auto"/>
              <w:jc w:val="center"/>
              <w:rPr>
                <w:rFonts w:ascii="Times New Roman" w:eastAsia="Times New Roman" w:hAnsi="Times New Roman" w:cs="Times New Roman"/>
              </w:rPr>
            </w:pPr>
            <w:r w:rsidRPr="00B4756D">
              <w:rPr>
                <w:rFonts w:ascii="Times New Roman" w:eastAsia="Times New Roman" w:hAnsi="Times New Roman" w:cs="Times New Roman"/>
              </w:rPr>
              <w:t>65,8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B4756D" w:rsidRDefault="00B4756D" w:rsidP="00B4756D">
            <w:pPr>
              <w:spacing w:after="120" w:line="240" w:lineRule="auto"/>
              <w:jc w:val="center"/>
              <w:rPr>
                <w:rFonts w:ascii="Times New Roman" w:eastAsia="Times New Roman" w:hAnsi="Times New Roman" w:cs="Times New Roman"/>
              </w:rPr>
            </w:pPr>
            <w:r w:rsidRPr="00B4756D">
              <w:rPr>
                <w:rFonts w:ascii="Times New Roman" w:eastAsia="Times New Roman" w:hAnsi="Times New Roman" w:cs="Times New Roman"/>
              </w:rPr>
              <w:t>70,9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B4756D" w:rsidRDefault="00B4756D" w:rsidP="00B4756D">
            <w:pPr>
              <w:spacing w:after="120" w:line="240" w:lineRule="auto"/>
              <w:jc w:val="center"/>
              <w:rPr>
                <w:rFonts w:ascii="Times New Roman" w:eastAsia="Times New Roman" w:hAnsi="Times New Roman" w:cs="Times New Roman"/>
              </w:rPr>
            </w:pPr>
            <w:r w:rsidRPr="00B4756D">
              <w:rPr>
                <w:rFonts w:ascii="Times New Roman" w:eastAsia="Times New Roman" w:hAnsi="Times New Roman" w:cs="Times New Roman"/>
              </w:rPr>
              <w:t>69,3</w:t>
            </w:r>
          </w:p>
        </w:tc>
      </w:tr>
      <w:tr w:rsidR="00B4756D" w:rsidRPr="00270617" w:rsidTr="00FD39A7">
        <w:trPr>
          <w:trHeight w:val="441"/>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756D" w:rsidRPr="00270617" w:rsidRDefault="00B4756D" w:rsidP="00270617">
            <w:pPr>
              <w:spacing w:line="240" w:lineRule="auto"/>
              <w:rPr>
                <w:rFonts w:ascii="Calibri" w:eastAsia="Times New Roman" w:hAnsi="Calibri" w:cs="Times New Roman"/>
              </w:rPr>
            </w:pPr>
            <w:r w:rsidRPr="00270617">
              <w:rPr>
                <w:rFonts w:ascii="Times New Roman" w:eastAsia="Times New Roman" w:hAnsi="Times New Roman" w:cs="Times New Roman"/>
                <w:sz w:val="20"/>
              </w:rPr>
              <w:t>Wskaźnik wartości dodanej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753E57" w:rsidRDefault="00B4756D" w:rsidP="00753E57">
            <w:pPr>
              <w:spacing w:after="120" w:line="240" w:lineRule="auto"/>
              <w:jc w:val="center"/>
              <w:rPr>
                <w:rFonts w:ascii="Times New Roman" w:eastAsia="Times New Roman" w:hAnsi="Times New Roman" w:cs="Times New Roman"/>
              </w:rPr>
            </w:pPr>
            <w:r w:rsidRPr="00753E57">
              <w:rPr>
                <w:rFonts w:ascii="Times New Roman" w:eastAsia="Times New Roman" w:hAnsi="Times New Roman" w:cs="Times New Roman"/>
              </w:rPr>
              <w:t>42,3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753E57" w:rsidRDefault="00B4756D" w:rsidP="00753E57">
            <w:pPr>
              <w:spacing w:after="120" w:line="240" w:lineRule="auto"/>
              <w:jc w:val="center"/>
              <w:rPr>
                <w:rFonts w:ascii="Times New Roman" w:eastAsia="Times New Roman" w:hAnsi="Times New Roman" w:cs="Times New Roman"/>
              </w:rPr>
            </w:pPr>
            <w:r w:rsidRPr="00753E57">
              <w:rPr>
                <w:rFonts w:ascii="Times New Roman" w:eastAsia="Times New Roman" w:hAnsi="Times New Roman" w:cs="Times New Roman"/>
              </w:rPr>
              <w:t>45,2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753E57" w:rsidRDefault="00B4756D" w:rsidP="00753E57">
            <w:pPr>
              <w:spacing w:after="120" w:line="240" w:lineRule="auto"/>
              <w:jc w:val="center"/>
              <w:rPr>
                <w:rFonts w:ascii="Times New Roman" w:eastAsia="Times New Roman" w:hAnsi="Times New Roman" w:cs="Times New Roman"/>
              </w:rPr>
            </w:pPr>
            <w:r w:rsidRPr="00753E57">
              <w:rPr>
                <w:rFonts w:ascii="Times New Roman" w:eastAsia="Times New Roman" w:hAnsi="Times New Roman" w:cs="Times New Roman"/>
              </w:rPr>
              <w:t>42,5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35,6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35,9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34,3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B4756D" w:rsidRDefault="00B4756D" w:rsidP="00B4756D">
            <w:pPr>
              <w:spacing w:after="120" w:line="240" w:lineRule="auto"/>
              <w:jc w:val="center"/>
              <w:rPr>
                <w:rFonts w:ascii="Times New Roman" w:eastAsia="Times New Roman" w:hAnsi="Times New Roman" w:cs="Times New Roman"/>
              </w:rPr>
            </w:pPr>
            <w:r w:rsidRPr="00B4756D">
              <w:rPr>
                <w:rFonts w:ascii="Times New Roman" w:eastAsia="Times New Roman" w:hAnsi="Times New Roman" w:cs="Times New Roman"/>
              </w:rPr>
              <w:t>40,8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B4756D" w:rsidRDefault="00B4756D" w:rsidP="00B4756D">
            <w:pPr>
              <w:spacing w:after="120" w:line="240" w:lineRule="auto"/>
              <w:jc w:val="center"/>
              <w:rPr>
                <w:rFonts w:ascii="Times New Roman" w:eastAsia="Times New Roman" w:hAnsi="Times New Roman" w:cs="Times New Roman"/>
              </w:rPr>
            </w:pPr>
            <w:r w:rsidRPr="00B4756D">
              <w:rPr>
                <w:rFonts w:ascii="Times New Roman" w:eastAsia="Times New Roman" w:hAnsi="Times New Roman" w:cs="Times New Roman"/>
              </w:rPr>
              <w:t>40,4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B4756D" w:rsidRDefault="00B4756D" w:rsidP="00B4756D">
            <w:pPr>
              <w:spacing w:after="120" w:line="240" w:lineRule="auto"/>
              <w:jc w:val="center"/>
              <w:rPr>
                <w:rFonts w:ascii="Times New Roman" w:eastAsia="Times New Roman" w:hAnsi="Times New Roman" w:cs="Times New Roman"/>
              </w:rPr>
            </w:pPr>
            <w:r w:rsidRPr="00B4756D">
              <w:rPr>
                <w:rFonts w:ascii="Times New Roman" w:eastAsia="Times New Roman" w:hAnsi="Times New Roman" w:cs="Times New Roman"/>
              </w:rPr>
              <w:t>40,8</w:t>
            </w:r>
          </w:p>
        </w:tc>
      </w:tr>
      <w:tr w:rsidR="00270617" w:rsidRPr="00270617" w:rsidTr="005E21B7">
        <w:trPr>
          <w:trHeight w:val="429"/>
          <w:jc w:val="center"/>
        </w:trPr>
        <w:tc>
          <w:tcPr>
            <w:tcW w:w="0" w:type="auto"/>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0617" w:rsidRPr="00F652B3" w:rsidRDefault="00270617" w:rsidP="00270617">
            <w:pPr>
              <w:spacing w:line="240" w:lineRule="auto"/>
              <w:rPr>
                <w:rFonts w:ascii="Calibri" w:eastAsia="Times New Roman" w:hAnsi="Calibri" w:cs="Times New Roman"/>
                <w:color w:val="FF0000"/>
              </w:rPr>
            </w:pPr>
            <w:r w:rsidRPr="00F652B3">
              <w:rPr>
                <w:rFonts w:ascii="Times New Roman" w:eastAsia="Times New Roman" w:hAnsi="Times New Roman" w:cs="Times New Roman"/>
                <w:sz w:val="20"/>
              </w:rPr>
              <w:t>Wskaźniki dochodowości:</w:t>
            </w:r>
          </w:p>
        </w:tc>
      </w:tr>
      <w:tr w:rsidR="00B4756D" w:rsidRPr="00270617" w:rsidTr="00FD39A7">
        <w:trPr>
          <w:trHeight w:val="441"/>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56D" w:rsidRPr="00270617" w:rsidRDefault="00B4756D" w:rsidP="00270617">
            <w:pPr>
              <w:spacing w:line="240" w:lineRule="auto"/>
              <w:rPr>
                <w:rFonts w:ascii="Calibri" w:eastAsia="Times New Roman" w:hAnsi="Calibri" w:cs="Times New Roman"/>
              </w:rPr>
            </w:pPr>
            <w:r w:rsidRPr="00270617">
              <w:rPr>
                <w:rFonts w:ascii="Times New Roman" w:eastAsia="Times New Roman" w:hAnsi="Times New Roman" w:cs="Times New Roman"/>
                <w:sz w:val="20"/>
              </w:rPr>
              <w:t>- pracy członka (tys. zł/osobę)</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EE067D" w:rsidRDefault="00B4756D" w:rsidP="00EE067D">
            <w:pPr>
              <w:spacing w:after="120" w:line="240" w:lineRule="auto"/>
              <w:jc w:val="center"/>
              <w:rPr>
                <w:rFonts w:ascii="Times New Roman" w:eastAsia="Times New Roman" w:hAnsi="Times New Roman" w:cs="Times New Roman"/>
              </w:rPr>
            </w:pPr>
            <w:r w:rsidRPr="00EE067D">
              <w:rPr>
                <w:rFonts w:ascii="Times New Roman" w:eastAsia="Times New Roman" w:hAnsi="Times New Roman" w:cs="Times New Roman"/>
              </w:rPr>
              <w:t>59,7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EE067D" w:rsidRDefault="00B4756D" w:rsidP="00EE067D">
            <w:pPr>
              <w:spacing w:after="120" w:line="240" w:lineRule="auto"/>
              <w:jc w:val="center"/>
              <w:rPr>
                <w:rFonts w:ascii="Times New Roman" w:eastAsia="Times New Roman" w:hAnsi="Times New Roman" w:cs="Times New Roman"/>
              </w:rPr>
            </w:pPr>
            <w:r w:rsidRPr="00EE067D">
              <w:rPr>
                <w:rFonts w:ascii="Times New Roman" w:eastAsia="Times New Roman" w:hAnsi="Times New Roman" w:cs="Times New Roman"/>
              </w:rPr>
              <w:t>72,3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EE067D" w:rsidRDefault="00B4756D" w:rsidP="00EE067D">
            <w:pPr>
              <w:spacing w:after="120" w:line="240" w:lineRule="auto"/>
              <w:jc w:val="center"/>
              <w:rPr>
                <w:rFonts w:ascii="Times New Roman" w:eastAsia="Times New Roman" w:hAnsi="Times New Roman" w:cs="Times New Roman"/>
              </w:rPr>
            </w:pPr>
            <w:r w:rsidRPr="00EE067D">
              <w:rPr>
                <w:rFonts w:ascii="Times New Roman" w:eastAsia="Times New Roman" w:hAnsi="Times New Roman" w:cs="Times New Roman"/>
              </w:rPr>
              <w:t>57,5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50,9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50,0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39,8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78572A" w:rsidRDefault="0078572A" w:rsidP="0078572A">
            <w:pPr>
              <w:spacing w:after="120" w:line="240" w:lineRule="auto"/>
              <w:jc w:val="center"/>
              <w:rPr>
                <w:rFonts w:ascii="Times New Roman" w:eastAsia="Times New Roman" w:hAnsi="Times New Roman" w:cs="Times New Roman"/>
              </w:rPr>
            </w:pPr>
            <w:r w:rsidRPr="0078572A">
              <w:rPr>
                <w:rFonts w:ascii="Times New Roman" w:eastAsia="Times New Roman" w:hAnsi="Times New Roman" w:cs="Times New Roman"/>
              </w:rPr>
              <w:t>44,0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78572A" w:rsidRDefault="00B4756D" w:rsidP="0078572A">
            <w:pPr>
              <w:spacing w:after="120" w:line="240" w:lineRule="auto"/>
              <w:jc w:val="center"/>
              <w:rPr>
                <w:rFonts w:ascii="Times New Roman" w:eastAsia="Times New Roman" w:hAnsi="Times New Roman" w:cs="Times New Roman"/>
              </w:rPr>
            </w:pPr>
            <w:r w:rsidRPr="0078572A">
              <w:rPr>
                <w:rFonts w:ascii="Times New Roman" w:eastAsia="Times New Roman" w:hAnsi="Times New Roman" w:cs="Times New Roman"/>
              </w:rPr>
              <w:t>45,1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78572A" w:rsidRDefault="00B4756D" w:rsidP="0078572A">
            <w:pPr>
              <w:spacing w:after="120" w:line="240" w:lineRule="auto"/>
              <w:jc w:val="center"/>
              <w:rPr>
                <w:rFonts w:ascii="Times New Roman" w:eastAsia="Times New Roman" w:hAnsi="Times New Roman" w:cs="Times New Roman"/>
              </w:rPr>
            </w:pPr>
            <w:r w:rsidRPr="0078572A">
              <w:rPr>
                <w:rFonts w:ascii="Times New Roman" w:eastAsia="Times New Roman" w:hAnsi="Times New Roman" w:cs="Times New Roman"/>
              </w:rPr>
              <w:t>42,</w:t>
            </w:r>
            <w:r w:rsidR="0078572A" w:rsidRPr="0078572A">
              <w:rPr>
                <w:rFonts w:ascii="Times New Roman" w:eastAsia="Times New Roman" w:hAnsi="Times New Roman" w:cs="Times New Roman"/>
              </w:rPr>
              <w:t>4</w:t>
            </w:r>
          </w:p>
        </w:tc>
      </w:tr>
      <w:tr w:rsidR="00B4756D" w:rsidRPr="00270617" w:rsidTr="00FD39A7">
        <w:trPr>
          <w:trHeight w:val="429"/>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56D" w:rsidRPr="00270617" w:rsidRDefault="00B4756D" w:rsidP="00270617">
            <w:pPr>
              <w:spacing w:line="240" w:lineRule="auto"/>
              <w:rPr>
                <w:rFonts w:ascii="Calibri" w:eastAsia="Times New Roman" w:hAnsi="Calibri" w:cs="Times New Roman"/>
              </w:rPr>
            </w:pPr>
            <w:r w:rsidRPr="00270617">
              <w:rPr>
                <w:rFonts w:ascii="Times New Roman" w:eastAsia="Times New Roman" w:hAnsi="Times New Roman" w:cs="Times New Roman"/>
                <w:sz w:val="20"/>
              </w:rPr>
              <w:t>- działalności gospodarczej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EE067D" w:rsidRDefault="00B4756D" w:rsidP="00EE067D">
            <w:pPr>
              <w:spacing w:after="120" w:line="240" w:lineRule="auto"/>
              <w:jc w:val="center"/>
              <w:rPr>
                <w:rFonts w:ascii="Times New Roman" w:eastAsia="Times New Roman" w:hAnsi="Times New Roman" w:cs="Times New Roman"/>
              </w:rPr>
            </w:pPr>
            <w:r w:rsidRPr="00EE067D">
              <w:rPr>
                <w:rFonts w:ascii="Times New Roman" w:eastAsia="Times New Roman" w:hAnsi="Times New Roman" w:cs="Times New Roman"/>
              </w:rPr>
              <w:t>23,7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EE067D" w:rsidRDefault="00B4756D" w:rsidP="00EE067D">
            <w:pPr>
              <w:spacing w:after="120" w:line="240" w:lineRule="auto"/>
              <w:jc w:val="center"/>
              <w:rPr>
                <w:rFonts w:ascii="Times New Roman" w:eastAsia="Times New Roman" w:hAnsi="Times New Roman" w:cs="Times New Roman"/>
              </w:rPr>
            </w:pPr>
            <w:r w:rsidRPr="00EE067D">
              <w:rPr>
                <w:rFonts w:ascii="Times New Roman" w:eastAsia="Times New Roman" w:hAnsi="Times New Roman" w:cs="Times New Roman"/>
              </w:rPr>
              <w:t>26,8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EE067D" w:rsidRDefault="00B4756D" w:rsidP="00EE067D">
            <w:pPr>
              <w:spacing w:after="120" w:line="240" w:lineRule="auto"/>
              <w:jc w:val="center"/>
              <w:rPr>
                <w:rFonts w:ascii="Times New Roman" w:eastAsia="Times New Roman" w:hAnsi="Times New Roman" w:cs="Times New Roman"/>
              </w:rPr>
            </w:pPr>
            <w:r w:rsidRPr="00EE067D">
              <w:rPr>
                <w:rFonts w:ascii="Times New Roman" w:eastAsia="Times New Roman" w:hAnsi="Times New Roman" w:cs="Times New Roman"/>
              </w:rPr>
              <w:t>22,4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19,7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17,1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16,1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78572A" w:rsidRDefault="00B4756D" w:rsidP="0078572A">
            <w:pPr>
              <w:spacing w:after="120" w:line="240" w:lineRule="auto"/>
              <w:jc w:val="center"/>
              <w:rPr>
                <w:rFonts w:ascii="Times New Roman" w:eastAsia="Times New Roman" w:hAnsi="Times New Roman" w:cs="Times New Roman"/>
              </w:rPr>
            </w:pPr>
            <w:r w:rsidRPr="0078572A">
              <w:rPr>
                <w:rFonts w:ascii="Times New Roman" w:eastAsia="Times New Roman" w:hAnsi="Times New Roman" w:cs="Times New Roman"/>
              </w:rPr>
              <w:t>26,2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78572A" w:rsidRDefault="00B4756D" w:rsidP="0078572A">
            <w:pPr>
              <w:spacing w:after="120" w:line="240" w:lineRule="auto"/>
              <w:jc w:val="center"/>
              <w:rPr>
                <w:rFonts w:ascii="Times New Roman" w:eastAsia="Times New Roman" w:hAnsi="Times New Roman" w:cs="Times New Roman"/>
              </w:rPr>
            </w:pPr>
            <w:r w:rsidRPr="0078572A">
              <w:rPr>
                <w:rFonts w:ascii="Times New Roman" w:eastAsia="Times New Roman" w:hAnsi="Times New Roman" w:cs="Times New Roman"/>
              </w:rPr>
              <w:t>25,</w:t>
            </w:r>
            <w:r w:rsidR="0078572A" w:rsidRPr="0078572A">
              <w:rPr>
                <w:rFonts w:ascii="Times New Roman" w:eastAsia="Times New Roman" w:hAnsi="Times New Roman" w:cs="Times New Roman"/>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78572A" w:rsidRDefault="00B4756D" w:rsidP="0078572A">
            <w:pPr>
              <w:spacing w:after="120" w:line="240" w:lineRule="auto"/>
              <w:jc w:val="center"/>
              <w:rPr>
                <w:rFonts w:ascii="Times New Roman" w:eastAsia="Times New Roman" w:hAnsi="Times New Roman" w:cs="Times New Roman"/>
              </w:rPr>
            </w:pPr>
            <w:r w:rsidRPr="0078572A">
              <w:rPr>
                <w:rFonts w:ascii="Times New Roman" w:eastAsia="Times New Roman" w:hAnsi="Times New Roman" w:cs="Times New Roman"/>
              </w:rPr>
              <w:t>24,2</w:t>
            </w:r>
          </w:p>
        </w:tc>
      </w:tr>
      <w:tr w:rsidR="00B4756D" w:rsidRPr="00270617" w:rsidTr="00FD39A7">
        <w:trPr>
          <w:trHeight w:val="441"/>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56D" w:rsidRPr="00270617" w:rsidRDefault="00B4756D" w:rsidP="00270617">
            <w:pPr>
              <w:spacing w:line="240" w:lineRule="auto"/>
              <w:rPr>
                <w:rFonts w:ascii="Calibri" w:eastAsia="Times New Roman" w:hAnsi="Calibri" w:cs="Times New Roman"/>
              </w:rPr>
            </w:pPr>
            <w:r w:rsidRPr="00270617">
              <w:rPr>
                <w:rFonts w:ascii="Times New Roman" w:eastAsia="Times New Roman" w:hAnsi="Times New Roman" w:cs="Times New Roman"/>
                <w:sz w:val="20"/>
              </w:rPr>
              <w:t>Indeks tworzenia wartości (krotność)</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EE067D" w:rsidRDefault="00B4756D" w:rsidP="00EE067D">
            <w:pPr>
              <w:spacing w:after="120" w:line="240" w:lineRule="auto"/>
              <w:jc w:val="center"/>
              <w:rPr>
                <w:rFonts w:ascii="Times New Roman" w:eastAsia="Times New Roman" w:hAnsi="Times New Roman" w:cs="Times New Roman"/>
              </w:rPr>
            </w:pPr>
            <w:r w:rsidRPr="00EE067D">
              <w:rPr>
                <w:rFonts w:ascii="Times New Roman" w:eastAsia="Times New Roman" w:hAnsi="Times New Roman" w:cs="Times New Roman"/>
              </w:rPr>
              <w:t>1,20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EE067D" w:rsidRDefault="00B4756D" w:rsidP="00EE067D">
            <w:pPr>
              <w:spacing w:after="120" w:line="240" w:lineRule="auto"/>
              <w:jc w:val="center"/>
              <w:rPr>
                <w:rFonts w:ascii="Times New Roman" w:eastAsia="Times New Roman" w:hAnsi="Times New Roman" w:cs="Times New Roman"/>
              </w:rPr>
            </w:pPr>
            <w:r w:rsidRPr="00EE067D">
              <w:rPr>
                <w:rFonts w:ascii="Times New Roman" w:eastAsia="Times New Roman" w:hAnsi="Times New Roman" w:cs="Times New Roman"/>
              </w:rPr>
              <w:t>2,25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EE067D" w:rsidRDefault="00B4756D" w:rsidP="00EE067D">
            <w:pPr>
              <w:spacing w:after="120" w:line="240" w:lineRule="auto"/>
              <w:jc w:val="center"/>
              <w:rPr>
                <w:rFonts w:ascii="Times New Roman" w:eastAsia="Times New Roman" w:hAnsi="Times New Roman" w:cs="Times New Roman"/>
              </w:rPr>
            </w:pPr>
            <w:r w:rsidRPr="00EE067D">
              <w:rPr>
                <w:rFonts w:ascii="Times New Roman" w:eastAsia="Times New Roman" w:hAnsi="Times New Roman" w:cs="Times New Roman"/>
              </w:rPr>
              <w:t>0,74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0,46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-0,04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-1,35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78572A" w:rsidRDefault="00B4756D" w:rsidP="0078572A">
            <w:pPr>
              <w:spacing w:after="120" w:line="240" w:lineRule="auto"/>
              <w:jc w:val="center"/>
              <w:rPr>
                <w:rFonts w:ascii="Times New Roman" w:eastAsia="Times New Roman" w:hAnsi="Times New Roman" w:cs="Times New Roman"/>
              </w:rPr>
            </w:pPr>
            <w:r w:rsidRPr="0078572A">
              <w:rPr>
                <w:rFonts w:ascii="Times New Roman" w:eastAsia="Times New Roman" w:hAnsi="Times New Roman" w:cs="Times New Roman"/>
              </w:rPr>
              <w:t>1,0</w:t>
            </w:r>
            <w:r w:rsidR="0078572A" w:rsidRPr="0078572A">
              <w:rPr>
                <w:rFonts w:ascii="Times New Roman" w:eastAsia="Times New Roman" w:hAnsi="Times New Roman" w:cs="Times New Roman"/>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78572A" w:rsidRDefault="00B4756D" w:rsidP="0078572A">
            <w:pPr>
              <w:spacing w:after="120" w:line="240" w:lineRule="auto"/>
              <w:jc w:val="center"/>
              <w:rPr>
                <w:rFonts w:ascii="Times New Roman" w:eastAsia="Times New Roman" w:hAnsi="Times New Roman" w:cs="Times New Roman"/>
              </w:rPr>
            </w:pPr>
            <w:r w:rsidRPr="0078572A">
              <w:rPr>
                <w:rFonts w:ascii="Times New Roman" w:eastAsia="Times New Roman" w:hAnsi="Times New Roman" w:cs="Times New Roman"/>
              </w:rPr>
              <w:t>0,5</w:t>
            </w:r>
            <w:r w:rsidR="0078572A" w:rsidRPr="0078572A">
              <w:rPr>
                <w:rFonts w:ascii="Times New Roman" w:eastAsia="Times New Roman" w:hAnsi="Times New Roman" w:cs="Times New Roman"/>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78572A" w:rsidRDefault="00B4756D" w:rsidP="0078572A">
            <w:pPr>
              <w:spacing w:after="120" w:line="240" w:lineRule="auto"/>
              <w:jc w:val="center"/>
              <w:rPr>
                <w:rFonts w:ascii="Times New Roman" w:eastAsia="Times New Roman" w:hAnsi="Times New Roman" w:cs="Times New Roman"/>
              </w:rPr>
            </w:pPr>
            <w:r w:rsidRPr="0078572A">
              <w:rPr>
                <w:rFonts w:ascii="Times New Roman" w:eastAsia="Times New Roman" w:hAnsi="Times New Roman" w:cs="Times New Roman"/>
              </w:rPr>
              <w:t>-0,73</w:t>
            </w:r>
          </w:p>
        </w:tc>
      </w:tr>
      <w:tr w:rsidR="00B4756D" w:rsidRPr="00270617" w:rsidTr="00FD39A7">
        <w:trPr>
          <w:trHeight w:val="441"/>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56D" w:rsidRPr="00270617" w:rsidRDefault="00B4756D" w:rsidP="00270617">
            <w:pPr>
              <w:spacing w:line="240" w:lineRule="auto"/>
              <w:rPr>
                <w:rFonts w:ascii="Calibri" w:eastAsia="Times New Roman" w:hAnsi="Calibri" w:cs="Times New Roman"/>
              </w:rPr>
            </w:pPr>
            <w:r w:rsidRPr="00270617">
              <w:rPr>
                <w:rFonts w:ascii="Times New Roman" w:eastAsia="Times New Roman" w:hAnsi="Times New Roman" w:cs="Times New Roman"/>
                <w:sz w:val="20"/>
              </w:rPr>
              <w:t>Wskaźnik generowania gotówki operacyjnej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EE067D" w:rsidRDefault="00B4756D" w:rsidP="00EE067D">
            <w:pPr>
              <w:spacing w:after="120" w:line="240" w:lineRule="auto"/>
              <w:jc w:val="center"/>
              <w:rPr>
                <w:rFonts w:ascii="Times New Roman" w:eastAsia="Times New Roman" w:hAnsi="Times New Roman" w:cs="Times New Roman"/>
              </w:rPr>
            </w:pPr>
            <w:r w:rsidRPr="00EE067D">
              <w:rPr>
                <w:rFonts w:ascii="Times New Roman" w:eastAsia="Times New Roman" w:hAnsi="Times New Roman" w:cs="Times New Roman"/>
              </w:rPr>
              <w:t>13,2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EE067D" w:rsidRDefault="00B4756D" w:rsidP="00EE067D">
            <w:pPr>
              <w:spacing w:after="120" w:line="240" w:lineRule="auto"/>
              <w:jc w:val="center"/>
              <w:rPr>
                <w:rFonts w:ascii="Times New Roman" w:eastAsia="Times New Roman" w:hAnsi="Times New Roman" w:cs="Times New Roman"/>
              </w:rPr>
            </w:pPr>
            <w:r w:rsidRPr="00EE067D">
              <w:rPr>
                <w:rFonts w:ascii="Times New Roman" w:eastAsia="Times New Roman" w:hAnsi="Times New Roman" w:cs="Times New Roman"/>
              </w:rPr>
              <w:t>16,3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EE067D" w:rsidRDefault="00B4756D" w:rsidP="00EE067D">
            <w:pPr>
              <w:spacing w:after="120" w:line="240" w:lineRule="auto"/>
              <w:jc w:val="center"/>
              <w:rPr>
                <w:rFonts w:ascii="Times New Roman" w:eastAsia="Times New Roman" w:hAnsi="Times New Roman" w:cs="Times New Roman"/>
              </w:rPr>
            </w:pPr>
            <w:r w:rsidRPr="00EE067D">
              <w:rPr>
                <w:rFonts w:ascii="Times New Roman" w:eastAsia="Times New Roman" w:hAnsi="Times New Roman" w:cs="Times New Roman"/>
              </w:rPr>
              <w:t>10,9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5,2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1,9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0,3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78572A" w:rsidRDefault="00B4756D" w:rsidP="0078572A">
            <w:pPr>
              <w:spacing w:after="120" w:line="240" w:lineRule="auto"/>
              <w:jc w:val="center"/>
              <w:rPr>
                <w:rFonts w:ascii="Times New Roman" w:eastAsia="Times New Roman" w:hAnsi="Times New Roman" w:cs="Times New Roman"/>
              </w:rPr>
            </w:pPr>
            <w:r w:rsidRPr="0078572A">
              <w:rPr>
                <w:rFonts w:ascii="Times New Roman" w:eastAsia="Times New Roman" w:hAnsi="Times New Roman" w:cs="Times New Roman"/>
              </w:rPr>
              <w:t>9,1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78572A" w:rsidRDefault="00B4756D" w:rsidP="0078572A">
            <w:pPr>
              <w:spacing w:after="120" w:line="240" w:lineRule="auto"/>
              <w:jc w:val="center"/>
              <w:rPr>
                <w:rFonts w:ascii="Times New Roman" w:eastAsia="Times New Roman" w:hAnsi="Times New Roman" w:cs="Times New Roman"/>
              </w:rPr>
            </w:pPr>
            <w:r w:rsidRPr="0078572A">
              <w:rPr>
                <w:rFonts w:ascii="Times New Roman" w:eastAsia="Times New Roman" w:hAnsi="Times New Roman" w:cs="Times New Roman"/>
              </w:rPr>
              <w:t>7,</w:t>
            </w:r>
            <w:r w:rsidR="0078572A" w:rsidRPr="0078572A">
              <w:rPr>
                <w:rFonts w:ascii="Times New Roman" w:eastAsia="Times New Roman" w:hAnsi="Times New Roman" w:cs="Times New Roman"/>
              </w:rPr>
              <w:t>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78572A" w:rsidRDefault="0078572A" w:rsidP="0078572A">
            <w:pPr>
              <w:spacing w:after="120" w:line="240" w:lineRule="auto"/>
              <w:jc w:val="center"/>
              <w:rPr>
                <w:rFonts w:ascii="Times New Roman" w:eastAsia="Times New Roman" w:hAnsi="Times New Roman" w:cs="Times New Roman"/>
              </w:rPr>
            </w:pPr>
            <w:r w:rsidRPr="0078572A">
              <w:rPr>
                <w:rFonts w:ascii="Times New Roman" w:eastAsia="Times New Roman" w:hAnsi="Times New Roman" w:cs="Times New Roman"/>
              </w:rPr>
              <w:t>5,0</w:t>
            </w:r>
          </w:p>
        </w:tc>
      </w:tr>
      <w:tr w:rsidR="00B4756D" w:rsidRPr="00270617" w:rsidTr="00FD39A7">
        <w:trPr>
          <w:trHeight w:val="441"/>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56D" w:rsidRPr="00270617" w:rsidRDefault="00B4756D" w:rsidP="00270617">
            <w:pPr>
              <w:spacing w:line="240" w:lineRule="auto"/>
              <w:rPr>
                <w:rFonts w:ascii="Calibri" w:eastAsia="Times New Roman" w:hAnsi="Calibri" w:cs="Times New Roman"/>
              </w:rPr>
            </w:pPr>
            <w:r w:rsidRPr="00270617">
              <w:rPr>
                <w:rFonts w:ascii="Times New Roman" w:eastAsia="Times New Roman" w:hAnsi="Times New Roman" w:cs="Times New Roman"/>
                <w:sz w:val="20"/>
              </w:rPr>
              <w:t>Stopa inwestycji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EE067D" w:rsidRDefault="00B4756D" w:rsidP="00EE067D">
            <w:pPr>
              <w:spacing w:after="120" w:line="240" w:lineRule="auto"/>
              <w:jc w:val="center"/>
              <w:rPr>
                <w:rFonts w:ascii="Times New Roman" w:eastAsia="Times New Roman" w:hAnsi="Times New Roman" w:cs="Times New Roman"/>
              </w:rPr>
            </w:pPr>
            <w:r w:rsidRPr="00EE067D">
              <w:rPr>
                <w:rFonts w:ascii="Times New Roman" w:eastAsia="Times New Roman" w:hAnsi="Times New Roman" w:cs="Times New Roman"/>
              </w:rPr>
              <w:t>1,72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EE067D" w:rsidRDefault="00B4756D" w:rsidP="00EE067D">
            <w:pPr>
              <w:spacing w:after="120" w:line="240" w:lineRule="auto"/>
              <w:jc w:val="center"/>
              <w:rPr>
                <w:rFonts w:ascii="Times New Roman" w:eastAsia="Times New Roman" w:hAnsi="Times New Roman" w:cs="Times New Roman"/>
              </w:rPr>
            </w:pPr>
            <w:r w:rsidRPr="00EE067D">
              <w:rPr>
                <w:rFonts w:ascii="Times New Roman" w:eastAsia="Times New Roman" w:hAnsi="Times New Roman" w:cs="Times New Roman"/>
              </w:rPr>
              <w:t>1,14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EE067D" w:rsidRDefault="00B4756D" w:rsidP="00EE067D">
            <w:pPr>
              <w:spacing w:after="120" w:line="240" w:lineRule="auto"/>
              <w:jc w:val="center"/>
              <w:rPr>
                <w:rFonts w:ascii="Times New Roman" w:eastAsia="Times New Roman" w:hAnsi="Times New Roman" w:cs="Times New Roman"/>
              </w:rPr>
            </w:pPr>
            <w:r w:rsidRPr="00EE067D">
              <w:rPr>
                <w:rFonts w:ascii="Times New Roman" w:eastAsia="Times New Roman" w:hAnsi="Times New Roman" w:cs="Times New Roman"/>
              </w:rPr>
              <w:t>1,26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1,94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1,15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48409E" w:rsidRDefault="00B4756D" w:rsidP="0048409E">
            <w:pPr>
              <w:spacing w:after="120" w:line="240" w:lineRule="auto"/>
              <w:jc w:val="center"/>
              <w:rPr>
                <w:rFonts w:ascii="Times New Roman" w:eastAsia="Times New Roman" w:hAnsi="Times New Roman" w:cs="Times New Roman"/>
              </w:rPr>
            </w:pPr>
            <w:r w:rsidRPr="0048409E">
              <w:rPr>
                <w:rFonts w:ascii="Times New Roman" w:eastAsia="Times New Roman" w:hAnsi="Times New Roman" w:cs="Times New Roman"/>
              </w:rPr>
              <w:t>1,34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78572A" w:rsidRDefault="00B4756D" w:rsidP="0078572A">
            <w:pPr>
              <w:spacing w:after="120" w:line="240" w:lineRule="auto"/>
              <w:jc w:val="center"/>
              <w:rPr>
                <w:rFonts w:ascii="Times New Roman" w:eastAsia="Times New Roman" w:hAnsi="Times New Roman" w:cs="Times New Roman"/>
              </w:rPr>
            </w:pPr>
            <w:r w:rsidRPr="0078572A">
              <w:rPr>
                <w:rFonts w:ascii="Times New Roman" w:eastAsia="Times New Roman" w:hAnsi="Times New Roman" w:cs="Times New Roman"/>
              </w:rPr>
              <w:t>2,04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78572A" w:rsidRDefault="00B4756D" w:rsidP="0078572A">
            <w:pPr>
              <w:spacing w:after="120" w:line="240" w:lineRule="auto"/>
              <w:jc w:val="center"/>
              <w:rPr>
                <w:rFonts w:ascii="Times New Roman" w:eastAsia="Times New Roman" w:hAnsi="Times New Roman" w:cs="Times New Roman"/>
              </w:rPr>
            </w:pPr>
            <w:r w:rsidRPr="0078572A">
              <w:rPr>
                <w:rFonts w:ascii="Times New Roman" w:eastAsia="Times New Roman" w:hAnsi="Times New Roman" w:cs="Times New Roman"/>
              </w:rPr>
              <w:t>2,25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4756D" w:rsidRPr="0078572A" w:rsidRDefault="00B4756D" w:rsidP="0078572A">
            <w:pPr>
              <w:spacing w:after="120" w:line="240" w:lineRule="auto"/>
              <w:jc w:val="center"/>
              <w:rPr>
                <w:rFonts w:ascii="Times New Roman" w:eastAsia="Times New Roman" w:hAnsi="Times New Roman" w:cs="Times New Roman"/>
              </w:rPr>
            </w:pPr>
            <w:r w:rsidRPr="0078572A">
              <w:rPr>
                <w:rFonts w:ascii="Times New Roman" w:eastAsia="Times New Roman" w:hAnsi="Times New Roman" w:cs="Times New Roman"/>
              </w:rPr>
              <w:t>0,96</w:t>
            </w:r>
          </w:p>
        </w:tc>
      </w:tr>
    </w:tbl>
    <w:p w:rsidR="006B66D2" w:rsidRDefault="00270617" w:rsidP="00127F84">
      <w:pPr>
        <w:spacing w:after="120"/>
        <w:rPr>
          <w:rFonts w:ascii="Times New Roman" w:eastAsia="Times New Roman" w:hAnsi="Times New Roman" w:cs="Times New Roman"/>
          <w:i/>
          <w:sz w:val="20"/>
        </w:rPr>
      </w:pPr>
      <w:r w:rsidRPr="006B66D2">
        <w:rPr>
          <w:rFonts w:ascii="Times New Roman" w:eastAsia="Times New Roman" w:hAnsi="Times New Roman" w:cs="Times New Roman"/>
          <w:b/>
          <w:sz w:val="20"/>
        </w:rPr>
        <w:t>Źródło</w:t>
      </w:r>
      <w:r>
        <w:rPr>
          <w:rFonts w:ascii="Times New Roman" w:eastAsia="Times New Roman" w:hAnsi="Times New Roman" w:cs="Times New Roman"/>
          <w:sz w:val="20"/>
        </w:rPr>
        <w:t xml:space="preserve">: </w:t>
      </w:r>
      <w:r w:rsidR="00346776">
        <w:rPr>
          <w:rFonts w:ascii="Times New Roman" w:eastAsia="Times New Roman" w:hAnsi="Times New Roman" w:cs="Times New Roman"/>
          <w:i/>
          <w:sz w:val="20"/>
        </w:rPr>
        <w:t>Ranking RSP 2013</w:t>
      </w:r>
      <w:r w:rsidRPr="006B66D2">
        <w:rPr>
          <w:rFonts w:ascii="Times New Roman" w:eastAsia="Times New Roman" w:hAnsi="Times New Roman" w:cs="Times New Roman"/>
          <w:i/>
          <w:sz w:val="20"/>
        </w:rPr>
        <w:t xml:space="preserve"> r.,</w:t>
      </w:r>
      <w:r w:rsidR="006B66D2" w:rsidRPr="006B66D2">
        <w:rPr>
          <w:rFonts w:ascii="Times New Roman" w:eastAsia="Times New Roman" w:hAnsi="Times New Roman" w:cs="Times New Roman"/>
          <w:i/>
          <w:sz w:val="20"/>
        </w:rPr>
        <w:t xml:space="preserve"> </w:t>
      </w:r>
      <w:r w:rsidR="00346776">
        <w:rPr>
          <w:rFonts w:ascii="Times New Roman" w:eastAsia="Times New Roman" w:hAnsi="Times New Roman" w:cs="Times New Roman"/>
          <w:i/>
          <w:sz w:val="20"/>
        </w:rPr>
        <w:t>2014 r. i 2015</w:t>
      </w:r>
      <w:r w:rsidR="00C12AE9" w:rsidRPr="006B66D2">
        <w:rPr>
          <w:rFonts w:ascii="Times New Roman" w:eastAsia="Times New Roman" w:hAnsi="Times New Roman" w:cs="Times New Roman"/>
          <w:i/>
          <w:sz w:val="20"/>
        </w:rPr>
        <w:t xml:space="preserve"> </w:t>
      </w:r>
      <w:r w:rsidRPr="006B66D2">
        <w:rPr>
          <w:rFonts w:ascii="Times New Roman" w:eastAsia="Times New Roman" w:hAnsi="Times New Roman" w:cs="Times New Roman"/>
          <w:i/>
          <w:sz w:val="20"/>
        </w:rPr>
        <w:t>r.</w:t>
      </w:r>
    </w:p>
    <w:p w:rsidR="006F10BF" w:rsidRDefault="006F10BF" w:rsidP="006F10BF">
      <w:pPr>
        <w:spacing w:after="0" w:line="264" w:lineRule="auto"/>
        <w:jc w:val="center"/>
        <w:rPr>
          <w:rFonts w:ascii="Times New Roman" w:hAnsi="Times New Roman"/>
          <w:sz w:val="24"/>
          <w:szCs w:val="24"/>
        </w:rPr>
      </w:pPr>
    </w:p>
    <w:p w:rsidR="006F10BF" w:rsidRDefault="006F10BF" w:rsidP="006F10BF">
      <w:pPr>
        <w:spacing w:after="0" w:line="264" w:lineRule="auto"/>
        <w:jc w:val="center"/>
        <w:rPr>
          <w:rFonts w:ascii="Times New Roman" w:hAnsi="Times New Roman"/>
          <w:sz w:val="24"/>
          <w:szCs w:val="24"/>
        </w:rPr>
      </w:pPr>
    </w:p>
    <w:p w:rsidR="006F10BF" w:rsidRDefault="006F10BF" w:rsidP="006F10BF">
      <w:pPr>
        <w:spacing w:after="0" w:line="264" w:lineRule="auto"/>
        <w:jc w:val="center"/>
        <w:rPr>
          <w:rFonts w:ascii="Times New Roman" w:hAnsi="Times New Roman"/>
          <w:sz w:val="24"/>
          <w:szCs w:val="24"/>
        </w:rPr>
      </w:pPr>
    </w:p>
    <w:p w:rsidR="006F10BF" w:rsidRDefault="006F10BF" w:rsidP="006F10BF">
      <w:pPr>
        <w:spacing w:after="0" w:line="264" w:lineRule="auto"/>
        <w:jc w:val="right"/>
        <w:rPr>
          <w:rFonts w:ascii="Times New Roman" w:hAnsi="Times New Roman"/>
          <w:sz w:val="24"/>
          <w:szCs w:val="24"/>
        </w:rPr>
      </w:pPr>
      <w:r>
        <w:rPr>
          <w:rFonts w:ascii="Times New Roman" w:hAnsi="Times New Roman"/>
          <w:sz w:val="24"/>
          <w:szCs w:val="24"/>
        </w:rPr>
        <w:lastRenderedPageBreak/>
        <w:t>Tabela 5</w:t>
      </w:r>
    </w:p>
    <w:p w:rsidR="006F10BF" w:rsidRDefault="006F10BF" w:rsidP="006F10BF">
      <w:pPr>
        <w:spacing w:after="0" w:line="264" w:lineRule="auto"/>
        <w:jc w:val="center"/>
        <w:rPr>
          <w:rFonts w:ascii="Times New Roman" w:hAnsi="Times New Roman"/>
          <w:sz w:val="24"/>
          <w:szCs w:val="24"/>
        </w:rPr>
      </w:pPr>
      <w:r w:rsidRPr="00D40C12">
        <w:rPr>
          <w:rFonts w:ascii="Times New Roman" w:hAnsi="Times New Roman"/>
          <w:sz w:val="24"/>
          <w:szCs w:val="24"/>
        </w:rPr>
        <w:t>Podranking 25 na</w:t>
      </w:r>
      <w:r>
        <w:rPr>
          <w:rFonts w:ascii="Times New Roman" w:hAnsi="Times New Roman"/>
          <w:sz w:val="24"/>
          <w:szCs w:val="24"/>
        </w:rPr>
        <w:t>jlepszych rolniczych spółdzielni</w:t>
      </w:r>
      <w:r w:rsidR="0069391E">
        <w:rPr>
          <w:rFonts w:ascii="Times New Roman" w:hAnsi="Times New Roman"/>
          <w:sz w:val="24"/>
          <w:szCs w:val="24"/>
        </w:rPr>
        <w:t xml:space="preserve"> </w:t>
      </w:r>
      <w:r w:rsidR="002B7E51">
        <w:rPr>
          <w:rFonts w:ascii="Times New Roman" w:hAnsi="Times New Roman"/>
          <w:sz w:val="24"/>
          <w:szCs w:val="24"/>
        </w:rPr>
        <w:t>produkcyjnych w latach 2013-2015</w:t>
      </w:r>
    </w:p>
    <w:p w:rsidR="00E14AE8" w:rsidRDefault="00E14AE8" w:rsidP="006F10BF">
      <w:pPr>
        <w:spacing w:after="0" w:line="264" w:lineRule="auto"/>
        <w:jc w:val="center"/>
        <w:rPr>
          <w:rFonts w:ascii="Times New Roman" w:hAnsi="Times New Roman"/>
          <w:sz w:val="24"/>
          <w:szCs w:val="24"/>
        </w:rPr>
      </w:pPr>
    </w:p>
    <w:tbl>
      <w:tblPr>
        <w:tblW w:w="14020" w:type="dxa"/>
        <w:tblInd w:w="828" w:type="dxa"/>
        <w:tblCellMar>
          <w:left w:w="0" w:type="dxa"/>
          <w:right w:w="0" w:type="dxa"/>
        </w:tblCellMar>
        <w:tblLook w:val="04A0" w:firstRow="1" w:lastRow="0" w:firstColumn="1" w:lastColumn="0" w:noHBand="0" w:noVBand="1"/>
      </w:tblPr>
      <w:tblGrid>
        <w:gridCol w:w="422"/>
        <w:gridCol w:w="386"/>
        <w:gridCol w:w="1757"/>
        <w:gridCol w:w="523"/>
        <w:gridCol w:w="320"/>
        <w:gridCol w:w="526"/>
        <w:gridCol w:w="292"/>
        <w:gridCol w:w="401"/>
        <w:gridCol w:w="312"/>
        <w:gridCol w:w="329"/>
        <w:gridCol w:w="256"/>
        <w:gridCol w:w="534"/>
        <w:gridCol w:w="486"/>
        <w:gridCol w:w="760"/>
        <w:gridCol w:w="520"/>
        <w:gridCol w:w="253"/>
        <w:gridCol w:w="393"/>
        <w:gridCol w:w="255"/>
        <w:gridCol w:w="436"/>
        <w:gridCol w:w="262"/>
        <w:gridCol w:w="329"/>
        <w:gridCol w:w="256"/>
        <w:gridCol w:w="586"/>
        <w:gridCol w:w="620"/>
        <w:gridCol w:w="800"/>
        <w:gridCol w:w="580"/>
        <w:gridCol w:w="886"/>
        <w:gridCol w:w="540"/>
      </w:tblGrid>
      <w:tr w:rsidR="00E14AE8" w:rsidRPr="00125DF2" w:rsidTr="00E14AE8">
        <w:trPr>
          <w:trHeight w:val="227"/>
        </w:trPr>
        <w:tc>
          <w:tcPr>
            <w:tcW w:w="820" w:type="dxa"/>
            <w:gridSpan w:val="2"/>
            <w:vMerge w:val="restart"/>
            <w:tcBorders>
              <w:top w:val="single" w:sz="8" w:space="0" w:color="auto"/>
              <w:left w:val="single" w:sz="8" w:space="0" w:color="auto"/>
              <w:bottom w:val="nil"/>
              <w:right w:val="single" w:sz="4" w:space="0" w:color="000000"/>
            </w:tcBorders>
            <w:shd w:val="clear" w:color="auto" w:fill="auto"/>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bookmarkStart w:id="0" w:name="_GoBack"/>
            <w:bookmarkEnd w:id="0"/>
            <w:r w:rsidRPr="00125DF2">
              <w:rPr>
                <w:rFonts w:ascii="Arial Narrow" w:hAnsi="Arial Narrow"/>
                <w:sz w:val="14"/>
                <w:szCs w:val="14"/>
              </w:rPr>
              <w:t>Pozycja według miernika syntetycznego</w:t>
            </w:r>
          </w:p>
        </w:tc>
        <w:tc>
          <w:tcPr>
            <w:tcW w:w="2280" w:type="dxa"/>
            <w:gridSpan w:val="2"/>
            <w:vMerge w:val="restart"/>
            <w:tcBorders>
              <w:top w:val="single" w:sz="8"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Nazwa Spółdzielni</w:t>
            </w:r>
          </w:p>
        </w:tc>
        <w:tc>
          <w:tcPr>
            <w:tcW w:w="320" w:type="dxa"/>
            <w:vMerge w:val="restart"/>
            <w:tcBorders>
              <w:top w:val="single" w:sz="8" w:space="0" w:color="auto"/>
              <w:left w:val="single" w:sz="4" w:space="0" w:color="auto"/>
              <w:bottom w:val="single" w:sz="8" w:space="0" w:color="000000"/>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PKD</w:t>
            </w:r>
          </w:p>
        </w:tc>
        <w:tc>
          <w:tcPr>
            <w:tcW w:w="1485" w:type="dxa"/>
            <w:gridSpan w:val="4"/>
            <w:tcBorders>
              <w:top w:val="single" w:sz="8"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Wskaźniki dochodowości:</w:t>
            </w:r>
          </w:p>
        </w:tc>
        <w:tc>
          <w:tcPr>
            <w:tcW w:w="591" w:type="dxa"/>
            <w:gridSpan w:val="2"/>
            <w:vMerge w:val="restart"/>
            <w:tcBorders>
              <w:top w:val="single" w:sz="8"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Wskaźnik wartości dodanej</w:t>
            </w:r>
          </w:p>
        </w:tc>
        <w:tc>
          <w:tcPr>
            <w:tcW w:w="1020" w:type="dxa"/>
            <w:gridSpan w:val="2"/>
            <w:tcBorders>
              <w:top w:val="single" w:sz="8" w:space="0" w:color="auto"/>
              <w:left w:val="nil"/>
              <w:bottom w:val="nil"/>
              <w:right w:val="single" w:sz="4" w:space="0" w:color="000000"/>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Wskaźniki płynności</w:t>
            </w:r>
          </w:p>
        </w:tc>
        <w:tc>
          <w:tcPr>
            <w:tcW w:w="760" w:type="dxa"/>
            <w:vMerge w:val="restart"/>
            <w:tcBorders>
              <w:top w:val="single" w:sz="8" w:space="0" w:color="auto"/>
              <w:left w:val="single" w:sz="4" w:space="0" w:color="auto"/>
              <w:bottom w:val="single" w:sz="4" w:space="0" w:color="000000"/>
              <w:right w:val="nil"/>
            </w:tcBorders>
            <w:shd w:val="clear" w:color="auto" w:fill="auto"/>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Wskaźnik generowania gotówki operacyjnej</w:t>
            </w:r>
          </w:p>
        </w:tc>
        <w:tc>
          <w:tcPr>
            <w:tcW w:w="778" w:type="dxa"/>
            <w:gridSpan w:val="2"/>
            <w:vMerge w:val="restart"/>
            <w:tcBorders>
              <w:top w:val="single" w:sz="8"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Wydajność pracy</w:t>
            </w:r>
          </w:p>
        </w:tc>
        <w:tc>
          <w:tcPr>
            <w:tcW w:w="654" w:type="dxa"/>
            <w:gridSpan w:val="2"/>
            <w:vMerge w:val="restart"/>
            <w:tcBorders>
              <w:top w:val="single" w:sz="8"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Przychody ogółem</w:t>
            </w:r>
          </w:p>
        </w:tc>
        <w:tc>
          <w:tcPr>
            <w:tcW w:w="709" w:type="dxa"/>
            <w:gridSpan w:val="2"/>
            <w:vMerge w:val="restart"/>
            <w:tcBorders>
              <w:top w:val="single" w:sz="8"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Dochód ogólny</w:t>
            </w:r>
          </w:p>
        </w:tc>
        <w:tc>
          <w:tcPr>
            <w:tcW w:w="591" w:type="dxa"/>
            <w:gridSpan w:val="2"/>
            <w:vMerge w:val="restart"/>
            <w:tcBorders>
              <w:top w:val="single" w:sz="8"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Indeks tworzenia wartości</w:t>
            </w:r>
          </w:p>
        </w:tc>
        <w:tc>
          <w:tcPr>
            <w:tcW w:w="1206" w:type="dxa"/>
            <w:gridSpan w:val="2"/>
            <w:tcBorders>
              <w:top w:val="single" w:sz="8" w:space="0" w:color="auto"/>
              <w:left w:val="nil"/>
              <w:bottom w:val="nil"/>
              <w:right w:val="single" w:sz="4" w:space="0" w:color="000000"/>
            </w:tcBorders>
            <w:shd w:val="clear" w:color="auto" w:fill="auto"/>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Pracujący</w:t>
            </w:r>
          </w:p>
        </w:tc>
        <w:tc>
          <w:tcPr>
            <w:tcW w:w="800" w:type="dxa"/>
            <w:vMerge w:val="restart"/>
            <w:tcBorders>
              <w:top w:val="single" w:sz="8"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Powierzchnia użytków rolnych</w:t>
            </w:r>
          </w:p>
        </w:tc>
        <w:tc>
          <w:tcPr>
            <w:tcW w:w="580" w:type="dxa"/>
            <w:vMerge w:val="restart"/>
            <w:tcBorders>
              <w:top w:val="single" w:sz="8"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Wskaźnik bonitacji gleb</w:t>
            </w:r>
          </w:p>
        </w:tc>
        <w:tc>
          <w:tcPr>
            <w:tcW w:w="886" w:type="dxa"/>
            <w:vMerge w:val="restart"/>
            <w:tcBorders>
              <w:top w:val="single" w:sz="8"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Miernik syntetyczny</w:t>
            </w:r>
            <w:r w:rsidRPr="00125DF2">
              <w:rPr>
                <w:rFonts w:ascii="Arial Narrow" w:hAnsi="Arial Narrow"/>
                <w:sz w:val="14"/>
                <w:szCs w:val="14"/>
              </w:rPr>
              <w:br/>
              <w:t>(6+8+15+17+21)</w:t>
            </w:r>
          </w:p>
        </w:tc>
        <w:tc>
          <w:tcPr>
            <w:tcW w:w="540" w:type="dxa"/>
            <w:vMerge w:val="restart"/>
            <w:tcBorders>
              <w:top w:val="single" w:sz="8" w:space="0" w:color="auto"/>
              <w:left w:val="single" w:sz="4" w:space="0" w:color="auto"/>
              <w:bottom w:val="nil"/>
              <w:right w:val="single" w:sz="8" w:space="0" w:color="auto"/>
            </w:tcBorders>
            <w:shd w:val="clear" w:color="auto" w:fill="auto"/>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Pozycja według kol. 26</w:t>
            </w:r>
          </w:p>
        </w:tc>
      </w:tr>
      <w:tr w:rsidR="00E14AE8" w:rsidRPr="00125DF2" w:rsidTr="00E14AE8">
        <w:trPr>
          <w:trHeight w:val="227"/>
        </w:trPr>
        <w:tc>
          <w:tcPr>
            <w:tcW w:w="0" w:type="auto"/>
            <w:gridSpan w:val="2"/>
            <w:vMerge/>
            <w:tcBorders>
              <w:top w:val="single" w:sz="8" w:space="0" w:color="auto"/>
              <w:left w:val="single" w:sz="8" w:space="0" w:color="auto"/>
              <w:bottom w:val="nil"/>
              <w:right w:val="single" w:sz="4" w:space="0" w:color="000000"/>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gridSpan w:val="2"/>
            <w:vMerge/>
            <w:tcBorders>
              <w:top w:val="single" w:sz="8" w:space="0" w:color="auto"/>
              <w:left w:val="single" w:sz="4" w:space="0" w:color="auto"/>
              <w:bottom w:val="nil"/>
              <w:right w:val="single" w:sz="4" w:space="0" w:color="000000"/>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gridSpan w:val="2"/>
            <w:vMerge w:val="restart"/>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pracy</w:t>
            </w:r>
          </w:p>
        </w:tc>
        <w:tc>
          <w:tcPr>
            <w:tcW w:w="713" w:type="dxa"/>
            <w:gridSpan w:val="2"/>
            <w:vMerge w:val="restart"/>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działalności gospodarczej</w:t>
            </w:r>
          </w:p>
        </w:tc>
        <w:tc>
          <w:tcPr>
            <w:tcW w:w="0" w:type="auto"/>
            <w:gridSpan w:val="2"/>
            <w:vMerge/>
            <w:tcBorders>
              <w:top w:val="single" w:sz="8" w:space="0" w:color="auto"/>
              <w:left w:val="single" w:sz="4" w:space="0" w:color="auto"/>
              <w:bottom w:val="nil"/>
              <w:right w:val="single" w:sz="4" w:space="0" w:color="000000"/>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gridSpan w:val="2"/>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na 31.12.2015:</w:t>
            </w:r>
          </w:p>
        </w:tc>
        <w:tc>
          <w:tcPr>
            <w:tcW w:w="0" w:type="auto"/>
            <w:vMerge/>
            <w:tcBorders>
              <w:top w:val="single" w:sz="8" w:space="0" w:color="auto"/>
              <w:left w:val="single" w:sz="4" w:space="0" w:color="auto"/>
              <w:bottom w:val="single" w:sz="4" w:space="0" w:color="000000"/>
              <w:right w:val="nil"/>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gridSpan w:val="2"/>
            <w:vMerge/>
            <w:tcBorders>
              <w:top w:val="single" w:sz="8" w:space="0" w:color="auto"/>
              <w:left w:val="single" w:sz="4" w:space="0" w:color="auto"/>
              <w:bottom w:val="nil"/>
              <w:right w:val="single" w:sz="4" w:space="0" w:color="000000"/>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gridSpan w:val="2"/>
            <w:vMerge/>
            <w:tcBorders>
              <w:top w:val="single" w:sz="8" w:space="0" w:color="auto"/>
              <w:left w:val="single" w:sz="4" w:space="0" w:color="auto"/>
              <w:bottom w:val="nil"/>
              <w:right w:val="single" w:sz="4" w:space="0" w:color="000000"/>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gridSpan w:val="2"/>
            <w:vMerge/>
            <w:tcBorders>
              <w:top w:val="single" w:sz="8" w:space="0" w:color="auto"/>
              <w:left w:val="single" w:sz="4" w:space="0" w:color="auto"/>
              <w:bottom w:val="nil"/>
              <w:right w:val="single" w:sz="4" w:space="0" w:color="000000"/>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gridSpan w:val="2"/>
            <w:vMerge/>
            <w:tcBorders>
              <w:top w:val="single" w:sz="8" w:space="0" w:color="auto"/>
              <w:left w:val="single" w:sz="4" w:space="0" w:color="auto"/>
              <w:bottom w:val="nil"/>
              <w:right w:val="single" w:sz="4" w:space="0" w:color="000000"/>
            </w:tcBorders>
            <w:vAlign w:val="center"/>
            <w:hideMark/>
          </w:tcPr>
          <w:p w:rsidR="00E14AE8" w:rsidRPr="00125DF2" w:rsidRDefault="00E14AE8" w:rsidP="0023278E">
            <w:pPr>
              <w:spacing w:after="0" w:line="240" w:lineRule="auto"/>
              <w:rPr>
                <w:rFonts w:ascii="Arial Narrow" w:hAnsi="Arial Narrow"/>
                <w:sz w:val="14"/>
                <w:szCs w:val="14"/>
              </w:rPr>
            </w:pPr>
          </w:p>
        </w:tc>
        <w:tc>
          <w:tcPr>
            <w:tcW w:w="586" w:type="dxa"/>
            <w:vMerge w:val="restart"/>
            <w:tcBorders>
              <w:top w:val="nil"/>
              <w:left w:val="single" w:sz="4" w:space="0" w:color="auto"/>
              <w:bottom w:val="nil"/>
              <w:right w:val="nil"/>
            </w:tcBorders>
            <w:shd w:val="clear" w:color="auto" w:fill="auto"/>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przeciętnie w roku</w:t>
            </w:r>
          </w:p>
        </w:tc>
        <w:tc>
          <w:tcPr>
            <w:tcW w:w="620" w:type="dxa"/>
            <w:vMerge w:val="restar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w tym członkowie</w:t>
            </w:r>
          </w:p>
        </w:tc>
        <w:tc>
          <w:tcPr>
            <w:tcW w:w="0" w:type="auto"/>
            <w:vMerge/>
            <w:tcBorders>
              <w:top w:val="single" w:sz="8" w:space="0" w:color="auto"/>
              <w:left w:val="single" w:sz="4" w:space="0" w:color="auto"/>
              <w:bottom w:val="nil"/>
              <w:right w:val="single" w:sz="4" w:space="0" w:color="auto"/>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vMerge/>
            <w:tcBorders>
              <w:top w:val="single" w:sz="8" w:space="0" w:color="auto"/>
              <w:left w:val="single" w:sz="4" w:space="0" w:color="auto"/>
              <w:bottom w:val="nil"/>
              <w:right w:val="single" w:sz="8" w:space="0" w:color="auto"/>
            </w:tcBorders>
            <w:vAlign w:val="center"/>
            <w:hideMark/>
          </w:tcPr>
          <w:p w:rsidR="00E14AE8" w:rsidRPr="00125DF2" w:rsidRDefault="00E14AE8" w:rsidP="0023278E">
            <w:pPr>
              <w:spacing w:after="0" w:line="240" w:lineRule="auto"/>
              <w:rPr>
                <w:rFonts w:ascii="Arial Narrow" w:hAnsi="Arial Narrow"/>
                <w:sz w:val="14"/>
                <w:szCs w:val="14"/>
              </w:rPr>
            </w:pPr>
          </w:p>
        </w:tc>
      </w:tr>
      <w:tr w:rsidR="00E14AE8" w:rsidRPr="00125DF2" w:rsidTr="00E14AE8">
        <w:trPr>
          <w:trHeight w:val="227"/>
        </w:trPr>
        <w:tc>
          <w:tcPr>
            <w:tcW w:w="0" w:type="auto"/>
            <w:gridSpan w:val="2"/>
            <w:vMerge/>
            <w:tcBorders>
              <w:top w:val="single" w:sz="8" w:space="0" w:color="auto"/>
              <w:left w:val="single" w:sz="8" w:space="0" w:color="auto"/>
              <w:bottom w:val="nil"/>
              <w:right w:val="single" w:sz="4" w:space="0" w:color="000000"/>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gridSpan w:val="2"/>
            <w:vMerge/>
            <w:tcBorders>
              <w:top w:val="single" w:sz="8" w:space="0" w:color="auto"/>
              <w:left w:val="single" w:sz="4" w:space="0" w:color="auto"/>
              <w:bottom w:val="nil"/>
              <w:right w:val="single" w:sz="4" w:space="0" w:color="000000"/>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gridSpan w:val="2"/>
            <w:vMerge/>
            <w:tcBorders>
              <w:top w:val="single" w:sz="4" w:space="0" w:color="auto"/>
              <w:left w:val="single" w:sz="4" w:space="0" w:color="auto"/>
              <w:bottom w:val="nil"/>
              <w:right w:val="single" w:sz="4" w:space="0" w:color="000000"/>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gridSpan w:val="2"/>
            <w:vMerge/>
            <w:tcBorders>
              <w:top w:val="single" w:sz="4" w:space="0" w:color="auto"/>
              <w:left w:val="single" w:sz="4" w:space="0" w:color="auto"/>
              <w:bottom w:val="nil"/>
              <w:right w:val="single" w:sz="4" w:space="0" w:color="000000"/>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gridSpan w:val="2"/>
            <w:vMerge/>
            <w:tcBorders>
              <w:top w:val="single" w:sz="8" w:space="0" w:color="auto"/>
              <w:left w:val="single" w:sz="4" w:space="0" w:color="auto"/>
              <w:bottom w:val="nil"/>
              <w:right w:val="single" w:sz="4" w:space="0" w:color="000000"/>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bieżący</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szybki</w:t>
            </w:r>
          </w:p>
        </w:tc>
        <w:tc>
          <w:tcPr>
            <w:tcW w:w="0" w:type="auto"/>
            <w:vMerge/>
            <w:tcBorders>
              <w:top w:val="single" w:sz="8" w:space="0" w:color="auto"/>
              <w:left w:val="single" w:sz="4" w:space="0" w:color="auto"/>
              <w:bottom w:val="single" w:sz="4" w:space="0" w:color="000000"/>
              <w:right w:val="nil"/>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gridSpan w:val="2"/>
            <w:vMerge/>
            <w:tcBorders>
              <w:top w:val="single" w:sz="8" w:space="0" w:color="auto"/>
              <w:left w:val="single" w:sz="4" w:space="0" w:color="auto"/>
              <w:bottom w:val="nil"/>
              <w:right w:val="single" w:sz="4" w:space="0" w:color="000000"/>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gridSpan w:val="2"/>
            <w:vMerge/>
            <w:tcBorders>
              <w:top w:val="single" w:sz="8" w:space="0" w:color="auto"/>
              <w:left w:val="single" w:sz="4" w:space="0" w:color="auto"/>
              <w:bottom w:val="nil"/>
              <w:right w:val="single" w:sz="4" w:space="0" w:color="000000"/>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gridSpan w:val="2"/>
            <w:vMerge/>
            <w:tcBorders>
              <w:top w:val="single" w:sz="8" w:space="0" w:color="auto"/>
              <w:left w:val="single" w:sz="4" w:space="0" w:color="auto"/>
              <w:bottom w:val="nil"/>
              <w:right w:val="single" w:sz="4" w:space="0" w:color="000000"/>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gridSpan w:val="2"/>
            <w:vMerge/>
            <w:tcBorders>
              <w:top w:val="single" w:sz="8" w:space="0" w:color="auto"/>
              <w:left w:val="single" w:sz="4" w:space="0" w:color="auto"/>
              <w:bottom w:val="nil"/>
              <w:right w:val="single" w:sz="4" w:space="0" w:color="000000"/>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vMerge/>
            <w:tcBorders>
              <w:top w:val="nil"/>
              <w:left w:val="single" w:sz="4" w:space="0" w:color="auto"/>
              <w:bottom w:val="nil"/>
              <w:right w:val="nil"/>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vMerge/>
            <w:tcBorders>
              <w:top w:val="single" w:sz="4" w:space="0" w:color="auto"/>
              <w:left w:val="single" w:sz="4" w:space="0" w:color="auto"/>
              <w:bottom w:val="nil"/>
              <w:right w:val="single" w:sz="4" w:space="0" w:color="auto"/>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vMerge/>
            <w:tcBorders>
              <w:top w:val="single" w:sz="8" w:space="0" w:color="auto"/>
              <w:left w:val="single" w:sz="4" w:space="0" w:color="auto"/>
              <w:bottom w:val="nil"/>
              <w:right w:val="single" w:sz="4" w:space="0" w:color="auto"/>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vMerge/>
            <w:tcBorders>
              <w:top w:val="single" w:sz="8" w:space="0" w:color="auto"/>
              <w:left w:val="single" w:sz="4" w:space="0" w:color="auto"/>
              <w:bottom w:val="nil"/>
              <w:right w:val="single" w:sz="8" w:space="0" w:color="auto"/>
            </w:tcBorders>
            <w:vAlign w:val="center"/>
            <w:hideMark/>
          </w:tcPr>
          <w:p w:rsidR="00E14AE8" w:rsidRPr="00125DF2" w:rsidRDefault="00E14AE8" w:rsidP="0023278E">
            <w:pPr>
              <w:spacing w:after="0" w:line="240" w:lineRule="auto"/>
              <w:rPr>
                <w:rFonts w:ascii="Arial Narrow" w:hAnsi="Arial Narrow"/>
                <w:sz w:val="14"/>
                <w:szCs w:val="14"/>
              </w:rPr>
            </w:pPr>
          </w:p>
        </w:tc>
      </w:tr>
      <w:tr w:rsidR="00E14AE8" w:rsidRPr="00125DF2" w:rsidTr="00E14AE8">
        <w:trPr>
          <w:trHeight w:val="227"/>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3 lata</w:t>
            </w:r>
          </w:p>
        </w:tc>
        <w:tc>
          <w:tcPr>
            <w:tcW w:w="0" w:type="auto"/>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2015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woj.</w:t>
            </w: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E14AE8" w:rsidRPr="00125DF2" w:rsidRDefault="00E14AE8" w:rsidP="0023278E">
            <w:pPr>
              <w:spacing w:after="0" w:line="240" w:lineRule="auto"/>
              <w:rPr>
                <w:rFonts w:ascii="Arial Narrow" w:hAnsi="Arial Narrow"/>
                <w:sz w:val="14"/>
                <w:szCs w:val="14"/>
              </w:rPr>
            </w:pPr>
          </w:p>
        </w:tc>
        <w:tc>
          <w:tcPr>
            <w:tcW w:w="0" w:type="auto"/>
            <w:tcBorders>
              <w:top w:val="nil"/>
              <w:left w:val="nil"/>
              <w:bottom w:val="nil"/>
              <w:right w:val="single" w:sz="4" w:space="0" w:color="auto"/>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zł</w:t>
            </w:r>
          </w:p>
        </w:tc>
        <w:tc>
          <w:tcPr>
            <w:tcW w:w="0" w:type="auto"/>
            <w:tcBorders>
              <w:top w:val="nil"/>
              <w:left w:val="nil"/>
              <w:bottom w:val="nil"/>
              <w:right w:val="single" w:sz="4" w:space="0" w:color="auto"/>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poz.</w:t>
            </w:r>
          </w:p>
        </w:tc>
        <w:tc>
          <w:tcPr>
            <w:tcW w:w="0" w:type="auto"/>
            <w:tcBorders>
              <w:top w:val="nil"/>
              <w:left w:val="nil"/>
              <w:bottom w:val="nil"/>
              <w:right w:val="single" w:sz="4" w:space="0" w:color="auto"/>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w:t>
            </w:r>
          </w:p>
        </w:tc>
        <w:tc>
          <w:tcPr>
            <w:tcW w:w="0" w:type="auto"/>
            <w:tcBorders>
              <w:top w:val="nil"/>
              <w:left w:val="nil"/>
              <w:bottom w:val="nil"/>
              <w:right w:val="single" w:sz="4" w:space="0" w:color="auto"/>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poz.</w:t>
            </w:r>
          </w:p>
        </w:tc>
        <w:tc>
          <w:tcPr>
            <w:tcW w:w="0" w:type="auto"/>
            <w:tcBorders>
              <w:top w:val="nil"/>
              <w:left w:val="nil"/>
              <w:bottom w:val="nil"/>
              <w:right w:val="single" w:sz="4" w:space="0" w:color="auto"/>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w:t>
            </w:r>
          </w:p>
        </w:tc>
        <w:tc>
          <w:tcPr>
            <w:tcW w:w="0" w:type="auto"/>
            <w:tcBorders>
              <w:top w:val="nil"/>
              <w:left w:val="nil"/>
              <w:bottom w:val="nil"/>
              <w:right w:val="single" w:sz="4" w:space="0" w:color="auto"/>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poz.</w:t>
            </w:r>
          </w:p>
        </w:tc>
        <w:tc>
          <w:tcPr>
            <w:tcW w:w="0" w:type="auto"/>
            <w:tcBorders>
              <w:top w:val="nil"/>
              <w:left w:val="nil"/>
              <w:bottom w:val="nil"/>
              <w:right w:val="single" w:sz="4" w:space="0" w:color="auto"/>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proofErr w:type="spellStart"/>
            <w:r w:rsidRPr="00125DF2">
              <w:rPr>
                <w:rFonts w:ascii="Arial Narrow" w:hAnsi="Arial Narrow"/>
                <w:sz w:val="14"/>
                <w:szCs w:val="14"/>
              </w:rPr>
              <w:t>ln</w:t>
            </w:r>
            <w:proofErr w:type="spellEnd"/>
          </w:p>
        </w:tc>
        <w:tc>
          <w:tcPr>
            <w:tcW w:w="0" w:type="auto"/>
            <w:tcBorders>
              <w:top w:val="nil"/>
              <w:left w:val="nil"/>
              <w:bottom w:val="nil"/>
              <w:right w:val="single" w:sz="4" w:space="0" w:color="auto"/>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proofErr w:type="spellStart"/>
            <w:r w:rsidRPr="00125DF2">
              <w:rPr>
                <w:rFonts w:ascii="Arial Narrow" w:hAnsi="Arial Narrow"/>
                <w:sz w:val="14"/>
                <w:szCs w:val="14"/>
              </w:rPr>
              <w:t>ln</w:t>
            </w:r>
            <w:proofErr w:type="spellEnd"/>
          </w:p>
        </w:tc>
        <w:tc>
          <w:tcPr>
            <w:tcW w:w="0" w:type="auto"/>
            <w:tcBorders>
              <w:top w:val="nil"/>
              <w:left w:val="nil"/>
              <w:bottom w:val="nil"/>
              <w:right w:val="nil"/>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w:t>
            </w:r>
          </w:p>
        </w:tc>
        <w:tc>
          <w:tcPr>
            <w:tcW w:w="0" w:type="auto"/>
            <w:tcBorders>
              <w:top w:val="nil"/>
              <w:left w:val="nil"/>
              <w:bottom w:val="nil"/>
              <w:right w:val="single" w:sz="4" w:space="0" w:color="auto"/>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tys. zł/os.</w:t>
            </w:r>
          </w:p>
        </w:tc>
        <w:tc>
          <w:tcPr>
            <w:tcW w:w="0" w:type="auto"/>
            <w:tcBorders>
              <w:top w:val="nil"/>
              <w:left w:val="nil"/>
              <w:bottom w:val="nil"/>
              <w:right w:val="single" w:sz="4" w:space="0" w:color="auto"/>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poz.</w:t>
            </w:r>
          </w:p>
        </w:tc>
        <w:tc>
          <w:tcPr>
            <w:tcW w:w="0" w:type="auto"/>
            <w:tcBorders>
              <w:top w:val="nil"/>
              <w:left w:val="nil"/>
              <w:bottom w:val="nil"/>
              <w:right w:val="single" w:sz="4" w:space="0" w:color="auto"/>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tys. zł</w:t>
            </w:r>
          </w:p>
        </w:tc>
        <w:tc>
          <w:tcPr>
            <w:tcW w:w="0" w:type="auto"/>
            <w:tcBorders>
              <w:top w:val="nil"/>
              <w:left w:val="nil"/>
              <w:bottom w:val="nil"/>
              <w:right w:val="single" w:sz="4" w:space="0" w:color="auto"/>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poz.</w:t>
            </w:r>
          </w:p>
        </w:tc>
        <w:tc>
          <w:tcPr>
            <w:tcW w:w="0" w:type="auto"/>
            <w:tcBorders>
              <w:top w:val="nil"/>
              <w:left w:val="nil"/>
              <w:bottom w:val="nil"/>
              <w:right w:val="single" w:sz="4" w:space="0" w:color="auto"/>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tys. zł</w:t>
            </w:r>
          </w:p>
        </w:tc>
        <w:tc>
          <w:tcPr>
            <w:tcW w:w="0" w:type="auto"/>
            <w:tcBorders>
              <w:top w:val="nil"/>
              <w:left w:val="nil"/>
              <w:bottom w:val="nil"/>
              <w:right w:val="single" w:sz="4" w:space="0" w:color="auto"/>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poz.</w:t>
            </w:r>
          </w:p>
        </w:tc>
        <w:tc>
          <w:tcPr>
            <w:tcW w:w="0" w:type="auto"/>
            <w:tcBorders>
              <w:top w:val="nil"/>
              <w:left w:val="nil"/>
              <w:bottom w:val="nil"/>
              <w:right w:val="single" w:sz="4" w:space="0" w:color="auto"/>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proofErr w:type="spellStart"/>
            <w:r w:rsidRPr="00125DF2">
              <w:rPr>
                <w:rFonts w:ascii="Arial Narrow" w:hAnsi="Arial Narrow"/>
                <w:sz w:val="14"/>
                <w:szCs w:val="14"/>
              </w:rPr>
              <w:t>ln</w:t>
            </w:r>
            <w:proofErr w:type="spellEnd"/>
          </w:p>
        </w:tc>
        <w:tc>
          <w:tcPr>
            <w:tcW w:w="0" w:type="auto"/>
            <w:tcBorders>
              <w:top w:val="nil"/>
              <w:left w:val="nil"/>
              <w:bottom w:val="nil"/>
              <w:right w:val="single" w:sz="4" w:space="0" w:color="auto"/>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poz.</w:t>
            </w:r>
          </w:p>
        </w:tc>
        <w:tc>
          <w:tcPr>
            <w:tcW w:w="0" w:type="auto"/>
            <w:tcBorders>
              <w:top w:val="nil"/>
              <w:left w:val="nil"/>
              <w:bottom w:val="nil"/>
              <w:right w:val="single" w:sz="4" w:space="0" w:color="auto"/>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os.</w:t>
            </w:r>
          </w:p>
        </w:tc>
        <w:tc>
          <w:tcPr>
            <w:tcW w:w="0" w:type="auto"/>
            <w:tcBorders>
              <w:top w:val="nil"/>
              <w:left w:val="nil"/>
              <w:bottom w:val="nil"/>
              <w:right w:val="single" w:sz="4" w:space="0" w:color="auto"/>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os.</w:t>
            </w:r>
          </w:p>
        </w:tc>
        <w:tc>
          <w:tcPr>
            <w:tcW w:w="0" w:type="auto"/>
            <w:tcBorders>
              <w:top w:val="nil"/>
              <w:left w:val="nil"/>
              <w:bottom w:val="nil"/>
              <w:right w:val="single" w:sz="4" w:space="0" w:color="auto"/>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ha</w:t>
            </w:r>
          </w:p>
        </w:tc>
        <w:tc>
          <w:tcPr>
            <w:tcW w:w="0" w:type="auto"/>
            <w:tcBorders>
              <w:top w:val="nil"/>
              <w:left w:val="nil"/>
              <w:bottom w:val="single" w:sz="8" w:space="0" w:color="auto"/>
              <w:right w:val="single" w:sz="4" w:space="0" w:color="auto"/>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proofErr w:type="spellStart"/>
            <w:r w:rsidRPr="00125DF2">
              <w:rPr>
                <w:rFonts w:ascii="Arial Narrow" w:hAnsi="Arial Narrow"/>
                <w:sz w:val="14"/>
                <w:szCs w:val="14"/>
              </w:rPr>
              <w:t>ln</w:t>
            </w:r>
            <w:proofErr w:type="spellEnd"/>
          </w:p>
        </w:tc>
        <w:tc>
          <w:tcPr>
            <w:tcW w:w="0" w:type="auto"/>
            <w:tcBorders>
              <w:top w:val="nil"/>
              <w:left w:val="nil"/>
              <w:bottom w:val="nil"/>
              <w:right w:val="single" w:sz="4" w:space="0" w:color="auto"/>
            </w:tcBorders>
            <w:shd w:val="clear" w:color="000000" w:fill="000000"/>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pkt.</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 </w:t>
            </w:r>
          </w:p>
        </w:tc>
      </w:tr>
      <w:tr w:rsidR="00E14AE8" w:rsidRPr="00125DF2" w:rsidTr="00E14AE8">
        <w:trPr>
          <w:trHeight w:val="227"/>
        </w:trPr>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1</w:t>
            </w:r>
          </w:p>
        </w:tc>
        <w:tc>
          <w:tcPr>
            <w:tcW w:w="0" w:type="auto"/>
            <w:tcBorders>
              <w:top w:val="single" w:sz="8"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2</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3</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 </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4</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5</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6</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7</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8</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9</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10</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11</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12</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13</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14</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15</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16</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17</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18</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19</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20</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21</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22</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23</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24</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25</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26</w:t>
            </w:r>
          </w:p>
        </w:tc>
        <w:tc>
          <w:tcPr>
            <w:tcW w:w="0" w:type="auto"/>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center"/>
              <w:rPr>
                <w:rFonts w:ascii="Arial Narrow" w:hAnsi="Arial Narrow"/>
                <w:sz w:val="14"/>
                <w:szCs w:val="14"/>
              </w:rPr>
            </w:pPr>
            <w:r w:rsidRPr="00125DF2">
              <w:rPr>
                <w:rFonts w:ascii="Arial Narrow" w:hAnsi="Arial Narrow"/>
                <w:sz w:val="14"/>
                <w:szCs w:val="14"/>
              </w:rPr>
              <w:t>1</w:t>
            </w:r>
          </w:p>
        </w:tc>
      </w:tr>
      <w:tr w:rsidR="00E14AE8" w:rsidRPr="00125DF2" w:rsidTr="00E14AE8">
        <w:trPr>
          <w:trHeight w:val="227"/>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bookmarkStart w:id="1" w:name="RANGE!B6:AA30"/>
            <w:r w:rsidRPr="00125DF2">
              <w:rPr>
                <w:rFonts w:ascii="Arial Narrow" w:hAnsi="Arial Narrow"/>
                <w:sz w:val="14"/>
                <w:szCs w:val="14"/>
              </w:rPr>
              <w:t>3</w:t>
            </w:r>
            <w:bookmarkEnd w:id="1"/>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RSP Hopkie</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proofErr w:type="spellStart"/>
            <w:r w:rsidRPr="00125DF2">
              <w:rPr>
                <w:rFonts w:ascii="Arial Narrow" w:hAnsi="Arial Narrow"/>
                <w:sz w:val="14"/>
                <w:szCs w:val="14"/>
              </w:rPr>
              <w:t>Lubel</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109 714</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26,08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48,01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8,65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6,91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21,11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134,6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11 777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3 072,0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3,63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28,0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992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69</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w:t>
            </w:r>
          </w:p>
        </w:tc>
      </w:tr>
      <w:tr w:rsidR="00E14AE8" w:rsidRPr="00125DF2" w:rsidTr="00E14AE8">
        <w:trPr>
          <w:trHeight w:val="227"/>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RSP Gronowice</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proofErr w:type="spellStart"/>
            <w:r w:rsidRPr="00125DF2">
              <w:rPr>
                <w:rFonts w:ascii="Arial Narrow" w:hAnsi="Arial Narrow"/>
                <w:sz w:val="14"/>
                <w:szCs w:val="14"/>
              </w:rPr>
              <w:t>Opol</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152 111</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42,45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55,13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24,72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19,47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36,00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197,6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3 225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1 369,0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18,63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463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0,83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65</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w:t>
            </w:r>
          </w:p>
        </w:tc>
      </w:tr>
      <w:tr w:rsidR="00E14AE8" w:rsidRPr="00125DF2" w:rsidTr="00E14AE8">
        <w:trPr>
          <w:trHeight w:val="227"/>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RSP Krzywa</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Podlas</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195 100</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18,00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25,28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1,97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13,72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278,5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11 017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1 983,0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3,52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588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0,85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91</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w:t>
            </w:r>
          </w:p>
        </w:tc>
      </w:tr>
      <w:tr w:rsidR="00E14AE8" w:rsidRPr="00125DF2" w:rsidTr="00E14AE8">
        <w:trPr>
          <w:trHeight w:val="227"/>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RSP Dorożki</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Podlas</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82 273</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41,66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60,16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15,09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9,22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10,16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118,8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4 345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1 810,0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0,46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696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0,59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122</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w:t>
            </w:r>
          </w:p>
        </w:tc>
      </w:tr>
      <w:tr w:rsidR="00E14AE8" w:rsidRPr="00125DF2" w:rsidTr="00E14AE8">
        <w:trPr>
          <w:trHeight w:val="227"/>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RSP Krzywizna</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proofErr w:type="spellStart"/>
            <w:r w:rsidRPr="00125DF2">
              <w:rPr>
                <w:rFonts w:ascii="Arial Narrow" w:hAnsi="Arial Narrow"/>
                <w:sz w:val="14"/>
                <w:szCs w:val="14"/>
              </w:rPr>
              <w:t>Opol</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102 583</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32,33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53,23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5,69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3,46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27,18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155,9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3 808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1 231,0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5,57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13,0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526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83</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w:t>
            </w:r>
          </w:p>
        </w:tc>
      </w:tr>
      <w:tr w:rsidR="00E14AE8" w:rsidRPr="00125DF2" w:rsidTr="00E14AE8">
        <w:trPr>
          <w:trHeight w:val="227"/>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RSP JEDNOŚĆ Rów</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proofErr w:type="spellStart"/>
            <w:r w:rsidRPr="00125DF2">
              <w:rPr>
                <w:rFonts w:ascii="Arial Narrow" w:hAnsi="Arial Narrow"/>
                <w:sz w:val="14"/>
                <w:szCs w:val="14"/>
              </w:rPr>
              <w:t>ZachPom</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65 778</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32,51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47,88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13,95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5,89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19,66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96,9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9 106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2 960,0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3,11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45,0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45,0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1 346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0,89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109</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w:t>
            </w:r>
          </w:p>
        </w:tc>
      </w:tr>
      <w:tr w:rsidR="00E14AE8" w:rsidRPr="00125DF2" w:rsidTr="00E14AE8">
        <w:trPr>
          <w:trHeight w:val="227"/>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34</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 xml:space="preserve">RKS </w:t>
            </w:r>
            <w:proofErr w:type="spellStart"/>
            <w:r w:rsidRPr="00125DF2">
              <w:rPr>
                <w:rFonts w:ascii="Arial Narrow" w:hAnsi="Arial Narrow"/>
                <w:sz w:val="14"/>
                <w:szCs w:val="14"/>
              </w:rPr>
              <w:t>Bądecz</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proofErr w:type="spellStart"/>
            <w:r w:rsidRPr="00125DF2">
              <w:rPr>
                <w:rFonts w:ascii="Arial Narrow" w:hAnsi="Arial Narrow"/>
                <w:sz w:val="14"/>
                <w:szCs w:val="14"/>
              </w:rPr>
              <w:t>WielPol</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61 387</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13,41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26,06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2,11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7,09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119,3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28 388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3 806,0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0,05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2 145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0,94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204</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w:t>
            </w:r>
          </w:p>
        </w:tc>
      </w:tr>
      <w:tr w:rsidR="00E14AE8" w:rsidRPr="00125DF2" w:rsidTr="00E14AE8">
        <w:trPr>
          <w:trHeight w:val="227"/>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RSP Gierałcice</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proofErr w:type="spellStart"/>
            <w:r w:rsidRPr="00125DF2">
              <w:rPr>
                <w:rFonts w:ascii="Arial Narrow" w:hAnsi="Arial Narrow"/>
                <w:sz w:val="14"/>
                <w:szCs w:val="14"/>
              </w:rPr>
              <w:t>Opol</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86 250</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31,66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48,80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16,56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8,60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8,06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133,0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5 449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1 725,0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20,0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20,0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973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1,28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107</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w:t>
            </w:r>
          </w:p>
        </w:tc>
      </w:tr>
      <w:tr w:rsidR="00E14AE8" w:rsidRPr="00125DF2" w:rsidTr="00E14AE8">
        <w:trPr>
          <w:trHeight w:val="227"/>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17</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SPR Łaszczówka</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proofErr w:type="spellStart"/>
            <w:r w:rsidRPr="00125DF2">
              <w:rPr>
                <w:rFonts w:ascii="Arial Narrow" w:hAnsi="Arial Narrow"/>
                <w:sz w:val="14"/>
                <w:szCs w:val="14"/>
              </w:rPr>
              <w:t>Lubel</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68 800</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31,16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47,43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4,25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2,77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15,25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104,7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3 312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1 032,0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3,13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490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149</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w:t>
            </w:r>
          </w:p>
        </w:tc>
      </w:tr>
      <w:tr w:rsidR="00E14AE8" w:rsidRPr="00125DF2" w:rsidTr="00E14AE8">
        <w:trPr>
          <w:trHeight w:val="227"/>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RSP Sadki</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Kuj-Pom</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79 060</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38,92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57,51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19,06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12,88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22,86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114,5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10 158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3 953,0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7,23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51,0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50,0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890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1,35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61</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w:t>
            </w:r>
          </w:p>
        </w:tc>
      </w:tr>
      <w:tr w:rsidR="00E14AE8" w:rsidRPr="00125DF2" w:rsidTr="00E14AE8">
        <w:trPr>
          <w:trHeight w:val="227"/>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RSP Niechanowo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proofErr w:type="spellStart"/>
            <w:r w:rsidRPr="00125DF2">
              <w:rPr>
                <w:rFonts w:ascii="Arial Narrow" w:hAnsi="Arial Narrow"/>
                <w:sz w:val="14"/>
                <w:szCs w:val="14"/>
              </w:rPr>
              <w:t>WielPol</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109 200</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39,15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55,97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27,95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22,90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5,33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156,1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2 789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1 092,0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0,01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415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143</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w:t>
            </w:r>
          </w:p>
        </w:tc>
      </w:tr>
      <w:tr w:rsidR="00E14AE8" w:rsidRPr="00125DF2" w:rsidTr="00E14AE8">
        <w:trPr>
          <w:trHeight w:val="227"/>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20</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SGR Baszewice</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proofErr w:type="spellStart"/>
            <w:r w:rsidRPr="00125DF2">
              <w:rPr>
                <w:rFonts w:ascii="Arial Narrow" w:hAnsi="Arial Narrow"/>
                <w:sz w:val="14"/>
                <w:szCs w:val="14"/>
              </w:rPr>
              <w:t>ZachPom</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63 182</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18,56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36,57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6,16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5,40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11,78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124,5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11 236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2 085,0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0,89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33,0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33,0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2 191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0,93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159</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12</w:t>
            </w:r>
          </w:p>
        </w:tc>
      </w:tr>
      <w:tr w:rsidR="00E14AE8" w:rsidRPr="00125DF2" w:rsidTr="00E14AE8">
        <w:trPr>
          <w:trHeight w:val="227"/>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31</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RSP Rusocin</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proofErr w:type="spellStart"/>
            <w:r w:rsidRPr="00125DF2">
              <w:rPr>
                <w:rFonts w:ascii="Arial Narrow" w:hAnsi="Arial Narrow"/>
                <w:sz w:val="14"/>
                <w:szCs w:val="14"/>
              </w:rPr>
              <w:t>Opol</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57 611</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19,55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42,02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6,77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3,29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12,35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123,8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5 305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1 037,0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0,53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18,0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18,0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799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189</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13</w:t>
            </w:r>
          </w:p>
        </w:tc>
      </w:tr>
      <w:tr w:rsidR="00E14AE8" w:rsidRPr="00125DF2" w:rsidTr="00E14AE8">
        <w:trPr>
          <w:trHeight w:val="227"/>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13</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RSP NADBUŻANKA Kryłów</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proofErr w:type="spellStart"/>
            <w:r w:rsidRPr="00125DF2">
              <w:rPr>
                <w:rFonts w:ascii="Arial Narrow" w:hAnsi="Arial Narrow"/>
                <w:sz w:val="14"/>
                <w:szCs w:val="14"/>
              </w:rPr>
              <w:t>Lubel</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79 385</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18,85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32,34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2,37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0,69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24,69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136,2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5 476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1 032,0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3,29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13,0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13,0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451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1,29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131</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14</w:t>
            </w:r>
          </w:p>
        </w:tc>
      </w:tr>
      <w:tr w:rsidR="00E14AE8" w:rsidRPr="00125DF2" w:rsidTr="00E14AE8">
        <w:trPr>
          <w:trHeight w:val="227"/>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16</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SPR DIAMENT Otfinów</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proofErr w:type="spellStart"/>
            <w:r w:rsidRPr="00125DF2">
              <w:rPr>
                <w:rFonts w:ascii="Arial Narrow" w:hAnsi="Arial Narrow"/>
                <w:sz w:val="14"/>
                <w:szCs w:val="14"/>
              </w:rPr>
              <w:t>MałoPol</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96 900</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9,35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39,71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1,46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0,42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9,27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114,3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10 362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969,0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4,98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36,0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616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146</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w:t>
            </w:r>
          </w:p>
        </w:tc>
      </w:tr>
      <w:tr w:rsidR="00E14AE8" w:rsidRPr="00125DF2" w:rsidTr="00E14AE8">
        <w:trPr>
          <w:trHeight w:val="227"/>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27</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RSP Piastoszyn</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Kuj-Pom</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50 925</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30,31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46,68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3,80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11,88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78,4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6 720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2 037,0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40,0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40,0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804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182</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16</w:t>
            </w:r>
          </w:p>
        </w:tc>
      </w:tr>
      <w:tr w:rsidR="00E14AE8" w:rsidRPr="00125DF2" w:rsidTr="00E14AE8">
        <w:trPr>
          <w:trHeight w:val="227"/>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26</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RSP Rostkowice</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proofErr w:type="spellStart"/>
            <w:r w:rsidRPr="00125DF2">
              <w:rPr>
                <w:rFonts w:ascii="Arial Narrow" w:hAnsi="Arial Narrow"/>
                <w:sz w:val="14"/>
                <w:szCs w:val="14"/>
              </w:rPr>
              <w:t>Opol</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65 867</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30,28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48,30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18,58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10,71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16,49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105,1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3 263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988,0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0,67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362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181</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17</w:t>
            </w:r>
          </w:p>
        </w:tc>
      </w:tr>
      <w:tr w:rsidR="00E14AE8" w:rsidRPr="00125DF2" w:rsidTr="00E14AE8">
        <w:trPr>
          <w:trHeight w:val="227"/>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62</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RSP Rudziczka</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proofErr w:type="spellStart"/>
            <w:r w:rsidRPr="00125DF2">
              <w:rPr>
                <w:rFonts w:ascii="Arial Narrow" w:hAnsi="Arial Narrow"/>
                <w:sz w:val="14"/>
                <w:szCs w:val="14"/>
              </w:rPr>
              <w:t>Opol</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41 083</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11,53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30,82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4,85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12,75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109,8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4 277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493,0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0,01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512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1,49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286</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18</w:t>
            </w:r>
          </w:p>
        </w:tc>
      </w:tr>
      <w:tr w:rsidR="00E14AE8" w:rsidRPr="00125DF2" w:rsidTr="00E14AE8">
        <w:trPr>
          <w:trHeight w:val="227"/>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30</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RSP Smardy Górne z/s Unieszów</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proofErr w:type="spellStart"/>
            <w:r w:rsidRPr="00125DF2">
              <w:rPr>
                <w:rFonts w:ascii="Arial Narrow" w:hAnsi="Arial Narrow"/>
                <w:sz w:val="14"/>
                <w:szCs w:val="14"/>
              </w:rPr>
              <w:t>Opol</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65 000</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26,33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52,17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2,92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2,16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17,34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128,8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2 469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650,0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1,21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473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188</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19</w:t>
            </w:r>
          </w:p>
        </w:tc>
      </w:tr>
      <w:tr w:rsidR="00E14AE8" w:rsidRPr="00125DF2" w:rsidTr="00E14AE8">
        <w:trPr>
          <w:trHeight w:val="227"/>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81</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RSP Kujakowice Górne</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proofErr w:type="spellStart"/>
            <w:r w:rsidRPr="00125DF2">
              <w:rPr>
                <w:rFonts w:ascii="Arial Narrow" w:hAnsi="Arial Narrow"/>
                <w:sz w:val="14"/>
                <w:szCs w:val="14"/>
              </w:rPr>
              <w:t>Opol</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28 897</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10,70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24,22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18,67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16,04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-5,15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65,4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7 834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838,0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-3,64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29,0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29,0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990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0,95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358</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20</w:t>
            </w:r>
          </w:p>
        </w:tc>
      </w:tr>
      <w:tr w:rsidR="00E14AE8" w:rsidRPr="00125DF2" w:rsidTr="00E14AE8">
        <w:trPr>
          <w:trHeight w:val="227"/>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21</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RSP Szychowice</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proofErr w:type="spellStart"/>
            <w:r w:rsidRPr="00125DF2">
              <w:rPr>
                <w:rFonts w:ascii="Arial Narrow" w:hAnsi="Arial Narrow"/>
                <w:sz w:val="14"/>
                <w:szCs w:val="14"/>
              </w:rPr>
              <w:t>Lubel</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55 933</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37,53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53,21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0,60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0,39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22,03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79,3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4 471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1 678,0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2,22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30,0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30,0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684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162</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21</w:t>
            </w:r>
          </w:p>
        </w:tc>
      </w:tr>
      <w:tr w:rsidR="00E14AE8" w:rsidRPr="00125DF2" w:rsidTr="00E14AE8">
        <w:trPr>
          <w:trHeight w:val="227"/>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12</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SPR Żurawce II</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proofErr w:type="spellStart"/>
            <w:r w:rsidRPr="00125DF2">
              <w:rPr>
                <w:rFonts w:ascii="Arial Narrow" w:hAnsi="Arial Narrow"/>
                <w:sz w:val="14"/>
                <w:szCs w:val="14"/>
              </w:rPr>
              <w:t>Lubel</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81 571</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41,27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54,30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746,20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414,60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7,01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107,3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4 151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41</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1 713,0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1,02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21,0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21,0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759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1,22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123</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22</w:t>
            </w:r>
          </w:p>
        </w:tc>
      </w:tr>
      <w:tr w:rsidR="00E14AE8" w:rsidRPr="00125DF2" w:rsidTr="00E14AE8">
        <w:trPr>
          <w:trHeight w:val="227"/>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25</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RSP Otylin</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proofErr w:type="spellStart"/>
            <w:r w:rsidRPr="00125DF2">
              <w:rPr>
                <w:rFonts w:ascii="Arial Narrow" w:hAnsi="Arial Narrow"/>
                <w:sz w:val="14"/>
                <w:szCs w:val="14"/>
              </w:rPr>
              <w:t>WielPol</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69 706</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17,83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34,57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3,94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1,73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13,33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135,2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6 647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1 185,0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0,26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17,0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17,0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599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0,83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178</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23</w:t>
            </w:r>
          </w:p>
        </w:tc>
      </w:tr>
      <w:tr w:rsidR="00E14AE8" w:rsidRPr="00125DF2" w:rsidTr="00E14AE8">
        <w:trPr>
          <w:trHeight w:val="227"/>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40</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RSP NOWE ŻYCIE Przezwody</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proofErr w:type="spellStart"/>
            <w:r w:rsidRPr="00125DF2">
              <w:rPr>
                <w:rFonts w:ascii="Arial Narrow" w:hAnsi="Arial Narrow"/>
                <w:sz w:val="14"/>
                <w:szCs w:val="14"/>
              </w:rPr>
              <w:t>Święt</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51 607</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24,50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39,35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14,15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7,10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4,70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82,9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5 899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1 445,0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-0,20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28,0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28,0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734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237</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24</w:t>
            </w:r>
          </w:p>
        </w:tc>
      </w:tr>
      <w:tr w:rsidR="00E14AE8" w:rsidRPr="00125DF2" w:rsidTr="00E14AE8">
        <w:trPr>
          <w:trHeight w:val="227"/>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25</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64</w:t>
            </w:r>
          </w:p>
        </w:tc>
        <w:tc>
          <w:tcPr>
            <w:tcW w:w="0" w:type="auto"/>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RSP Wydrowice</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proofErr w:type="spellStart"/>
            <w:r w:rsidRPr="00125DF2">
              <w:rPr>
                <w:rFonts w:ascii="Arial Narrow" w:hAnsi="Arial Narrow"/>
                <w:sz w:val="14"/>
                <w:szCs w:val="14"/>
              </w:rPr>
              <w:t>Opol</w:t>
            </w:r>
            <w:proofErr w:type="spellEnd"/>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rPr>
                <w:rFonts w:ascii="Arial Narrow" w:hAnsi="Arial Narrow"/>
                <w:sz w:val="14"/>
                <w:szCs w:val="14"/>
              </w:rPr>
            </w:pPr>
            <w:r w:rsidRPr="00125DF2">
              <w:rPr>
                <w:rFonts w:ascii="Arial Narrow" w:hAnsi="Arial Narrow"/>
                <w:sz w:val="14"/>
                <w:szCs w:val="14"/>
              </w:rPr>
              <w:t>R</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34 082</w:t>
            </w:r>
          </w:p>
        </w:tc>
        <w:tc>
          <w:tcPr>
            <w:tcW w:w="0" w:type="auto"/>
            <w:tcBorders>
              <w:top w:val="nil"/>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72</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13,68</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87</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39,04</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61</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11,83</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6,73</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0,40</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95,7</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41</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15 199</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4</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2 079,0</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8</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-3,15</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95</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62,0</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61,0</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3 596</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0,81</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299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E14AE8" w:rsidRPr="00125DF2" w:rsidRDefault="00E14AE8" w:rsidP="0023278E">
            <w:pPr>
              <w:spacing w:after="0" w:line="240" w:lineRule="auto"/>
              <w:jc w:val="right"/>
              <w:rPr>
                <w:rFonts w:ascii="Arial Narrow" w:hAnsi="Arial Narrow"/>
                <w:sz w:val="14"/>
                <w:szCs w:val="14"/>
              </w:rPr>
            </w:pPr>
            <w:r w:rsidRPr="00125DF2">
              <w:rPr>
                <w:rFonts w:ascii="Arial Narrow" w:hAnsi="Arial Narrow"/>
                <w:sz w:val="14"/>
                <w:szCs w:val="14"/>
              </w:rPr>
              <w:t>25</w:t>
            </w:r>
          </w:p>
        </w:tc>
      </w:tr>
    </w:tbl>
    <w:p w:rsidR="00E14AE8" w:rsidRPr="00796004" w:rsidRDefault="00E14AE8" w:rsidP="00E14AE8">
      <w:pPr>
        <w:spacing w:after="0" w:line="264" w:lineRule="auto"/>
        <w:jc w:val="both"/>
        <w:rPr>
          <w:rFonts w:ascii="Times New Roman" w:hAnsi="Times New Roman"/>
          <w:sz w:val="24"/>
          <w:szCs w:val="24"/>
        </w:rPr>
        <w:sectPr w:rsidR="00E14AE8" w:rsidRPr="00796004" w:rsidSect="00796004">
          <w:pgSz w:w="16838" w:h="11906" w:orient="landscape"/>
          <w:pgMar w:top="1418" w:right="1418" w:bottom="1418" w:left="567" w:header="709" w:footer="709" w:gutter="0"/>
          <w:cols w:space="708"/>
          <w:docGrid w:linePitch="360"/>
        </w:sectPr>
      </w:pPr>
    </w:p>
    <w:p w:rsidR="005457CC" w:rsidRPr="005457CC" w:rsidRDefault="005457CC" w:rsidP="005767E1">
      <w:pPr>
        <w:spacing w:before="200" w:after="0" w:line="240" w:lineRule="auto"/>
        <w:jc w:val="both"/>
        <w:rPr>
          <w:rFonts w:ascii="Times New Roman" w:eastAsia="Times New Roman" w:hAnsi="Times New Roman" w:cs="Times New Roman"/>
          <w:b/>
          <w:sz w:val="24"/>
        </w:rPr>
      </w:pPr>
      <w:r w:rsidRPr="005457CC">
        <w:rPr>
          <w:rFonts w:ascii="Times New Roman" w:eastAsia="Times New Roman" w:hAnsi="Times New Roman" w:cs="Times New Roman"/>
          <w:b/>
          <w:sz w:val="24"/>
        </w:rPr>
        <w:lastRenderedPageBreak/>
        <w:t>Jak powstał ranking?</w:t>
      </w:r>
    </w:p>
    <w:p w:rsidR="005457CC" w:rsidRPr="005457CC" w:rsidRDefault="005457CC" w:rsidP="005767E1">
      <w:pPr>
        <w:tabs>
          <w:tab w:val="left" w:pos="426"/>
        </w:tabs>
        <w:spacing w:before="80" w:after="0" w:line="264" w:lineRule="auto"/>
        <w:jc w:val="both"/>
        <w:rPr>
          <w:rFonts w:ascii="Times New Roman" w:eastAsia="Times New Roman" w:hAnsi="Times New Roman" w:cs="Times New Roman"/>
          <w:sz w:val="24"/>
        </w:rPr>
      </w:pPr>
      <w:r w:rsidRPr="005457CC">
        <w:rPr>
          <w:rFonts w:ascii="Times New Roman" w:eastAsia="Times New Roman" w:hAnsi="Times New Roman" w:cs="Times New Roman"/>
          <w:sz w:val="24"/>
        </w:rPr>
        <w:tab/>
        <w:t>Do sporządzenia rankingu wykorzystano opracowaną w Instytucie ankietę. Formularze ankiet przesłano pocztą do poszczególnych spółdzielni. Na ogół ankietę wypełniano w dziale księgowości spółdzielni. Odbywało się to poprzez przeniesienie danych liczbowych z odpowiednich pozycji sprawozdań finansowych GUS do kwestionariusza ankiety. Jedynie niewielki zakres informacji statystycznych pochodził bezpośrednio z ewidencji księgowej. Następnie, dane źródłowe zawarte w ankietach poddano w IERiGŻ-PIB wielostopniowej weryfikacji. Dane budzące wątpliwości konsultowano telefonicznie z pracownikami spółdzielni. Dotyczyły one przede wszystkim dużej niejednorodności podawania informa</w:t>
      </w:r>
      <w:r w:rsidR="006D4C55">
        <w:rPr>
          <w:rFonts w:ascii="Times New Roman" w:eastAsia="Times New Roman" w:hAnsi="Times New Roman" w:cs="Times New Roman"/>
          <w:sz w:val="24"/>
        </w:rPr>
        <w:t>cji, głównie o należnych za 2015</w:t>
      </w:r>
      <w:r w:rsidRPr="005457CC">
        <w:rPr>
          <w:rFonts w:ascii="Times New Roman" w:eastAsia="Times New Roman" w:hAnsi="Times New Roman" w:cs="Times New Roman"/>
          <w:sz w:val="24"/>
        </w:rPr>
        <w:t xml:space="preserve"> r. dopłatach bezpośrednich i innych formach wsparcia budżetowego. Ujednolicenie sposobu zapisu danych wymagało bardzo dużego nakładu pracy zespołu przygotowującego ranking. W zamian otrzymano bardzo solidną i porównywalną bazę danych. W ten sposób zabezpieczono wysoki poziom wiarygodności otrzymanych materiałów wykorzystanych do sporządzenia rankingu.</w:t>
      </w:r>
    </w:p>
    <w:p w:rsidR="005457CC" w:rsidRPr="005457CC" w:rsidRDefault="005457CC" w:rsidP="005767E1">
      <w:pPr>
        <w:tabs>
          <w:tab w:val="left" w:pos="426"/>
        </w:tabs>
        <w:spacing w:before="80" w:after="0" w:line="264" w:lineRule="auto"/>
        <w:jc w:val="both"/>
        <w:rPr>
          <w:rFonts w:ascii="Times New Roman" w:eastAsia="Times New Roman" w:hAnsi="Times New Roman" w:cs="Times New Roman"/>
          <w:sz w:val="24"/>
        </w:rPr>
      </w:pPr>
      <w:r w:rsidRPr="005457CC">
        <w:rPr>
          <w:rFonts w:ascii="Times New Roman" w:eastAsia="Times New Roman" w:hAnsi="Times New Roman" w:cs="Times New Roman"/>
          <w:sz w:val="24"/>
        </w:rPr>
        <w:tab/>
        <w:t xml:space="preserve">Zaprezentowany w rankingu spółdzielczym zestaw wskaźników i mierników jest zbliżony do zastosowanego w rankingu 300 najlepszych przedsiębiorstw rolniczych kraju, głównie popegeerowskich. Jedynie trzy z nich są odmienne, gdyż opracowano je na bazie wypracowanego dochodu ogólnego, kategorii ekonomicznej specyficznej dla formy spółdzielczej. Należą do nich wskaźniki i jeden miernik: dochodowości pracy członków spółdzielni, dochodowości działalności gospodarczej i dochód ogólny w przeliczeniu na spółdzielnię. W ten sposób uzyskano możliwość porównań między tymi formami gospodarowania i to zarówno w odniesieniu do pojedynczych przedsiębiorstw, wskaźników, jak i w zestawieniach zbiorczych. Jednocześnie przedstawiony zestaw wskaźników w miarę wiernie odzwierciedla położenie majątkowe i finansowe oraz efektywność działalności spółdzielni. Wskaźniki te mogą więc zaspokoić również potrzeby informacyjne szerokiego kręgu instytucji potencjalnie zainteresowanych perspektywami rozwoju spółdzielni. </w:t>
      </w:r>
    </w:p>
    <w:p w:rsidR="005457CC" w:rsidRPr="005457CC" w:rsidRDefault="005457CC" w:rsidP="005767E1">
      <w:pPr>
        <w:tabs>
          <w:tab w:val="left" w:pos="426"/>
        </w:tabs>
        <w:spacing w:before="80" w:after="0" w:line="264" w:lineRule="auto"/>
        <w:jc w:val="both"/>
        <w:rPr>
          <w:rFonts w:ascii="Times New Roman" w:eastAsia="Times New Roman" w:hAnsi="Times New Roman" w:cs="Times New Roman"/>
          <w:sz w:val="24"/>
        </w:rPr>
      </w:pPr>
      <w:r w:rsidRPr="005457CC">
        <w:rPr>
          <w:rFonts w:ascii="Times New Roman" w:eastAsia="Times New Roman" w:hAnsi="Times New Roman" w:cs="Times New Roman"/>
          <w:sz w:val="24"/>
        </w:rPr>
        <w:tab/>
        <w:t>Do relacji poszukiwanych przez otoczenie można zaliczyć wskaźniki: wartości dodanej, dochodowości i wydajności pracy, płynności finansowej czy też tworzenia wartości oraz poziomu zatrudnienia. Z drugiej strony, w zestawie wskaźników i mierników znajdują się podstawowe oceny o charakterze mikroekonomicznym, które stanowić powinny przedmiot zainteresowania przede wszystkim spółdzielców i ich menedżerów, jak również bezpośrednich partnerów rynkowych.</w:t>
      </w:r>
    </w:p>
    <w:p w:rsidR="005457CC" w:rsidRPr="005457CC" w:rsidRDefault="005457CC" w:rsidP="005767E1">
      <w:pPr>
        <w:tabs>
          <w:tab w:val="left" w:pos="426"/>
        </w:tabs>
        <w:spacing w:before="80" w:after="0" w:line="264" w:lineRule="auto"/>
        <w:jc w:val="both"/>
        <w:rPr>
          <w:rFonts w:ascii="Times New Roman" w:eastAsia="Times New Roman" w:hAnsi="Times New Roman" w:cs="Times New Roman"/>
          <w:sz w:val="24"/>
        </w:rPr>
      </w:pPr>
      <w:r w:rsidRPr="005457CC">
        <w:rPr>
          <w:rFonts w:ascii="Times New Roman" w:eastAsia="Times New Roman" w:hAnsi="Times New Roman" w:cs="Times New Roman"/>
          <w:sz w:val="24"/>
        </w:rPr>
        <w:tab/>
        <w:t>Zdecydowana większość mierników i wskaźników odnosi się do sfery najbardziej syntetycznych kategorii ekonomiczno-finansowych. Natomiast ranking nie zawiera wskaźników techniczno-produkcyjnych. Nie umożliwia pokazania osiągnięć w zakresie wydajności jednostkowych zwierząt lub plonów roślin. Wydajności te często są na bardzo wysokim poziomie, ale nie zawsze przekładają się pozytywnie na dobre efekty finansowe typu dochód, zysk czy też dochodowość lub rentowność.</w:t>
      </w:r>
    </w:p>
    <w:p w:rsidR="005457CC" w:rsidRPr="005457CC" w:rsidRDefault="005457CC" w:rsidP="005767E1">
      <w:pPr>
        <w:tabs>
          <w:tab w:val="left" w:pos="426"/>
        </w:tabs>
        <w:spacing w:before="80" w:after="0" w:line="264" w:lineRule="auto"/>
        <w:jc w:val="both"/>
        <w:rPr>
          <w:rFonts w:ascii="Times New Roman" w:eastAsia="Times New Roman" w:hAnsi="Times New Roman" w:cs="Times New Roman"/>
          <w:sz w:val="24"/>
        </w:rPr>
      </w:pPr>
      <w:r w:rsidRPr="005457CC">
        <w:rPr>
          <w:rFonts w:ascii="Times New Roman" w:eastAsia="Times New Roman" w:hAnsi="Times New Roman" w:cs="Times New Roman"/>
          <w:sz w:val="24"/>
        </w:rPr>
        <w:tab/>
        <w:t xml:space="preserve">Ranking zawiera zestawienie 100 najlepszych rolniczych spółdzielni pod względem sytuacji ekonomicznej. Spółdzielnie uporządkowane zostały metodą rangowania, a więc jedną z najprostszych metod syntetycznej oceny pozycji jednostek na tle badanej zbiorowości. Metoda ta sprowadza się do kolejnego porządkowania obiektów według wybranych cech i zsumowania zajmowanych pozycji dla poszczególnych sortowań. Najniższa wartość </w:t>
      </w:r>
      <w:r w:rsidRPr="005457CC">
        <w:rPr>
          <w:rFonts w:ascii="Times New Roman" w:eastAsia="Times New Roman" w:hAnsi="Times New Roman" w:cs="Times New Roman"/>
          <w:sz w:val="24"/>
        </w:rPr>
        <w:lastRenderedPageBreak/>
        <w:t>uzyskanej sumy pozycji w badanej zbiorowości wskazuje na najlepszą sytuację jednostki, zaś najwyższa oznacza sytuację najgorszą.</w:t>
      </w:r>
    </w:p>
    <w:p w:rsidR="005457CC" w:rsidRPr="005457CC" w:rsidRDefault="005457CC" w:rsidP="005767E1">
      <w:pPr>
        <w:tabs>
          <w:tab w:val="left" w:pos="426"/>
        </w:tabs>
        <w:spacing w:before="80" w:after="0" w:line="264" w:lineRule="auto"/>
        <w:jc w:val="both"/>
        <w:rPr>
          <w:rFonts w:ascii="Times New Roman" w:eastAsia="Times New Roman" w:hAnsi="Times New Roman" w:cs="Times New Roman"/>
          <w:sz w:val="24"/>
        </w:rPr>
      </w:pPr>
      <w:r w:rsidRPr="005457CC">
        <w:rPr>
          <w:rFonts w:ascii="Times New Roman" w:eastAsia="Times New Roman" w:hAnsi="Times New Roman" w:cs="Times New Roman"/>
          <w:sz w:val="24"/>
        </w:rPr>
        <w:tab/>
        <w:t>Do sporządzenia listy 100 najlepszych spółdzielni przyjęliśmy pięć cech. Kryterium sortowań były cztery wskaźniki, tj. dochodowość pracy, dochodowość działalności gospodarczej, wydajność pracy i indeks tworzenia wartości oraz jeden miernik - przychody ogółem na spółdzielnię.</w:t>
      </w:r>
    </w:p>
    <w:p w:rsidR="005457CC" w:rsidRPr="005457CC" w:rsidRDefault="005457CC" w:rsidP="005767E1">
      <w:pPr>
        <w:tabs>
          <w:tab w:val="left" w:pos="426"/>
        </w:tabs>
        <w:spacing w:before="80" w:after="0" w:line="264" w:lineRule="auto"/>
        <w:jc w:val="both"/>
        <w:rPr>
          <w:rFonts w:ascii="Times New Roman" w:eastAsia="Times New Roman" w:hAnsi="Times New Roman" w:cs="Times New Roman"/>
          <w:sz w:val="24"/>
        </w:rPr>
      </w:pPr>
      <w:r w:rsidRPr="005457CC">
        <w:rPr>
          <w:rFonts w:ascii="Times New Roman" w:eastAsia="Times New Roman" w:hAnsi="Times New Roman" w:cs="Times New Roman"/>
          <w:sz w:val="24"/>
        </w:rPr>
        <w:tab/>
        <w:t>Wybrane kryteria dla oceny sytuacji ekonomicznej spółdzielni uznaliśmy za najważniejsze, gdyż najlepiej odzwierciedlają możliwości zaspokajania potrzeb członków (wskaźniki dochodowości), jak i charakteryzują potencjał do dalszego rozwoju gospodarstw spółdzielczych (indeks tworzenia wartości, wskaźnik wydajności pracy, wielkość przychodów ogółem). Wyższe wartości wybranych wskaźników i miernika uznaliśmy za korzystne w ocenie spółdzielni, a spółdzielnia z najwyższą wartością zajmowała pierwsz</w:t>
      </w:r>
      <w:r w:rsidR="0090171D">
        <w:rPr>
          <w:rFonts w:ascii="Times New Roman" w:eastAsia="Times New Roman" w:hAnsi="Times New Roman" w:cs="Times New Roman"/>
          <w:sz w:val="24"/>
        </w:rPr>
        <w:t>ą pozycję w wybranym kryterium.</w:t>
      </w:r>
    </w:p>
    <w:p w:rsidR="005457CC" w:rsidRPr="005457CC" w:rsidRDefault="005457CC" w:rsidP="005767E1">
      <w:pPr>
        <w:spacing w:before="120" w:after="0" w:line="240" w:lineRule="auto"/>
        <w:jc w:val="both"/>
        <w:rPr>
          <w:rFonts w:ascii="Times New Roman" w:eastAsia="Times New Roman" w:hAnsi="Times New Roman" w:cs="Times New Roman"/>
          <w:b/>
          <w:sz w:val="24"/>
        </w:rPr>
      </w:pPr>
      <w:r w:rsidRPr="005457CC">
        <w:rPr>
          <w:rFonts w:ascii="Times New Roman" w:eastAsia="Times New Roman" w:hAnsi="Times New Roman" w:cs="Times New Roman"/>
          <w:b/>
          <w:sz w:val="24"/>
        </w:rPr>
        <w:t>Uwagi organizacyjne</w:t>
      </w:r>
    </w:p>
    <w:p w:rsidR="005457CC" w:rsidRPr="005457CC" w:rsidRDefault="005457CC" w:rsidP="005767E1">
      <w:pPr>
        <w:tabs>
          <w:tab w:val="left" w:pos="426"/>
        </w:tabs>
        <w:spacing w:before="80" w:after="0" w:line="264" w:lineRule="auto"/>
        <w:jc w:val="both"/>
        <w:rPr>
          <w:rFonts w:ascii="Times New Roman" w:eastAsia="Times New Roman" w:hAnsi="Times New Roman" w:cs="Times New Roman"/>
          <w:sz w:val="24"/>
        </w:rPr>
      </w:pPr>
      <w:r w:rsidRPr="005457CC">
        <w:rPr>
          <w:rFonts w:ascii="Times New Roman" w:eastAsia="Times New Roman" w:hAnsi="Times New Roman" w:cs="Times New Roman"/>
          <w:sz w:val="24"/>
        </w:rPr>
        <w:tab/>
        <w:t>W ostatnim roku badaniami rankingowymi objęto również praktycznie całą zbiorowość rolniczych spółdzielni produkcyjnych. Ankietę wysłano bowiem do 5</w:t>
      </w:r>
      <w:r w:rsidR="006D4C55">
        <w:rPr>
          <w:rFonts w:ascii="Times New Roman" w:eastAsia="Times New Roman" w:hAnsi="Times New Roman" w:cs="Times New Roman"/>
          <w:sz w:val="24"/>
        </w:rPr>
        <w:t>52</w:t>
      </w:r>
      <w:r w:rsidRPr="005457CC">
        <w:rPr>
          <w:rFonts w:ascii="Times New Roman" w:eastAsia="Times New Roman" w:hAnsi="Times New Roman" w:cs="Times New Roman"/>
          <w:sz w:val="24"/>
        </w:rPr>
        <w:t xml:space="preserve"> spółdzielni. Zwrot wypełnionych formularzy ankiet otrzymano ze 1</w:t>
      </w:r>
      <w:r w:rsidR="006D4C55">
        <w:rPr>
          <w:rFonts w:ascii="Times New Roman" w:eastAsia="Times New Roman" w:hAnsi="Times New Roman" w:cs="Times New Roman"/>
          <w:sz w:val="24"/>
        </w:rPr>
        <w:t>12</w:t>
      </w:r>
      <w:r w:rsidRPr="005457CC">
        <w:rPr>
          <w:rFonts w:ascii="Times New Roman" w:eastAsia="Times New Roman" w:hAnsi="Times New Roman" w:cs="Times New Roman"/>
          <w:sz w:val="24"/>
        </w:rPr>
        <w:t xml:space="preserve"> RSP (2</w:t>
      </w:r>
      <w:r w:rsidR="006D4C55">
        <w:rPr>
          <w:rFonts w:ascii="Times New Roman" w:eastAsia="Times New Roman" w:hAnsi="Times New Roman" w:cs="Times New Roman"/>
          <w:sz w:val="24"/>
        </w:rPr>
        <w:t>0</w:t>
      </w:r>
      <w:r w:rsidRPr="005457CC">
        <w:rPr>
          <w:rFonts w:ascii="Times New Roman" w:eastAsia="Times New Roman" w:hAnsi="Times New Roman" w:cs="Times New Roman"/>
          <w:sz w:val="24"/>
        </w:rPr>
        <w:t>% wysłanych), w tym 9</w:t>
      </w:r>
      <w:r w:rsidR="006D4C55">
        <w:rPr>
          <w:rFonts w:ascii="Times New Roman" w:eastAsia="Times New Roman" w:hAnsi="Times New Roman" w:cs="Times New Roman"/>
          <w:sz w:val="24"/>
        </w:rPr>
        <w:t>0</w:t>
      </w:r>
      <w:r w:rsidRPr="005457CC">
        <w:rPr>
          <w:rFonts w:ascii="Times New Roman" w:eastAsia="Times New Roman" w:hAnsi="Times New Roman" w:cs="Times New Roman"/>
          <w:b/>
          <w:i/>
          <w:sz w:val="24"/>
        </w:rPr>
        <w:t xml:space="preserve"> </w:t>
      </w:r>
      <w:r w:rsidRPr="005457CC">
        <w:rPr>
          <w:rFonts w:ascii="Times New Roman" w:eastAsia="Times New Roman" w:hAnsi="Times New Roman" w:cs="Times New Roman"/>
          <w:sz w:val="24"/>
        </w:rPr>
        <w:t>formularzy ankiet od spółdzielni biorących udział w rankingu za 201</w:t>
      </w:r>
      <w:r w:rsidR="006D4C55">
        <w:rPr>
          <w:rFonts w:ascii="Times New Roman" w:eastAsia="Times New Roman" w:hAnsi="Times New Roman" w:cs="Times New Roman"/>
          <w:sz w:val="24"/>
        </w:rPr>
        <w:t>3</w:t>
      </w:r>
      <w:r w:rsidRPr="005457CC">
        <w:rPr>
          <w:rFonts w:ascii="Times New Roman" w:eastAsia="Times New Roman" w:hAnsi="Times New Roman" w:cs="Times New Roman"/>
          <w:sz w:val="24"/>
        </w:rPr>
        <w:t xml:space="preserve"> i 201</w:t>
      </w:r>
      <w:r w:rsidR="006D4C55">
        <w:rPr>
          <w:rFonts w:ascii="Times New Roman" w:eastAsia="Times New Roman" w:hAnsi="Times New Roman" w:cs="Times New Roman"/>
          <w:sz w:val="24"/>
        </w:rPr>
        <w:t>4</w:t>
      </w:r>
      <w:r w:rsidRPr="005457CC">
        <w:rPr>
          <w:rFonts w:ascii="Times New Roman" w:eastAsia="Times New Roman" w:hAnsi="Times New Roman" w:cs="Times New Roman"/>
          <w:sz w:val="24"/>
        </w:rPr>
        <w:t xml:space="preserve"> r. (tj. </w:t>
      </w:r>
      <w:r w:rsidR="006D4C55">
        <w:rPr>
          <w:rFonts w:ascii="Times New Roman" w:eastAsia="Times New Roman" w:hAnsi="Times New Roman" w:cs="Times New Roman"/>
          <w:sz w:val="24"/>
        </w:rPr>
        <w:t>80</w:t>
      </w:r>
      <w:r w:rsidRPr="005457CC">
        <w:rPr>
          <w:rFonts w:ascii="Times New Roman" w:eastAsia="Times New Roman" w:hAnsi="Times New Roman" w:cs="Times New Roman"/>
          <w:sz w:val="24"/>
        </w:rPr>
        <w:t>%). Przetwarzaniu statystycznemu poddano 1</w:t>
      </w:r>
      <w:r w:rsidR="006D4C55">
        <w:rPr>
          <w:rFonts w:ascii="Times New Roman" w:eastAsia="Times New Roman" w:hAnsi="Times New Roman" w:cs="Times New Roman"/>
          <w:sz w:val="24"/>
        </w:rPr>
        <w:t>1</w:t>
      </w:r>
      <w:r w:rsidRPr="005457CC">
        <w:rPr>
          <w:rFonts w:ascii="Times New Roman" w:eastAsia="Times New Roman" w:hAnsi="Times New Roman" w:cs="Times New Roman"/>
          <w:sz w:val="24"/>
        </w:rPr>
        <w:t>1 formularz</w:t>
      </w:r>
      <w:r w:rsidR="006D4C55">
        <w:rPr>
          <w:rFonts w:ascii="Times New Roman" w:eastAsia="Times New Roman" w:hAnsi="Times New Roman" w:cs="Times New Roman"/>
          <w:sz w:val="24"/>
        </w:rPr>
        <w:t>y</w:t>
      </w:r>
      <w:r w:rsidRPr="005457CC">
        <w:rPr>
          <w:rFonts w:ascii="Times New Roman" w:eastAsia="Times New Roman" w:hAnsi="Times New Roman" w:cs="Times New Roman"/>
          <w:sz w:val="24"/>
        </w:rPr>
        <w:t xml:space="preserve"> ankiet, a ich zawartość wykorzystano do opracowania średnich wartości dla całej badanej zbiorowości spółdzielni oraz wydzielonych podgrup, co umożliwiło dokonanie krótkiej analizy wyników ich działalności.</w:t>
      </w:r>
    </w:p>
    <w:p w:rsidR="005457CC" w:rsidRPr="005457CC" w:rsidRDefault="005457CC" w:rsidP="005767E1">
      <w:pPr>
        <w:tabs>
          <w:tab w:val="left" w:pos="426"/>
        </w:tabs>
        <w:spacing w:before="80" w:after="0" w:line="264" w:lineRule="auto"/>
        <w:jc w:val="both"/>
        <w:rPr>
          <w:rFonts w:ascii="Times New Roman" w:eastAsia="Times New Roman" w:hAnsi="Times New Roman" w:cs="Times New Roman"/>
        </w:rPr>
      </w:pPr>
      <w:r w:rsidRPr="005457CC">
        <w:rPr>
          <w:rFonts w:ascii="Times New Roman" w:eastAsia="Times New Roman" w:hAnsi="Times New Roman" w:cs="Times New Roman"/>
          <w:sz w:val="24"/>
        </w:rPr>
        <w:tab/>
        <w:t>Udziałem w rankingu bardziej były zainteresowane spółdzielnie silniejsze ekonomicznie, ale nie wszystkie. Podobnie jak w latach wcześniejszych, część z nich nie wzięła w nim udziału. Ranking za 201</w:t>
      </w:r>
      <w:r w:rsidR="006D4C55">
        <w:rPr>
          <w:rFonts w:ascii="Times New Roman" w:eastAsia="Times New Roman" w:hAnsi="Times New Roman" w:cs="Times New Roman"/>
          <w:sz w:val="24"/>
        </w:rPr>
        <w:t>5</w:t>
      </w:r>
      <w:r w:rsidRPr="005457CC">
        <w:rPr>
          <w:rFonts w:ascii="Times New Roman" w:eastAsia="Times New Roman" w:hAnsi="Times New Roman" w:cs="Times New Roman"/>
          <w:sz w:val="24"/>
        </w:rPr>
        <w:t xml:space="preserve"> r. obejmuje więc również tylko część najlepszych spółdzielni w kraju. Nadal oczekujemy zatem jeszcze większego zainteresowania spółdzielców udziałem w następnych edycjach rankingu.</w:t>
      </w:r>
      <w:r w:rsidRPr="005457CC">
        <w:rPr>
          <w:rFonts w:ascii="Times New Roman" w:eastAsia="Times New Roman" w:hAnsi="Times New Roman" w:cs="Times New Roman"/>
        </w:rPr>
        <w:t xml:space="preserve"> </w:t>
      </w:r>
    </w:p>
    <w:p w:rsidR="005457CC" w:rsidRPr="005457CC" w:rsidRDefault="005457CC" w:rsidP="005767E1">
      <w:pPr>
        <w:keepNext/>
        <w:keepLines/>
        <w:spacing w:before="120" w:after="0" w:line="240" w:lineRule="auto"/>
        <w:rPr>
          <w:rFonts w:ascii="Times New Roman" w:eastAsia="Times New Roman" w:hAnsi="Times New Roman" w:cs="Times New Roman"/>
          <w:color w:val="000000"/>
          <w:sz w:val="24"/>
        </w:rPr>
      </w:pPr>
      <w:r w:rsidRPr="005457CC">
        <w:rPr>
          <w:rFonts w:ascii="Times New Roman" w:eastAsia="Times New Roman" w:hAnsi="Times New Roman" w:cs="Times New Roman"/>
          <w:b/>
          <w:color w:val="000000"/>
          <w:sz w:val="24"/>
        </w:rPr>
        <w:t>WYJAŚNIENIA I DEFINICJE</w:t>
      </w:r>
      <w:r w:rsidRPr="005457CC">
        <w:rPr>
          <w:rFonts w:ascii="Times New Roman" w:eastAsia="Times New Roman" w:hAnsi="Times New Roman" w:cs="Times New Roman"/>
          <w:color w:val="000000"/>
          <w:sz w:val="24"/>
        </w:rPr>
        <w:t xml:space="preserve"> (dotyczy rankingu 100 najlepszych RSP)</w:t>
      </w:r>
    </w:p>
    <w:p w:rsidR="005457CC" w:rsidRPr="005457CC" w:rsidRDefault="005457CC" w:rsidP="005767E1">
      <w:pPr>
        <w:spacing w:before="80" w:after="0" w:line="264" w:lineRule="auto"/>
        <w:jc w:val="both"/>
        <w:rPr>
          <w:rFonts w:ascii="Times New Roman" w:eastAsia="Times New Roman" w:hAnsi="Times New Roman" w:cs="Times New Roman"/>
          <w:spacing w:val="-4"/>
          <w:sz w:val="24"/>
        </w:rPr>
      </w:pPr>
      <w:r w:rsidRPr="005457CC">
        <w:rPr>
          <w:rFonts w:ascii="Times New Roman" w:eastAsia="Times New Roman" w:hAnsi="Times New Roman" w:cs="Times New Roman"/>
          <w:b/>
          <w:spacing w:val="-4"/>
          <w:sz w:val="24"/>
        </w:rPr>
        <w:t>Poz. 201</w:t>
      </w:r>
      <w:r w:rsidR="006D4C55">
        <w:rPr>
          <w:rFonts w:ascii="Times New Roman" w:eastAsia="Times New Roman" w:hAnsi="Times New Roman" w:cs="Times New Roman"/>
          <w:b/>
          <w:spacing w:val="-4"/>
          <w:sz w:val="24"/>
        </w:rPr>
        <w:t>5</w:t>
      </w:r>
      <w:r w:rsidRPr="005457CC">
        <w:rPr>
          <w:rFonts w:ascii="Times New Roman" w:eastAsia="Times New Roman" w:hAnsi="Times New Roman" w:cs="Times New Roman"/>
          <w:b/>
          <w:spacing w:val="-4"/>
          <w:sz w:val="24"/>
        </w:rPr>
        <w:t xml:space="preserve"> (kol. 1)</w:t>
      </w:r>
      <w:r w:rsidRPr="005457CC">
        <w:rPr>
          <w:rFonts w:ascii="Times New Roman" w:eastAsia="Times New Roman" w:hAnsi="Times New Roman" w:cs="Times New Roman"/>
          <w:spacing w:val="-4"/>
          <w:sz w:val="24"/>
        </w:rPr>
        <w:t xml:space="preserve"> – pozycja gospodarstwa </w:t>
      </w:r>
      <w:r w:rsidR="00E749FF" w:rsidRPr="005457CC">
        <w:rPr>
          <w:rFonts w:ascii="Times New Roman" w:eastAsia="Times New Roman" w:hAnsi="Times New Roman" w:cs="Times New Roman"/>
          <w:spacing w:val="-4"/>
          <w:sz w:val="24"/>
        </w:rPr>
        <w:t>w 2015 r</w:t>
      </w:r>
      <w:r w:rsidRPr="005457CC">
        <w:rPr>
          <w:rFonts w:ascii="Times New Roman" w:eastAsia="Times New Roman" w:hAnsi="Times New Roman" w:cs="Times New Roman"/>
          <w:spacing w:val="-4"/>
          <w:sz w:val="24"/>
        </w:rPr>
        <w:t>. ustalona na podstawie miary syntetycznej.</w:t>
      </w:r>
    </w:p>
    <w:p w:rsidR="005457CC" w:rsidRPr="005457CC" w:rsidRDefault="005457CC" w:rsidP="005767E1">
      <w:pPr>
        <w:spacing w:before="80" w:after="0" w:line="264" w:lineRule="auto"/>
        <w:jc w:val="both"/>
        <w:rPr>
          <w:rFonts w:ascii="Times New Roman" w:eastAsia="Times New Roman" w:hAnsi="Times New Roman" w:cs="Times New Roman"/>
          <w:spacing w:val="-10"/>
          <w:sz w:val="24"/>
        </w:rPr>
      </w:pPr>
      <w:r w:rsidRPr="005457CC">
        <w:rPr>
          <w:rFonts w:ascii="Times New Roman" w:eastAsia="Times New Roman" w:hAnsi="Times New Roman" w:cs="Times New Roman"/>
          <w:b/>
          <w:spacing w:val="-10"/>
          <w:sz w:val="24"/>
        </w:rPr>
        <w:t>Poz. 201</w:t>
      </w:r>
      <w:r w:rsidR="006D4C55">
        <w:rPr>
          <w:rFonts w:ascii="Times New Roman" w:eastAsia="Times New Roman" w:hAnsi="Times New Roman" w:cs="Times New Roman"/>
          <w:b/>
          <w:spacing w:val="-10"/>
          <w:sz w:val="24"/>
        </w:rPr>
        <w:t>4</w:t>
      </w:r>
      <w:r w:rsidRPr="005457CC">
        <w:rPr>
          <w:rFonts w:ascii="Times New Roman" w:eastAsia="Times New Roman" w:hAnsi="Times New Roman" w:cs="Times New Roman"/>
          <w:b/>
          <w:spacing w:val="-10"/>
          <w:sz w:val="24"/>
        </w:rPr>
        <w:t xml:space="preserve"> (kol. 2) – </w:t>
      </w:r>
      <w:r w:rsidRPr="005457CC">
        <w:rPr>
          <w:rFonts w:ascii="Times New Roman" w:eastAsia="Times New Roman" w:hAnsi="Times New Roman" w:cs="Times New Roman"/>
          <w:spacing w:val="-10"/>
          <w:sz w:val="24"/>
        </w:rPr>
        <w:t>miejsce gospodarstwa w rankingu za 201</w:t>
      </w:r>
      <w:r w:rsidR="006D4C55">
        <w:rPr>
          <w:rFonts w:ascii="Times New Roman" w:eastAsia="Times New Roman" w:hAnsi="Times New Roman" w:cs="Times New Roman"/>
          <w:spacing w:val="-10"/>
          <w:sz w:val="24"/>
        </w:rPr>
        <w:t>4</w:t>
      </w:r>
      <w:r w:rsidRPr="005457CC">
        <w:rPr>
          <w:rFonts w:ascii="Times New Roman" w:eastAsia="Times New Roman" w:hAnsi="Times New Roman" w:cs="Times New Roman"/>
          <w:spacing w:val="-10"/>
          <w:sz w:val="24"/>
        </w:rPr>
        <w:t xml:space="preserve"> r., także w oparciu o miarę syntetyczną.</w:t>
      </w:r>
    </w:p>
    <w:p w:rsidR="005457CC" w:rsidRPr="005457CC" w:rsidRDefault="005457CC" w:rsidP="005767E1">
      <w:pPr>
        <w:spacing w:before="80" w:after="0" w:line="264" w:lineRule="auto"/>
        <w:jc w:val="both"/>
        <w:rPr>
          <w:rFonts w:ascii="Times New Roman" w:eastAsia="Times New Roman" w:hAnsi="Times New Roman" w:cs="Times New Roman"/>
          <w:spacing w:val="-2"/>
          <w:sz w:val="24"/>
        </w:rPr>
      </w:pPr>
      <w:r w:rsidRPr="005457CC">
        <w:rPr>
          <w:rFonts w:ascii="Times New Roman" w:eastAsia="Times New Roman" w:hAnsi="Times New Roman" w:cs="Times New Roman"/>
          <w:b/>
          <w:spacing w:val="-2"/>
          <w:sz w:val="24"/>
        </w:rPr>
        <w:t>Nazwa spółdzielni (kol. 3) –</w:t>
      </w:r>
      <w:r w:rsidRPr="005457CC">
        <w:rPr>
          <w:rFonts w:ascii="Times New Roman" w:eastAsia="Times New Roman" w:hAnsi="Times New Roman" w:cs="Times New Roman"/>
          <w:spacing w:val="-2"/>
          <w:sz w:val="24"/>
        </w:rPr>
        <w:t xml:space="preserve"> skrócona nazwa spółdzielni wraz z jej siedzibą i skróconą nazwą województwa.</w:t>
      </w:r>
    </w:p>
    <w:p w:rsidR="005457CC" w:rsidRPr="005457CC" w:rsidRDefault="005457CC" w:rsidP="005767E1">
      <w:pPr>
        <w:spacing w:before="80" w:after="0" w:line="264" w:lineRule="auto"/>
        <w:jc w:val="both"/>
        <w:rPr>
          <w:rFonts w:ascii="Times New Roman" w:eastAsia="Times New Roman" w:hAnsi="Times New Roman" w:cs="Times New Roman"/>
          <w:sz w:val="24"/>
        </w:rPr>
      </w:pPr>
      <w:r w:rsidRPr="005457CC">
        <w:rPr>
          <w:rFonts w:ascii="Times New Roman" w:eastAsia="Times New Roman" w:hAnsi="Times New Roman" w:cs="Times New Roman"/>
          <w:b/>
          <w:sz w:val="24"/>
        </w:rPr>
        <w:t xml:space="preserve">Ukierunkowanie produkcji (kol. 4) </w:t>
      </w:r>
      <w:r w:rsidRPr="005457CC">
        <w:rPr>
          <w:rFonts w:ascii="Times New Roman" w:eastAsia="Times New Roman" w:hAnsi="Times New Roman" w:cs="Times New Roman"/>
          <w:sz w:val="24"/>
        </w:rPr>
        <w:t xml:space="preserve">– określone zostało samodzielnie przez uczestników rankingu na podstawie przeważającego udziału sprzedaży określonych rodzajów produktów w sprzedaży ogółem. Wyróżniono cztery typy ukierunkowania: </w:t>
      </w:r>
      <w:r w:rsidRPr="005457CC">
        <w:rPr>
          <w:rFonts w:ascii="Times New Roman" w:eastAsia="Times New Roman" w:hAnsi="Times New Roman" w:cs="Times New Roman"/>
          <w:b/>
          <w:sz w:val="24"/>
        </w:rPr>
        <w:t>I</w:t>
      </w:r>
      <w:r w:rsidRPr="005457CC">
        <w:rPr>
          <w:rFonts w:ascii="Times New Roman" w:eastAsia="Times New Roman" w:hAnsi="Times New Roman" w:cs="Times New Roman"/>
          <w:sz w:val="24"/>
        </w:rPr>
        <w:t xml:space="preserve"> – inne niż produkcja rolnicza; </w:t>
      </w:r>
      <w:r w:rsidRPr="005457CC">
        <w:rPr>
          <w:rFonts w:ascii="Times New Roman" w:eastAsia="Times New Roman" w:hAnsi="Times New Roman" w:cs="Times New Roman"/>
          <w:b/>
          <w:sz w:val="24"/>
        </w:rPr>
        <w:t>M</w:t>
      </w:r>
      <w:r w:rsidRPr="005457CC">
        <w:rPr>
          <w:rFonts w:ascii="Times New Roman" w:eastAsia="Times New Roman" w:hAnsi="Times New Roman" w:cs="Times New Roman"/>
          <w:sz w:val="24"/>
        </w:rPr>
        <w:t xml:space="preserve"> – mieszane, a więc takie, w którym występowała mniej więcej równowaga produkcji roślinnej i zwierzęcej; </w:t>
      </w:r>
      <w:r w:rsidRPr="005457CC">
        <w:rPr>
          <w:rFonts w:ascii="Times New Roman" w:eastAsia="Times New Roman" w:hAnsi="Times New Roman" w:cs="Times New Roman"/>
          <w:b/>
          <w:sz w:val="24"/>
        </w:rPr>
        <w:t>R</w:t>
      </w:r>
      <w:r w:rsidRPr="005457CC">
        <w:rPr>
          <w:rFonts w:ascii="Times New Roman" w:eastAsia="Times New Roman" w:hAnsi="Times New Roman" w:cs="Times New Roman"/>
          <w:sz w:val="24"/>
        </w:rPr>
        <w:t xml:space="preserve"> – roślinne, tzn. takie, w którym miała miejsce zdecydowana przewaga produkcji roślinnej nad zwierzęcą; </w:t>
      </w:r>
      <w:r w:rsidRPr="005457CC">
        <w:rPr>
          <w:rFonts w:ascii="Times New Roman" w:eastAsia="Times New Roman" w:hAnsi="Times New Roman" w:cs="Times New Roman"/>
          <w:b/>
          <w:sz w:val="24"/>
        </w:rPr>
        <w:t>Z</w:t>
      </w:r>
      <w:r w:rsidRPr="005457CC">
        <w:rPr>
          <w:rFonts w:ascii="Times New Roman" w:eastAsia="Times New Roman" w:hAnsi="Times New Roman" w:cs="Times New Roman"/>
          <w:sz w:val="24"/>
        </w:rPr>
        <w:t xml:space="preserve"> – zwierzęce, tj. te, w których wyraźnie przeważała produkcja zwierzęca nad roślinną.</w:t>
      </w:r>
    </w:p>
    <w:p w:rsidR="005457CC" w:rsidRPr="005457CC" w:rsidRDefault="005457CC" w:rsidP="005767E1">
      <w:pPr>
        <w:spacing w:before="80" w:after="0" w:line="264" w:lineRule="auto"/>
        <w:jc w:val="both"/>
        <w:rPr>
          <w:rFonts w:ascii="Times New Roman" w:eastAsia="Times New Roman" w:hAnsi="Times New Roman" w:cs="Times New Roman"/>
          <w:sz w:val="24"/>
        </w:rPr>
      </w:pPr>
      <w:r w:rsidRPr="005457CC">
        <w:rPr>
          <w:rFonts w:ascii="Times New Roman" w:eastAsia="Times New Roman" w:hAnsi="Times New Roman" w:cs="Times New Roman"/>
          <w:b/>
          <w:sz w:val="24"/>
        </w:rPr>
        <w:t>Wskaźnik dochodowości pracy (kol. 5)</w:t>
      </w:r>
      <w:r w:rsidRPr="005457CC">
        <w:rPr>
          <w:rFonts w:ascii="Times New Roman" w:eastAsia="Times New Roman" w:hAnsi="Times New Roman" w:cs="Times New Roman"/>
          <w:sz w:val="24"/>
        </w:rPr>
        <w:t xml:space="preserve"> – stosunek dochodu ogólnego (zdefiniowanego w opisie do kol. 18) pomniejszonego o podatek dochodowy od osób prawnych i skorygowanego o dochód wynikły ze sprzedaży majątku do liczby pracujących członków spółdzielni.</w:t>
      </w:r>
    </w:p>
    <w:p w:rsidR="005457CC" w:rsidRPr="005457CC" w:rsidRDefault="005457CC" w:rsidP="005767E1">
      <w:pPr>
        <w:spacing w:before="80" w:after="0" w:line="264" w:lineRule="auto"/>
        <w:jc w:val="both"/>
        <w:rPr>
          <w:rFonts w:ascii="Times New Roman" w:eastAsia="Times New Roman" w:hAnsi="Times New Roman" w:cs="Times New Roman"/>
          <w:b/>
          <w:sz w:val="24"/>
        </w:rPr>
      </w:pPr>
      <w:r w:rsidRPr="005457CC">
        <w:rPr>
          <w:rFonts w:ascii="Times New Roman" w:eastAsia="Times New Roman" w:hAnsi="Times New Roman" w:cs="Times New Roman"/>
          <w:b/>
          <w:sz w:val="24"/>
        </w:rPr>
        <w:lastRenderedPageBreak/>
        <w:t xml:space="preserve">Wskaźnik dochodowości działalności gospodarczej (kol. 7) – </w:t>
      </w:r>
      <w:r w:rsidRPr="005457CC">
        <w:rPr>
          <w:rFonts w:ascii="Times New Roman" w:eastAsia="Times New Roman" w:hAnsi="Times New Roman" w:cs="Times New Roman"/>
          <w:sz w:val="24"/>
        </w:rPr>
        <w:t>stosunek dochodu ogólnego do sumy przychodów: ze sprzedaży produktów i zrównanych z nimi, pozostałych przychodów operacyjnych oraz przychodów finansowych. Wartość przychodów podano w kol. 16.</w:t>
      </w:r>
    </w:p>
    <w:p w:rsidR="005457CC" w:rsidRPr="005457CC" w:rsidRDefault="005457CC" w:rsidP="005767E1">
      <w:pPr>
        <w:spacing w:before="80" w:after="0" w:line="264" w:lineRule="auto"/>
        <w:jc w:val="both"/>
        <w:rPr>
          <w:rFonts w:ascii="Times New Roman" w:eastAsia="Times New Roman" w:hAnsi="Times New Roman" w:cs="Times New Roman"/>
          <w:sz w:val="24"/>
        </w:rPr>
      </w:pPr>
      <w:r w:rsidRPr="005457CC">
        <w:rPr>
          <w:rFonts w:ascii="Times New Roman" w:eastAsia="Times New Roman" w:hAnsi="Times New Roman" w:cs="Times New Roman"/>
          <w:b/>
          <w:sz w:val="24"/>
        </w:rPr>
        <w:t xml:space="preserve">Wskaźnik wartości dodanej (kol. 9) </w:t>
      </w:r>
      <w:r w:rsidRPr="005457CC">
        <w:rPr>
          <w:rFonts w:ascii="Times New Roman" w:eastAsia="Times New Roman" w:hAnsi="Times New Roman" w:cs="Times New Roman"/>
          <w:sz w:val="24"/>
        </w:rPr>
        <w:t>– stosunek wartości dodanej do przychodów ogółem. Wartość dodaną określono przez dodanie jej składników: dochodu ogólnego, amortyzacji, podatku rolnego i innych podatków obciążających koszty, czynszu dzierżawnego, kosztów kapitału obcego (odsetki), kosztów wynagrodzeń pracowników najemnych wraz ze świadczeniami oraz świadczenia na rzecz członków spółdzielni.</w:t>
      </w:r>
    </w:p>
    <w:p w:rsidR="005457CC" w:rsidRPr="005457CC" w:rsidRDefault="005457CC" w:rsidP="005767E1">
      <w:pPr>
        <w:spacing w:before="80" w:after="0" w:line="264" w:lineRule="auto"/>
        <w:jc w:val="both"/>
        <w:rPr>
          <w:rFonts w:ascii="Times New Roman" w:eastAsia="Times New Roman" w:hAnsi="Times New Roman" w:cs="Times New Roman"/>
          <w:spacing w:val="-6"/>
          <w:sz w:val="24"/>
        </w:rPr>
      </w:pPr>
      <w:r w:rsidRPr="005457CC">
        <w:rPr>
          <w:rFonts w:ascii="Times New Roman" w:eastAsia="Times New Roman" w:hAnsi="Times New Roman" w:cs="Times New Roman"/>
          <w:b/>
          <w:spacing w:val="-6"/>
          <w:sz w:val="24"/>
        </w:rPr>
        <w:t>Wskaźnik płynności bieżący (kol. 11) –</w:t>
      </w:r>
      <w:r w:rsidRPr="005457CC">
        <w:rPr>
          <w:rFonts w:ascii="Times New Roman" w:eastAsia="Times New Roman" w:hAnsi="Times New Roman" w:cs="Times New Roman"/>
          <w:spacing w:val="-6"/>
          <w:sz w:val="24"/>
        </w:rPr>
        <w:t xml:space="preserve"> iloraz aktywów obrotowych, pomniejszonych o krótkoterminowe rozliczenia międzyokresowe i zobowiązań </w:t>
      </w:r>
      <w:r w:rsidR="006D4C55">
        <w:rPr>
          <w:rFonts w:ascii="Times New Roman" w:eastAsia="Times New Roman" w:hAnsi="Times New Roman" w:cs="Times New Roman"/>
          <w:spacing w:val="-6"/>
          <w:sz w:val="24"/>
        </w:rPr>
        <w:t>krótkoterminowych na koniec 2015</w:t>
      </w:r>
      <w:r w:rsidRPr="005457CC">
        <w:rPr>
          <w:rFonts w:ascii="Times New Roman" w:eastAsia="Times New Roman" w:hAnsi="Times New Roman" w:cs="Times New Roman"/>
          <w:spacing w:val="-6"/>
          <w:sz w:val="24"/>
        </w:rPr>
        <w:t xml:space="preserve"> r.</w:t>
      </w:r>
    </w:p>
    <w:p w:rsidR="005457CC" w:rsidRPr="005457CC" w:rsidRDefault="005457CC" w:rsidP="005767E1">
      <w:pPr>
        <w:spacing w:before="80" w:after="0" w:line="264" w:lineRule="auto"/>
        <w:jc w:val="both"/>
        <w:rPr>
          <w:rFonts w:ascii="Times New Roman" w:eastAsia="Times New Roman" w:hAnsi="Times New Roman" w:cs="Times New Roman"/>
          <w:spacing w:val="-8"/>
          <w:sz w:val="24"/>
        </w:rPr>
      </w:pPr>
      <w:r w:rsidRPr="005457CC">
        <w:rPr>
          <w:rFonts w:ascii="Times New Roman" w:eastAsia="Times New Roman" w:hAnsi="Times New Roman" w:cs="Times New Roman"/>
          <w:b/>
          <w:spacing w:val="-6"/>
          <w:sz w:val="24"/>
        </w:rPr>
        <w:t>Wskaźnik płynności szybki (kol. 12) –</w:t>
      </w:r>
      <w:r w:rsidRPr="005457CC">
        <w:rPr>
          <w:rFonts w:ascii="Times New Roman" w:eastAsia="Times New Roman" w:hAnsi="Times New Roman" w:cs="Times New Roman"/>
          <w:spacing w:val="-6"/>
          <w:sz w:val="24"/>
        </w:rPr>
        <w:t xml:space="preserve"> stosunek aktywów obrotowych, pomniejszonych o zapasy i </w:t>
      </w:r>
      <w:r w:rsidRPr="005457CC">
        <w:rPr>
          <w:rFonts w:ascii="Times New Roman" w:eastAsia="Times New Roman" w:hAnsi="Times New Roman" w:cs="Times New Roman"/>
          <w:spacing w:val="-8"/>
          <w:sz w:val="24"/>
        </w:rPr>
        <w:t xml:space="preserve">krótkoterminowe rozliczenia międzyokresowe, do zobowiązań </w:t>
      </w:r>
      <w:r w:rsidR="006D4C55">
        <w:rPr>
          <w:rFonts w:ascii="Times New Roman" w:eastAsia="Times New Roman" w:hAnsi="Times New Roman" w:cs="Times New Roman"/>
          <w:spacing w:val="-8"/>
          <w:sz w:val="24"/>
        </w:rPr>
        <w:t>krótkoterminowych na koniec 2015</w:t>
      </w:r>
      <w:r w:rsidRPr="005457CC">
        <w:rPr>
          <w:rFonts w:ascii="Times New Roman" w:eastAsia="Times New Roman" w:hAnsi="Times New Roman" w:cs="Times New Roman"/>
          <w:spacing w:val="-8"/>
          <w:sz w:val="24"/>
        </w:rPr>
        <w:t xml:space="preserve"> r.</w:t>
      </w:r>
    </w:p>
    <w:p w:rsidR="005457CC" w:rsidRPr="005457CC" w:rsidRDefault="005457CC" w:rsidP="005767E1">
      <w:pPr>
        <w:spacing w:before="80" w:after="0" w:line="264" w:lineRule="auto"/>
        <w:jc w:val="both"/>
        <w:rPr>
          <w:rFonts w:ascii="Times New Roman" w:eastAsia="Times New Roman" w:hAnsi="Times New Roman" w:cs="Times New Roman"/>
          <w:sz w:val="24"/>
        </w:rPr>
      </w:pPr>
      <w:r w:rsidRPr="005457CC">
        <w:rPr>
          <w:rFonts w:ascii="Times New Roman" w:eastAsia="Times New Roman" w:hAnsi="Times New Roman" w:cs="Times New Roman"/>
          <w:b/>
          <w:spacing w:val="-2"/>
          <w:sz w:val="24"/>
        </w:rPr>
        <w:t>Wskaźnik generowania gotówki operacyjnej (kol. 13) –</w:t>
      </w:r>
      <w:r w:rsidRPr="005457CC">
        <w:rPr>
          <w:rFonts w:ascii="Times New Roman" w:eastAsia="Times New Roman" w:hAnsi="Times New Roman" w:cs="Times New Roman"/>
          <w:spacing w:val="-2"/>
          <w:sz w:val="24"/>
        </w:rPr>
        <w:t xml:space="preserve"> stosunek nadwyżki operacyjnej netto do sumy przychodów ze sprzedaży i zrównanych z nimi, pozostałych przychodów operacyjnych (pomniejszonych o zysk ze zbycia aktywów niefinansowych) i zysków nadzwyczajnych. Nadwyżka operacyjna powstała przez odjęcie od wpływów z działalności operacyjnej wydatków na nią poniesionych. Z kolei wpływy </w:t>
      </w:r>
      <w:r w:rsidR="00E749FF" w:rsidRPr="005457CC">
        <w:rPr>
          <w:rFonts w:ascii="Times New Roman" w:eastAsia="Times New Roman" w:hAnsi="Times New Roman" w:cs="Times New Roman"/>
          <w:spacing w:val="-2"/>
          <w:sz w:val="24"/>
        </w:rPr>
        <w:t>policzono, jako</w:t>
      </w:r>
      <w:r w:rsidRPr="005457CC">
        <w:rPr>
          <w:rFonts w:ascii="Times New Roman" w:eastAsia="Times New Roman" w:hAnsi="Times New Roman" w:cs="Times New Roman"/>
          <w:spacing w:val="-2"/>
          <w:sz w:val="24"/>
        </w:rPr>
        <w:t xml:space="preserve"> sumę przychodów ze sprzedaży i zrównanych z nimi, pozostałych przychodów operacyjnych (pomniejszonych o zyski ze zbycia aktywów niefinansowych) i zysków nadzwyczajnych. Wydatki natomiast uzyskano przez dodanie do kosztów działalności operacyjnej (pomniejszonych jednak o amortyzację) pozostałych kosztów operacyjnych (ale z wyłączeniem straty ze zbycia aktywów niefinansowych), strat nadzwyczajnych i obowiązkowych obciążeń wyniku finansowego.</w:t>
      </w:r>
    </w:p>
    <w:p w:rsidR="005457CC" w:rsidRPr="005457CC" w:rsidRDefault="005457CC" w:rsidP="005767E1">
      <w:pPr>
        <w:spacing w:before="80" w:after="0" w:line="264" w:lineRule="auto"/>
        <w:jc w:val="both"/>
        <w:rPr>
          <w:rFonts w:ascii="Times New Roman" w:eastAsia="Times New Roman" w:hAnsi="Times New Roman" w:cs="Times New Roman"/>
          <w:sz w:val="24"/>
        </w:rPr>
      </w:pPr>
      <w:r w:rsidRPr="005457CC">
        <w:rPr>
          <w:rFonts w:ascii="Times New Roman" w:eastAsia="Times New Roman" w:hAnsi="Times New Roman" w:cs="Times New Roman"/>
          <w:b/>
          <w:sz w:val="24"/>
        </w:rPr>
        <w:t xml:space="preserve">Wydajność pracy (kol. 14) </w:t>
      </w:r>
      <w:r w:rsidRPr="005457CC">
        <w:rPr>
          <w:rFonts w:ascii="Times New Roman" w:eastAsia="Times New Roman" w:hAnsi="Times New Roman" w:cs="Times New Roman"/>
          <w:sz w:val="24"/>
        </w:rPr>
        <w:t>- stosunek wartości dodanej (zdefiniowanej w opisie do kol. 9) do przeciętnego zatrudnienia w 201</w:t>
      </w:r>
      <w:r w:rsidR="006D4C55">
        <w:rPr>
          <w:rFonts w:ascii="Times New Roman" w:eastAsia="Times New Roman" w:hAnsi="Times New Roman" w:cs="Times New Roman"/>
          <w:sz w:val="24"/>
        </w:rPr>
        <w:t>5</w:t>
      </w:r>
      <w:r w:rsidRPr="005457CC">
        <w:rPr>
          <w:rFonts w:ascii="Times New Roman" w:eastAsia="Times New Roman" w:hAnsi="Times New Roman" w:cs="Times New Roman"/>
          <w:sz w:val="24"/>
        </w:rPr>
        <w:t xml:space="preserve"> r.</w:t>
      </w:r>
    </w:p>
    <w:p w:rsidR="005457CC" w:rsidRPr="005457CC" w:rsidRDefault="005457CC" w:rsidP="005767E1">
      <w:pPr>
        <w:spacing w:before="80" w:after="0" w:line="264" w:lineRule="auto"/>
        <w:jc w:val="both"/>
        <w:rPr>
          <w:rFonts w:ascii="Times New Roman" w:eastAsia="Times New Roman" w:hAnsi="Times New Roman" w:cs="Times New Roman"/>
          <w:spacing w:val="-2"/>
          <w:sz w:val="24"/>
        </w:rPr>
      </w:pPr>
      <w:r w:rsidRPr="005457CC">
        <w:rPr>
          <w:rFonts w:ascii="Times New Roman" w:eastAsia="Times New Roman" w:hAnsi="Times New Roman" w:cs="Times New Roman"/>
          <w:b/>
          <w:spacing w:val="-2"/>
          <w:sz w:val="24"/>
        </w:rPr>
        <w:t xml:space="preserve">Przychody ogółem (kol. 16) – </w:t>
      </w:r>
      <w:r w:rsidRPr="005457CC">
        <w:rPr>
          <w:rFonts w:ascii="Times New Roman" w:eastAsia="Times New Roman" w:hAnsi="Times New Roman" w:cs="Times New Roman"/>
          <w:spacing w:val="-2"/>
          <w:sz w:val="24"/>
        </w:rPr>
        <w:t xml:space="preserve">suma przychodów ze sprzedaży produktów i zrównanych z nimi, pozostałych przychodów operacyjnych (pomniejszonych o zysk ze zbycia aktywów niefinansowych) i przychodów finansowych. </w:t>
      </w:r>
    </w:p>
    <w:p w:rsidR="005457CC" w:rsidRPr="005457CC" w:rsidRDefault="005457CC" w:rsidP="005767E1">
      <w:pPr>
        <w:spacing w:before="80" w:after="0" w:line="264" w:lineRule="auto"/>
        <w:jc w:val="both"/>
        <w:rPr>
          <w:rFonts w:ascii="Times New Roman" w:eastAsia="Times New Roman" w:hAnsi="Times New Roman" w:cs="Times New Roman"/>
          <w:sz w:val="24"/>
        </w:rPr>
      </w:pPr>
      <w:r w:rsidRPr="005457CC">
        <w:rPr>
          <w:rFonts w:ascii="Times New Roman" w:eastAsia="Times New Roman" w:hAnsi="Times New Roman" w:cs="Times New Roman"/>
          <w:b/>
          <w:sz w:val="24"/>
        </w:rPr>
        <w:t xml:space="preserve">Dochód ogólny (kol. 18) </w:t>
      </w:r>
      <w:r w:rsidRPr="005457CC">
        <w:rPr>
          <w:rFonts w:ascii="Times New Roman" w:eastAsia="Times New Roman" w:hAnsi="Times New Roman" w:cs="Times New Roman"/>
          <w:sz w:val="24"/>
        </w:rPr>
        <w:t>– przychody ogółem (zdefiniowane w opisie do kol. 16), pomniejszone o sumę kosztów działalności operacyjnej (bez opłaty pracy członków), pozostałych kosztów operacyjnych i kosztów finansowych, skorygowane o wyniki nadzwyczajne (zyski lub straty nadzwyczajne).</w:t>
      </w:r>
    </w:p>
    <w:p w:rsidR="005531D3" w:rsidRPr="005531D3" w:rsidRDefault="005457CC" w:rsidP="005767E1">
      <w:pPr>
        <w:spacing w:before="80" w:after="0" w:line="264" w:lineRule="auto"/>
        <w:jc w:val="both"/>
        <w:rPr>
          <w:rFonts w:ascii="Times New Roman" w:eastAsia="Times New Roman" w:hAnsi="Times New Roman" w:cs="Times New Roman"/>
          <w:sz w:val="24"/>
        </w:rPr>
      </w:pPr>
      <w:r w:rsidRPr="005457CC">
        <w:rPr>
          <w:rFonts w:ascii="Times New Roman" w:eastAsia="Times New Roman" w:hAnsi="Times New Roman" w:cs="Times New Roman"/>
          <w:b/>
          <w:spacing w:val="-6"/>
          <w:sz w:val="24"/>
        </w:rPr>
        <w:t>Indeks tworzenia wartości (kol. 20)</w:t>
      </w:r>
      <w:r w:rsidRPr="005457CC">
        <w:rPr>
          <w:rFonts w:ascii="Times New Roman" w:eastAsia="Times New Roman" w:hAnsi="Times New Roman" w:cs="Times New Roman"/>
          <w:spacing w:val="-6"/>
          <w:sz w:val="24"/>
        </w:rPr>
        <w:t xml:space="preserve"> – </w:t>
      </w:r>
      <w:r w:rsidRPr="005457CC">
        <w:rPr>
          <w:rFonts w:ascii="Times New Roman" w:eastAsia="Times New Roman" w:hAnsi="Times New Roman" w:cs="Times New Roman"/>
          <w:sz w:val="24"/>
        </w:rPr>
        <w:t>iloraz rentowności (dochodowości netto) kapitału własnego na koniec 201</w:t>
      </w:r>
      <w:r w:rsidR="005531D3">
        <w:rPr>
          <w:rFonts w:ascii="Times New Roman" w:eastAsia="Times New Roman" w:hAnsi="Times New Roman" w:cs="Times New Roman"/>
          <w:sz w:val="24"/>
        </w:rPr>
        <w:t>5</w:t>
      </w:r>
      <w:r w:rsidRPr="005457CC">
        <w:rPr>
          <w:rFonts w:ascii="Times New Roman" w:eastAsia="Times New Roman" w:hAnsi="Times New Roman" w:cs="Times New Roman"/>
          <w:sz w:val="24"/>
        </w:rPr>
        <w:t xml:space="preserve"> r. oraz jego kosztu. Ten ostatni </w:t>
      </w:r>
      <w:r w:rsidR="00E749FF" w:rsidRPr="005457CC">
        <w:rPr>
          <w:rFonts w:ascii="Times New Roman" w:eastAsia="Times New Roman" w:hAnsi="Times New Roman" w:cs="Times New Roman"/>
          <w:sz w:val="24"/>
        </w:rPr>
        <w:t>ustalono, jako</w:t>
      </w:r>
      <w:r w:rsidRPr="005457CC">
        <w:rPr>
          <w:rFonts w:ascii="Times New Roman" w:eastAsia="Times New Roman" w:hAnsi="Times New Roman" w:cs="Times New Roman"/>
          <w:sz w:val="24"/>
        </w:rPr>
        <w:t xml:space="preserve"> sumę rentowności aktywów bez ryzyka o</w:t>
      </w:r>
      <w:r w:rsidR="005531D3">
        <w:rPr>
          <w:rFonts w:ascii="Times New Roman" w:eastAsia="Times New Roman" w:hAnsi="Times New Roman" w:cs="Times New Roman"/>
          <w:sz w:val="24"/>
        </w:rPr>
        <w:t>raz premii za ryzyko finansowe.</w:t>
      </w:r>
      <w:r w:rsidR="005531D3" w:rsidRPr="00EA0AD9">
        <w:rPr>
          <w:spacing w:val="-4"/>
          <w:sz w:val="24"/>
          <w:szCs w:val="24"/>
        </w:rPr>
        <w:t xml:space="preserve"> </w:t>
      </w:r>
      <w:r w:rsidR="005531D3" w:rsidRPr="005531D3">
        <w:rPr>
          <w:rFonts w:ascii="Times New Roman" w:eastAsia="Times New Roman" w:hAnsi="Times New Roman" w:cs="Times New Roman"/>
          <w:sz w:val="24"/>
        </w:rPr>
        <w:t xml:space="preserve">Jako aktywa bez ryzyka przyjęto średnie oprocentowanie lokat bankowych założonych na okres do dwóch lat włącznie w 2015 r. Wyniosło ono 1,87 % w stosunku rocznym i było jednakowe dla wszystkich gospodarstw. Premię za ryzyko określono z </w:t>
      </w:r>
      <w:r w:rsidR="00E749FF" w:rsidRPr="005531D3">
        <w:rPr>
          <w:rFonts w:ascii="Times New Roman" w:eastAsia="Times New Roman" w:hAnsi="Times New Roman" w:cs="Times New Roman"/>
          <w:sz w:val="24"/>
        </w:rPr>
        <w:t>kolei, jako</w:t>
      </w:r>
      <w:r w:rsidR="005531D3" w:rsidRPr="005531D3">
        <w:rPr>
          <w:rFonts w:ascii="Times New Roman" w:eastAsia="Times New Roman" w:hAnsi="Times New Roman" w:cs="Times New Roman"/>
          <w:sz w:val="24"/>
        </w:rPr>
        <w:t xml:space="preserve"> iloczyn różnicy między ww. rentownością lokat bankowych (1,87 %) a oprocentowaniem długu każdego gospodarstwa (stosunek zapłaconych odsetek w 2015 r. do sumy zobowiązań długo- i krótkoterminowych na koniec 2015 r.) i stopnia zadłużenia kapitału własnego (ww. sumę zobowiązań długo- i krótkoterminowych podzielono przez wartość kapitał</w:t>
      </w:r>
      <w:r w:rsidR="00E749FF">
        <w:rPr>
          <w:rFonts w:ascii="Times New Roman" w:eastAsia="Times New Roman" w:hAnsi="Times New Roman" w:cs="Times New Roman"/>
          <w:sz w:val="24"/>
        </w:rPr>
        <w:t xml:space="preserve">u własnego na koniec 2015 r.). </w:t>
      </w:r>
      <w:r w:rsidR="005531D3" w:rsidRPr="005531D3">
        <w:rPr>
          <w:rFonts w:ascii="Times New Roman" w:eastAsia="Times New Roman" w:hAnsi="Times New Roman" w:cs="Times New Roman"/>
          <w:sz w:val="24"/>
        </w:rPr>
        <w:t>Tylko indeks wyższy od jedności świadczy o powiększeniu wartości gospodarstwa dla jego właścicieli.</w:t>
      </w:r>
    </w:p>
    <w:p w:rsidR="005457CC" w:rsidRPr="005457CC" w:rsidRDefault="005457CC" w:rsidP="005767E1">
      <w:pPr>
        <w:spacing w:before="80" w:after="0" w:line="264" w:lineRule="auto"/>
        <w:jc w:val="both"/>
        <w:rPr>
          <w:rFonts w:ascii="Times New Roman" w:eastAsia="Times New Roman" w:hAnsi="Times New Roman" w:cs="Times New Roman"/>
          <w:b/>
          <w:sz w:val="24"/>
        </w:rPr>
      </w:pPr>
      <w:r w:rsidRPr="005457CC">
        <w:rPr>
          <w:rFonts w:ascii="Times New Roman" w:eastAsia="Times New Roman" w:hAnsi="Times New Roman" w:cs="Times New Roman"/>
          <w:b/>
          <w:sz w:val="24"/>
        </w:rPr>
        <w:t xml:space="preserve">Pracujący przeciętnie w roku (kol. 22) – </w:t>
      </w:r>
      <w:r w:rsidRPr="005457CC">
        <w:rPr>
          <w:rFonts w:ascii="Times New Roman" w:eastAsia="Times New Roman" w:hAnsi="Times New Roman" w:cs="Times New Roman"/>
          <w:sz w:val="24"/>
        </w:rPr>
        <w:t>przeciętna liczba osób zatrudnionych w 201</w:t>
      </w:r>
      <w:r w:rsidR="005531D3">
        <w:rPr>
          <w:rFonts w:ascii="Times New Roman" w:eastAsia="Times New Roman" w:hAnsi="Times New Roman" w:cs="Times New Roman"/>
          <w:sz w:val="24"/>
        </w:rPr>
        <w:t>5</w:t>
      </w:r>
      <w:r w:rsidRPr="005457CC">
        <w:rPr>
          <w:rFonts w:ascii="Times New Roman" w:eastAsia="Times New Roman" w:hAnsi="Times New Roman" w:cs="Times New Roman"/>
          <w:sz w:val="24"/>
        </w:rPr>
        <w:t xml:space="preserve"> r. (członków spółdzielni i pracowników najemnych), w tym członkowie (kol. 23).</w:t>
      </w:r>
    </w:p>
    <w:p w:rsidR="005457CC" w:rsidRPr="005457CC" w:rsidRDefault="005457CC" w:rsidP="005767E1">
      <w:pPr>
        <w:spacing w:before="80" w:after="0" w:line="264" w:lineRule="auto"/>
        <w:jc w:val="both"/>
        <w:rPr>
          <w:rFonts w:ascii="Times New Roman" w:eastAsia="Times New Roman" w:hAnsi="Times New Roman" w:cs="Times New Roman"/>
          <w:sz w:val="24"/>
        </w:rPr>
      </w:pPr>
      <w:r w:rsidRPr="005457CC">
        <w:rPr>
          <w:rFonts w:ascii="Times New Roman" w:eastAsia="Times New Roman" w:hAnsi="Times New Roman" w:cs="Times New Roman"/>
          <w:b/>
          <w:sz w:val="24"/>
        </w:rPr>
        <w:lastRenderedPageBreak/>
        <w:t>Powierzchnia użytków rolnych (kol. 24)</w:t>
      </w:r>
      <w:r w:rsidRPr="005457CC">
        <w:rPr>
          <w:rFonts w:ascii="Times New Roman" w:eastAsia="Times New Roman" w:hAnsi="Times New Roman" w:cs="Times New Roman"/>
          <w:sz w:val="24"/>
        </w:rPr>
        <w:t xml:space="preserve"> – obszar gruntów przeznaczonych do działalności rolniczej. Obejmuje on grunty orne, trwałe użytki zielone i plantacje trwałe.</w:t>
      </w:r>
    </w:p>
    <w:p w:rsidR="005457CC" w:rsidRPr="005457CC" w:rsidRDefault="005457CC" w:rsidP="005767E1">
      <w:pPr>
        <w:spacing w:before="80" w:after="0" w:line="264" w:lineRule="auto"/>
        <w:jc w:val="both"/>
        <w:rPr>
          <w:rFonts w:ascii="Times New Roman" w:eastAsia="Times New Roman" w:hAnsi="Times New Roman" w:cs="Times New Roman"/>
          <w:spacing w:val="-2"/>
          <w:sz w:val="24"/>
        </w:rPr>
      </w:pPr>
      <w:r w:rsidRPr="005457CC">
        <w:rPr>
          <w:rFonts w:ascii="Times New Roman" w:eastAsia="Times New Roman" w:hAnsi="Times New Roman" w:cs="Times New Roman"/>
          <w:b/>
          <w:spacing w:val="-2"/>
          <w:sz w:val="24"/>
        </w:rPr>
        <w:t>Wskaźnik bonitacji gleb (kol. 25) –</w:t>
      </w:r>
      <w:r w:rsidRPr="005457CC">
        <w:rPr>
          <w:rFonts w:ascii="Times New Roman" w:eastAsia="Times New Roman" w:hAnsi="Times New Roman" w:cs="Times New Roman"/>
          <w:spacing w:val="-2"/>
          <w:sz w:val="24"/>
        </w:rPr>
        <w:t xml:space="preserve"> syntetyczna miara jakości użytków rolnych obliczona jako stosunek powierzchni przeliczeniowej do fizycznej powierzchni tych użytków. Wskaźnik ten ustalono na podstawie „Deklaracji w sprawie podatku rolnego” oraz informacji dodatkowych o użytkach V i VI klasy.</w:t>
      </w:r>
    </w:p>
    <w:p w:rsidR="005457CC" w:rsidRPr="005767E1" w:rsidRDefault="005457CC" w:rsidP="005767E1">
      <w:pPr>
        <w:spacing w:before="80" w:after="0" w:line="264" w:lineRule="auto"/>
        <w:jc w:val="both"/>
        <w:rPr>
          <w:rFonts w:ascii="Times New Roman" w:eastAsia="Times New Roman" w:hAnsi="Times New Roman" w:cs="Times New Roman"/>
          <w:sz w:val="24"/>
        </w:rPr>
      </w:pPr>
      <w:r w:rsidRPr="005457CC">
        <w:rPr>
          <w:rFonts w:ascii="Times New Roman" w:eastAsia="Times New Roman" w:hAnsi="Times New Roman" w:cs="Times New Roman"/>
          <w:b/>
          <w:sz w:val="24"/>
        </w:rPr>
        <w:t xml:space="preserve">Miernik syntetyczny (kol. 26) </w:t>
      </w:r>
      <w:r w:rsidRPr="005457CC">
        <w:rPr>
          <w:rFonts w:ascii="Times New Roman" w:eastAsia="Times New Roman" w:hAnsi="Times New Roman" w:cs="Times New Roman"/>
          <w:sz w:val="24"/>
        </w:rPr>
        <w:t xml:space="preserve">– </w:t>
      </w:r>
      <w:r w:rsidRPr="005457CC">
        <w:rPr>
          <w:rFonts w:ascii="Times New Roman" w:eastAsia="Times New Roman" w:hAnsi="Times New Roman" w:cs="Times New Roman"/>
          <w:spacing w:val="-6"/>
          <w:sz w:val="24"/>
        </w:rPr>
        <w:t>suma pozycji z kolumn 6, 8, 15, 17, 21 (opis metody w tekście).</w:t>
      </w:r>
    </w:p>
    <w:p w:rsidR="005457CC" w:rsidRPr="005457CC" w:rsidRDefault="005457CC" w:rsidP="005767E1">
      <w:pPr>
        <w:keepNext/>
        <w:keepLines/>
        <w:spacing w:before="120" w:after="0" w:line="240" w:lineRule="auto"/>
        <w:rPr>
          <w:rFonts w:ascii="Times New Roman" w:eastAsia="Times New Roman" w:hAnsi="Times New Roman" w:cs="Times New Roman"/>
          <w:b/>
          <w:color w:val="000000"/>
          <w:sz w:val="24"/>
        </w:rPr>
      </w:pPr>
      <w:r w:rsidRPr="005457CC">
        <w:rPr>
          <w:rFonts w:ascii="Times New Roman" w:eastAsia="Times New Roman" w:hAnsi="Times New Roman" w:cs="Times New Roman"/>
          <w:b/>
          <w:color w:val="000000"/>
          <w:sz w:val="24"/>
        </w:rPr>
        <w:t>OBJAŚNIENIE SYMBOLI</w:t>
      </w:r>
    </w:p>
    <w:p w:rsidR="005457CC" w:rsidRPr="005457CC" w:rsidRDefault="005457CC" w:rsidP="005767E1">
      <w:pPr>
        <w:tabs>
          <w:tab w:val="center" w:pos="426"/>
          <w:tab w:val="left" w:pos="709"/>
        </w:tabs>
        <w:spacing w:before="80" w:after="0" w:line="264" w:lineRule="auto"/>
        <w:rPr>
          <w:rFonts w:ascii="Times New Roman" w:eastAsia="Times New Roman" w:hAnsi="Times New Roman" w:cs="Times New Roman"/>
          <w:sz w:val="24"/>
        </w:rPr>
      </w:pPr>
      <w:r w:rsidRPr="005457CC">
        <w:rPr>
          <w:rFonts w:ascii="Times New Roman" w:eastAsia="Times New Roman" w:hAnsi="Times New Roman" w:cs="Times New Roman"/>
          <w:sz w:val="24"/>
        </w:rPr>
        <w:t>–</w:t>
      </w:r>
      <w:r w:rsidRPr="005457CC">
        <w:rPr>
          <w:rFonts w:ascii="Times New Roman" w:eastAsia="Times New Roman" w:hAnsi="Times New Roman" w:cs="Times New Roman"/>
          <w:sz w:val="24"/>
        </w:rPr>
        <w:tab/>
        <w:t>-</w:t>
      </w:r>
      <w:r w:rsidRPr="005457CC">
        <w:rPr>
          <w:rFonts w:ascii="Times New Roman" w:eastAsia="Times New Roman" w:hAnsi="Times New Roman" w:cs="Times New Roman"/>
          <w:sz w:val="24"/>
        </w:rPr>
        <w:tab/>
        <w:t>zjawisko nie występuje lub nie ma treści merytorycznej;</w:t>
      </w:r>
    </w:p>
    <w:p w:rsidR="005457CC" w:rsidRPr="005457CC" w:rsidRDefault="005457CC" w:rsidP="005767E1">
      <w:pPr>
        <w:tabs>
          <w:tab w:val="center" w:pos="426"/>
          <w:tab w:val="left" w:pos="709"/>
        </w:tabs>
        <w:spacing w:before="80" w:after="0" w:line="264" w:lineRule="auto"/>
        <w:rPr>
          <w:rFonts w:ascii="Times New Roman" w:eastAsia="Times New Roman" w:hAnsi="Times New Roman" w:cs="Times New Roman"/>
          <w:sz w:val="24"/>
        </w:rPr>
      </w:pPr>
      <w:r w:rsidRPr="005457CC">
        <w:rPr>
          <w:rFonts w:ascii="Times New Roman" w:eastAsia="Times New Roman" w:hAnsi="Times New Roman" w:cs="Times New Roman"/>
          <w:sz w:val="24"/>
        </w:rPr>
        <w:t>ln</w:t>
      </w:r>
      <w:r w:rsidRPr="005457CC">
        <w:rPr>
          <w:rFonts w:ascii="Times New Roman" w:eastAsia="Times New Roman" w:hAnsi="Times New Roman" w:cs="Times New Roman"/>
          <w:sz w:val="24"/>
        </w:rPr>
        <w:tab/>
        <w:t>-</w:t>
      </w:r>
      <w:r w:rsidRPr="005457CC">
        <w:rPr>
          <w:rFonts w:ascii="Times New Roman" w:eastAsia="Times New Roman" w:hAnsi="Times New Roman" w:cs="Times New Roman"/>
          <w:sz w:val="24"/>
        </w:rPr>
        <w:tab/>
        <w:t>liczba niemianowana;</w:t>
      </w:r>
    </w:p>
    <w:p w:rsidR="005457CC" w:rsidRPr="005457CC" w:rsidRDefault="005457CC" w:rsidP="005767E1">
      <w:pPr>
        <w:tabs>
          <w:tab w:val="center" w:pos="426"/>
          <w:tab w:val="left" w:pos="709"/>
        </w:tabs>
        <w:spacing w:before="80" w:after="0" w:line="264" w:lineRule="auto"/>
        <w:rPr>
          <w:rFonts w:ascii="Times New Roman" w:eastAsia="Times New Roman" w:hAnsi="Times New Roman" w:cs="Times New Roman"/>
          <w:sz w:val="24"/>
        </w:rPr>
      </w:pPr>
      <w:r w:rsidRPr="005457CC">
        <w:rPr>
          <w:rFonts w:ascii="Times New Roman" w:eastAsia="Times New Roman" w:hAnsi="Times New Roman" w:cs="Times New Roman"/>
          <w:sz w:val="24"/>
        </w:rPr>
        <w:t>-</w:t>
      </w:r>
      <w:r w:rsidRPr="005457CC">
        <w:rPr>
          <w:rFonts w:ascii="Times New Roman" w:eastAsia="Times New Roman" w:hAnsi="Times New Roman" w:cs="Times New Roman"/>
          <w:b/>
          <w:i/>
          <w:sz w:val="24"/>
        </w:rPr>
        <w:tab/>
      </w:r>
      <w:r w:rsidRPr="005457CC">
        <w:rPr>
          <w:rFonts w:ascii="Times New Roman" w:eastAsia="Times New Roman" w:hAnsi="Times New Roman" w:cs="Times New Roman"/>
          <w:sz w:val="24"/>
        </w:rPr>
        <w:t>-</w:t>
      </w:r>
      <w:r w:rsidRPr="005457CC">
        <w:rPr>
          <w:rFonts w:ascii="Times New Roman" w:eastAsia="Times New Roman" w:hAnsi="Times New Roman" w:cs="Times New Roman"/>
          <w:sz w:val="24"/>
        </w:rPr>
        <w:tab/>
        <w:t>brak zgody na podanie nazwy przedsiębiorstwa.</w:t>
      </w:r>
    </w:p>
    <w:p w:rsidR="005457CC" w:rsidRPr="005457CC" w:rsidRDefault="005457CC" w:rsidP="005767E1">
      <w:pPr>
        <w:spacing w:before="80" w:after="0" w:line="264" w:lineRule="auto"/>
        <w:jc w:val="both"/>
        <w:rPr>
          <w:rFonts w:ascii="Times New Roman" w:eastAsia="Calibri" w:hAnsi="Times New Roman" w:cs="Times New Roman"/>
          <w:sz w:val="24"/>
          <w:szCs w:val="24"/>
        </w:rPr>
      </w:pPr>
      <w:r w:rsidRPr="005457CC">
        <w:rPr>
          <w:rFonts w:ascii="Times New Roman" w:eastAsia="Calibri" w:hAnsi="Times New Roman" w:cs="Times New Roman"/>
          <w:sz w:val="24"/>
          <w:szCs w:val="24"/>
        </w:rPr>
        <w:t>Ranking przygotował zespół pracowników Instytutu Ekonomiki Rolnictwa i Gospodarki Żywnościowej – PIB w składzie:</w:t>
      </w:r>
    </w:p>
    <w:p w:rsidR="005457CC" w:rsidRPr="005457CC" w:rsidRDefault="005457CC" w:rsidP="005767E1">
      <w:pPr>
        <w:tabs>
          <w:tab w:val="left" w:pos="2340"/>
        </w:tabs>
        <w:spacing w:before="80" w:after="0" w:line="264" w:lineRule="auto"/>
        <w:jc w:val="both"/>
        <w:rPr>
          <w:rFonts w:ascii="Times New Roman" w:eastAsia="Times New Roman" w:hAnsi="Times New Roman" w:cs="Times New Roman"/>
          <w:sz w:val="24"/>
        </w:rPr>
      </w:pPr>
      <w:r w:rsidRPr="005457CC">
        <w:rPr>
          <w:rFonts w:ascii="Times New Roman" w:eastAsia="Times New Roman" w:hAnsi="Times New Roman" w:cs="Times New Roman"/>
        </w:rPr>
        <w:tab/>
      </w:r>
      <w:r w:rsidRPr="005457CC">
        <w:rPr>
          <w:rFonts w:ascii="Times New Roman" w:eastAsia="Times New Roman" w:hAnsi="Times New Roman" w:cs="Times New Roman"/>
          <w:sz w:val="24"/>
        </w:rPr>
        <w:t xml:space="preserve">Mgr inż. Marcin Adamski </w:t>
      </w:r>
    </w:p>
    <w:p w:rsidR="005457CC" w:rsidRPr="005457CC" w:rsidRDefault="005457CC" w:rsidP="005767E1">
      <w:pPr>
        <w:tabs>
          <w:tab w:val="left" w:pos="2340"/>
        </w:tabs>
        <w:spacing w:before="80" w:after="0" w:line="264" w:lineRule="auto"/>
        <w:jc w:val="both"/>
        <w:rPr>
          <w:rFonts w:ascii="Times New Roman" w:eastAsia="Times New Roman" w:hAnsi="Times New Roman" w:cs="Times New Roman"/>
          <w:sz w:val="24"/>
        </w:rPr>
      </w:pPr>
      <w:r w:rsidRPr="005457CC">
        <w:rPr>
          <w:rFonts w:ascii="Times New Roman" w:eastAsia="Times New Roman" w:hAnsi="Times New Roman" w:cs="Times New Roman"/>
          <w:sz w:val="24"/>
        </w:rPr>
        <w:tab/>
        <w:t>Mgr inż. Adam Kagan</w:t>
      </w:r>
    </w:p>
    <w:p w:rsidR="005457CC" w:rsidRPr="005457CC" w:rsidRDefault="005457CC" w:rsidP="005767E1">
      <w:pPr>
        <w:tabs>
          <w:tab w:val="left" w:pos="2340"/>
        </w:tabs>
        <w:spacing w:before="80" w:after="0" w:line="264" w:lineRule="auto"/>
        <w:ind w:firstLine="708"/>
        <w:jc w:val="both"/>
        <w:rPr>
          <w:rFonts w:ascii="Times New Roman" w:eastAsia="Times New Roman" w:hAnsi="Times New Roman" w:cs="Times New Roman"/>
          <w:sz w:val="24"/>
        </w:rPr>
      </w:pPr>
      <w:r w:rsidRPr="005457CC">
        <w:rPr>
          <w:rFonts w:ascii="Times New Roman" w:eastAsia="Times New Roman" w:hAnsi="Times New Roman" w:cs="Times New Roman"/>
          <w:sz w:val="24"/>
        </w:rPr>
        <w:tab/>
        <w:t>Prof. dr hab. Jacek Kulawik</w:t>
      </w:r>
    </w:p>
    <w:p w:rsidR="005457CC" w:rsidRPr="005457CC" w:rsidRDefault="005457CC" w:rsidP="005767E1">
      <w:pPr>
        <w:tabs>
          <w:tab w:val="left" w:pos="2340"/>
        </w:tabs>
        <w:spacing w:before="80" w:after="0" w:line="264" w:lineRule="auto"/>
        <w:jc w:val="both"/>
        <w:rPr>
          <w:rFonts w:ascii="Times New Roman" w:eastAsia="Times New Roman" w:hAnsi="Times New Roman" w:cs="Times New Roman"/>
          <w:sz w:val="24"/>
        </w:rPr>
      </w:pPr>
      <w:r w:rsidRPr="005457CC">
        <w:rPr>
          <w:rFonts w:ascii="Times New Roman" w:eastAsia="Times New Roman" w:hAnsi="Times New Roman" w:cs="Times New Roman"/>
          <w:sz w:val="24"/>
        </w:rPr>
        <w:tab/>
        <w:t>Dr Dariusz Osuch</w:t>
      </w:r>
    </w:p>
    <w:p w:rsidR="005457CC" w:rsidRPr="005457CC" w:rsidRDefault="005457CC" w:rsidP="005767E1">
      <w:pPr>
        <w:tabs>
          <w:tab w:val="left" w:pos="2340"/>
        </w:tabs>
        <w:spacing w:before="80" w:after="0" w:line="264" w:lineRule="auto"/>
        <w:jc w:val="both"/>
        <w:rPr>
          <w:rFonts w:ascii="Times New Roman" w:eastAsia="Times New Roman" w:hAnsi="Times New Roman" w:cs="Times New Roman"/>
          <w:sz w:val="24"/>
        </w:rPr>
      </w:pPr>
      <w:r w:rsidRPr="005457CC">
        <w:rPr>
          <w:rFonts w:ascii="Times New Roman" w:eastAsia="Times New Roman" w:hAnsi="Times New Roman" w:cs="Times New Roman"/>
          <w:sz w:val="24"/>
        </w:rPr>
        <w:tab/>
        <w:t>Mgr inż. Maria Zdzieborska</w:t>
      </w:r>
    </w:p>
    <w:p w:rsidR="005457CC" w:rsidRPr="003F129D" w:rsidRDefault="005457CC" w:rsidP="005767E1">
      <w:pPr>
        <w:tabs>
          <w:tab w:val="left" w:pos="4389"/>
        </w:tabs>
        <w:spacing w:before="80" w:after="0" w:line="264" w:lineRule="auto"/>
        <w:rPr>
          <w:rFonts w:ascii="Times New Roman" w:eastAsia="Times New Roman" w:hAnsi="Times New Roman" w:cs="Times New Roman"/>
          <w:sz w:val="20"/>
        </w:rPr>
      </w:pPr>
    </w:p>
    <w:sectPr w:rsidR="005457CC" w:rsidRPr="003F129D" w:rsidSect="00E749FF">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31C" w:rsidRDefault="0056031C" w:rsidP="00C70D19">
      <w:pPr>
        <w:spacing w:after="0" w:line="240" w:lineRule="auto"/>
      </w:pPr>
      <w:r>
        <w:separator/>
      </w:r>
    </w:p>
  </w:endnote>
  <w:endnote w:type="continuationSeparator" w:id="0">
    <w:p w:rsidR="0056031C" w:rsidRDefault="0056031C" w:rsidP="00C7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045555"/>
      <w:docPartObj>
        <w:docPartGallery w:val="Page Numbers (Bottom of Page)"/>
        <w:docPartUnique/>
      </w:docPartObj>
    </w:sdtPr>
    <w:sdtEndPr/>
    <w:sdtContent>
      <w:p w:rsidR="00E749FF" w:rsidRDefault="00E749FF">
        <w:pPr>
          <w:pStyle w:val="Stopka"/>
          <w:jc w:val="right"/>
        </w:pPr>
        <w:r>
          <w:fldChar w:fldCharType="begin"/>
        </w:r>
        <w:r>
          <w:instrText>PAGE   \* MERGEFORMAT</w:instrText>
        </w:r>
        <w:r>
          <w:fldChar w:fldCharType="separate"/>
        </w:r>
        <w:r w:rsidR="00E14AE8">
          <w:rPr>
            <w:noProof/>
          </w:rPr>
          <w:t>11</w:t>
        </w:r>
        <w:r>
          <w:fldChar w:fldCharType="end"/>
        </w:r>
      </w:p>
    </w:sdtContent>
  </w:sdt>
  <w:p w:rsidR="00DE0206" w:rsidRDefault="00DE02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31C" w:rsidRDefault="0056031C" w:rsidP="00C70D19">
      <w:pPr>
        <w:spacing w:after="0" w:line="240" w:lineRule="auto"/>
      </w:pPr>
      <w:r>
        <w:separator/>
      </w:r>
    </w:p>
  </w:footnote>
  <w:footnote w:type="continuationSeparator" w:id="0">
    <w:p w:rsidR="0056031C" w:rsidRDefault="0056031C" w:rsidP="00C70D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EC"/>
    <w:rsid w:val="00002359"/>
    <w:rsid w:val="0000484E"/>
    <w:rsid w:val="000151A8"/>
    <w:rsid w:val="000151DB"/>
    <w:rsid w:val="00017EF5"/>
    <w:rsid w:val="00022980"/>
    <w:rsid w:val="00027068"/>
    <w:rsid w:val="00040929"/>
    <w:rsid w:val="0004291E"/>
    <w:rsid w:val="00056F1D"/>
    <w:rsid w:val="000734E5"/>
    <w:rsid w:val="00073E5C"/>
    <w:rsid w:val="00074051"/>
    <w:rsid w:val="000804C5"/>
    <w:rsid w:val="0008322A"/>
    <w:rsid w:val="00084CB6"/>
    <w:rsid w:val="00086BF5"/>
    <w:rsid w:val="000913FC"/>
    <w:rsid w:val="00093B70"/>
    <w:rsid w:val="000B32D8"/>
    <w:rsid w:val="000B4F8C"/>
    <w:rsid w:val="000B6752"/>
    <w:rsid w:val="000C1BA7"/>
    <w:rsid w:val="000C2B71"/>
    <w:rsid w:val="000D328C"/>
    <w:rsid w:val="000D6CB2"/>
    <w:rsid w:val="000E1978"/>
    <w:rsid w:val="000E44CE"/>
    <w:rsid w:val="000F78FE"/>
    <w:rsid w:val="00100747"/>
    <w:rsid w:val="001128E4"/>
    <w:rsid w:val="00113899"/>
    <w:rsid w:val="0012381F"/>
    <w:rsid w:val="00124517"/>
    <w:rsid w:val="001257D5"/>
    <w:rsid w:val="001267D6"/>
    <w:rsid w:val="00127F84"/>
    <w:rsid w:val="001303E1"/>
    <w:rsid w:val="00133FBF"/>
    <w:rsid w:val="001368E5"/>
    <w:rsid w:val="00150C65"/>
    <w:rsid w:val="00152883"/>
    <w:rsid w:val="00166B98"/>
    <w:rsid w:val="00167E1F"/>
    <w:rsid w:val="001704CA"/>
    <w:rsid w:val="001A5C7D"/>
    <w:rsid w:val="001A635C"/>
    <w:rsid w:val="001B2266"/>
    <w:rsid w:val="001C218D"/>
    <w:rsid w:val="001D10F7"/>
    <w:rsid w:val="001E053D"/>
    <w:rsid w:val="001E1FDE"/>
    <w:rsid w:val="001E2280"/>
    <w:rsid w:val="001E6DB6"/>
    <w:rsid w:val="001F1EC8"/>
    <w:rsid w:val="001F3C5B"/>
    <w:rsid w:val="001F5329"/>
    <w:rsid w:val="00201648"/>
    <w:rsid w:val="00203E4C"/>
    <w:rsid w:val="00207498"/>
    <w:rsid w:val="00207D8B"/>
    <w:rsid w:val="00212F39"/>
    <w:rsid w:val="00215C75"/>
    <w:rsid w:val="0021712D"/>
    <w:rsid w:val="00220025"/>
    <w:rsid w:val="0022110D"/>
    <w:rsid w:val="0023106E"/>
    <w:rsid w:val="00234D14"/>
    <w:rsid w:val="002466DD"/>
    <w:rsid w:val="002558B3"/>
    <w:rsid w:val="00256B8B"/>
    <w:rsid w:val="00260FEF"/>
    <w:rsid w:val="002702BC"/>
    <w:rsid w:val="00270617"/>
    <w:rsid w:val="00272C55"/>
    <w:rsid w:val="0027315F"/>
    <w:rsid w:val="0028189F"/>
    <w:rsid w:val="00296829"/>
    <w:rsid w:val="00297FF8"/>
    <w:rsid w:val="002A2404"/>
    <w:rsid w:val="002A3F9C"/>
    <w:rsid w:val="002A533D"/>
    <w:rsid w:val="002B3DB1"/>
    <w:rsid w:val="002B556F"/>
    <w:rsid w:val="002B690D"/>
    <w:rsid w:val="002B7D4F"/>
    <w:rsid w:val="002B7E51"/>
    <w:rsid w:val="002C0DCA"/>
    <w:rsid w:val="002C55F6"/>
    <w:rsid w:val="002E07AC"/>
    <w:rsid w:val="002E18B8"/>
    <w:rsid w:val="002E3C47"/>
    <w:rsid w:val="002E6F60"/>
    <w:rsid w:val="002F7181"/>
    <w:rsid w:val="002F7DBA"/>
    <w:rsid w:val="0030140E"/>
    <w:rsid w:val="00312DFD"/>
    <w:rsid w:val="00314540"/>
    <w:rsid w:val="0031460F"/>
    <w:rsid w:val="00323895"/>
    <w:rsid w:val="0032516E"/>
    <w:rsid w:val="00327B0B"/>
    <w:rsid w:val="00341EFC"/>
    <w:rsid w:val="0034491F"/>
    <w:rsid w:val="00344F0F"/>
    <w:rsid w:val="00345559"/>
    <w:rsid w:val="00346776"/>
    <w:rsid w:val="0034749C"/>
    <w:rsid w:val="00350594"/>
    <w:rsid w:val="00363DD9"/>
    <w:rsid w:val="00365DB3"/>
    <w:rsid w:val="003669AF"/>
    <w:rsid w:val="00371B16"/>
    <w:rsid w:val="00373FEC"/>
    <w:rsid w:val="00377E89"/>
    <w:rsid w:val="003833EB"/>
    <w:rsid w:val="00394912"/>
    <w:rsid w:val="003A06F7"/>
    <w:rsid w:val="003A3798"/>
    <w:rsid w:val="003A7298"/>
    <w:rsid w:val="003A7C8B"/>
    <w:rsid w:val="003B0B81"/>
    <w:rsid w:val="003C31E9"/>
    <w:rsid w:val="003C602C"/>
    <w:rsid w:val="003C6895"/>
    <w:rsid w:val="003C7959"/>
    <w:rsid w:val="003D0CD0"/>
    <w:rsid w:val="003D5815"/>
    <w:rsid w:val="003D7ECA"/>
    <w:rsid w:val="003F129D"/>
    <w:rsid w:val="003F7B80"/>
    <w:rsid w:val="0040198D"/>
    <w:rsid w:val="004047EC"/>
    <w:rsid w:val="00406C0E"/>
    <w:rsid w:val="00413BFB"/>
    <w:rsid w:val="00413CE0"/>
    <w:rsid w:val="00415AB8"/>
    <w:rsid w:val="00416780"/>
    <w:rsid w:val="00422EFA"/>
    <w:rsid w:val="00427517"/>
    <w:rsid w:val="004367DF"/>
    <w:rsid w:val="00440918"/>
    <w:rsid w:val="00443446"/>
    <w:rsid w:val="004446B1"/>
    <w:rsid w:val="00457E84"/>
    <w:rsid w:val="004617F8"/>
    <w:rsid w:val="0048409E"/>
    <w:rsid w:val="004848DE"/>
    <w:rsid w:val="004877EA"/>
    <w:rsid w:val="004A46F9"/>
    <w:rsid w:val="004A736E"/>
    <w:rsid w:val="004B0C6C"/>
    <w:rsid w:val="004B3FC6"/>
    <w:rsid w:val="004B50E3"/>
    <w:rsid w:val="004B701A"/>
    <w:rsid w:val="004C05AC"/>
    <w:rsid w:val="004C1CDB"/>
    <w:rsid w:val="004C338C"/>
    <w:rsid w:val="004C6DAF"/>
    <w:rsid w:val="004E6EAF"/>
    <w:rsid w:val="004F43B7"/>
    <w:rsid w:val="004F5195"/>
    <w:rsid w:val="0050114D"/>
    <w:rsid w:val="00504C5B"/>
    <w:rsid w:val="00506005"/>
    <w:rsid w:val="005107AE"/>
    <w:rsid w:val="00515747"/>
    <w:rsid w:val="00520B7C"/>
    <w:rsid w:val="00522254"/>
    <w:rsid w:val="00523A26"/>
    <w:rsid w:val="00532406"/>
    <w:rsid w:val="00532438"/>
    <w:rsid w:val="00536057"/>
    <w:rsid w:val="00541AB9"/>
    <w:rsid w:val="00543D5D"/>
    <w:rsid w:val="005457CC"/>
    <w:rsid w:val="00547305"/>
    <w:rsid w:val="005531D3"/>
    <w:rsid w:val="0056031C"/>
    <w:rsid w:val="00571116"/>
    <w:rsid w:val="005767E1"/>
    <w:rsid w:val="00581847"/>
    <w:rsid w:val="005922B5"/>
    <w:rsid w:val="005953F9"/>
    <w:rsid w:val="005A0D5D"/>
    <w:rsid w:val="005A3C9D"/>
    <w:rsid w:val="005A4CD9"/>
    <w:rsid w:val="005B1C39"/>
    <w:rsid w:val="005B2028"/>
    <w:rsid w:val="005B61C8"/>
    <w:rsid w:val="005B69B8"/>
    <w:rsid w:val="005C3454"/>
    <w:rsid w:val="005C44A5"/>
    <w:rsid w:val="005E0A49"/>
    <w:rsid w:val="005E21B7"/>
    <w:rsid w:val="005F4F83"/>
    <w:rsid w:val="005F537D"/>
    <w:rsid w:val="005F67F7"/>
    <w:rsid w:val="006050E4"/>
    <w:rsid w:val="00606DA4"/>
    <w:rsid w:val="00607F4C"/>
    <w:rsid w:val="006156F2"/>
    <w:rsid w:val="006161AC"/>
    <w:rsid w:val="00620AD6"/>
    <w:rsid w:val="00623742"/>
    <w:rsid w:val="006356F0"/>
    <w:rsid w:val="00643865"/>
    <w:rsid w:val="00653794"/>
    <w:rsid w:val="00657377"/>
    <w:rsid w:val="00657F2B"/>
    <w:rsid w:val="00667ECA"/>
    <w:rsid w:val="00673E12"/>
    <w:rsid w:val="00684103"/>
    <w:rsid w:val="0068458B"/>
    <w:rsid w:val="00691F12"/>
    <w:rsid w:val="0069391E"/>
    <w:rsid w:val="006A146C"/>
    <w:rsid w:val="006A73CA"/>
    <w:rsid w:val="006B1910"/>
    <w:rsid w:val="006B66D2"/>
    <w:rsid w:val="006B7551"/>
    <w:rsid w:val="006D4C55"/>
    <w:rsid w:val="006E6C0E"/>
    <w:rsid w:val="006F10BF"/>
    <w:rsid w:val="006F2A52"/>
    <w:rsid w:val="006F413F"/>
    <w:rsid w:val="00700C37"/>
    <w:rsid w:val="00705242"/>
    <w:rsid w:val="00712213"/>
    <w:rsid w:val="0071666A"/>
    <w:rsid w:val="00725778"/>
    <w:rsid w:val="00727E5A"/>
    <w:rsid w:val="00734721"/>
    <w:rsid w:val="00736D3F"/>
    <w:rsid w:val="0074428E"/>
    <w:rsid w:val="0075102D"/>
    <w:rsid w:val="00753E57"/>
    <w:rsid w:val="0076057C"/>
    <w:rsid w:val="00775AE0"/>
    <w:rsid w:val="0078572A"/>
    <w:rsid w:val="00796004"/>
    <w:rsid w:val="007A034E"/>
    <w:rsid w:val="007A0B1B"/>
    <w:rsid w:val="007C455C"/>
    <w:rsid w:val="007C5B19"/>
    <w:rsid w:val="007C5B45"/>
    <w:rsid w:val="007D2D5A"/>
    <w:rsid w:val="007D35C9"/>
    <w:rsid w:val="007E7F33"/>
    <w:rsid w:val="008007AC"/>
    <w:rsid w:val="00802DFC"/>
    <w:rsid w:val="00803B11"/>
    <w:rsid w:val="008058EA"/>
    <w:rsid w:val="00811C77"/>
    <w:rsid w:val="00827051"/>
    <w:rsid w:val="00827E66"/>
    <w:rsid w:val="008351E6"/>
    <w:rsid w:val="00836019"/>
    <w:rsid w:val="0084322F"/>
    <w:rsid w:val="00852253"/>
    <w:rsid w:val="00857398"/>
    <w:rsid w:val="0087173D"/>
    <w:rsid w:val="00874220"/>
    <w:rsid w:val="00877025"/>
    <w:rsid w:val="00877F73"/>
    <w:rsid w:val="00896AF1"/>
    <w:rsid w:val="008A4107"/>
    <w:rsid w:val="008B169A"/>
    <w:rsid w:val="008D1435"/>
    <w:rsid w:val="008D2218"/>
    <w:rsid w:val="008D471E"/>
    <w:rsid w:val="008E2A70"/>
    <w:rsid w:val="008F4561"/>
    <w:rsid w:val="00901025"/>
    <w:rsid w:val="00901089"/>
    <w:rsid w:val="0090171D"/>
    <w:rsid w:val="009109AC"/>
    <w:rsid w:val="00917173"/>
    <w:rsid w:val="009251E3"/>
    <w:rsid w:val="0093255E"/>
    <w:rsid w:val="0093666F"/>
    <w:rsid w:val="00947128"/>
    <w:rsid w:val="009500FE"/>
    <w:rsid w:val="009508A0"/>
    <w:rsid w:val="00950F71"/>
    <w:rsid w:val="00952A31"/>
    <w:rsid w:val="00952B72"/>
    <w:rsid w:val="009536CD"/>
    <w:rsid w:val="009546EF"/>
    <w:rsid w:val="00970F76"/>
    <w:rsid w:val="009722E2"/>
    <w:rsid w:val="00974169"/>
    <w:rsid w:val="009805FB"/>
    <w:rsid w:val="00982490"/>
    <w:rsid w:val="00990913"/>
    <w:rsid w:val="00993CBE"/>
    <w:rsid w:val="009A3665"/>
    <w:rsid w:val="009A43F9"/>
    <w:rsid w:val="009A7E9A"/>
    <w:rsid w:val="009C3B64"/>
    <w:rsid w:val="009C4B6D"/>
    <w:rsid w:val="009C7EA1"/>
    <w:rsid w:val="009D1006"/>
    <w:rsid w:val="009D6045"/>
    <w:rsid w:val="009E15D8"/>
    <w:rsid w:val="009E1F23"/>
    <w:rsid w:val="009F755A"/>
    <w:rsid w:val="00A01568"/>
    <w:rsid w:val="00A21CCD"/>
    <w:rsid w:val="00A22CE4"/>
    <w:rsid w:val="00A274DE"/>
    <w:rsid w:val="00A27C41"/>
    <w:rsid w:val="00A3006E"/>
    <w:rsid w:val="00A323E5"/>
    <w:rsid w:val="00A32909"/>
    <w:rsid w:val="00A371FA"/>
    <w:rsid w:val="00A4028C"/>
    <w:rsid w:val="00A54D45"/>
    <w:rsid w:val="00A563B4"/>
    <w:rsid w:val="00A565E6"/>
    <w:rsid w:val="00A6443E"/>
    <w:rsid w:val="00A66897"/>
    <w:rsid w:val="00A66D97"/>
    <w:rsid w:val="00A670E9"/>
    <w:rsid w:val="00A67324"/>
    <w:rsid w:val="00A735E8"/>
    <w:rsid w:val="00A81709"/>
    <w:rsid w:val="00A81B0C"/>
    <w:rsid w:val="00A8367C"/>
    <w:rsid w:val="00A90BD3"/>
    <w:rsid w:val="00AA2781"/>
    <w:rsid w:val="00AC4CEB"/>
    <w:rsid w:val="00AC57A4"/>
    <w:rsid w:val="00AC6C92"/>
    <w:rsid w:val="00AD4FEF"/>
    <w:rsid w:val="00AD5647"/>
    <w:rsid w:val="00AD6734"/>
    <w:rsid w:val="00AF7F71"/>
    <w:rsid w:val="00B03946"/>
    <w:rsid w:val="00B04BB7"/>
    <w:rsid w:val="00B07326"/>
    <w:rsid w:val="00B134C8"/>
    <w:rsid w:val="00B26882"/>
    <w:rsid w:val="00B3726E"/>
    <w:rsid w:val="00B44630"/>
    <w:rsid w:val="00B465C1"/>
    <w:rsid w:val="00B4756D"/>
    <w:rsid w:val="00B540E5"/>
    <w:rsid w:val="00B54BAD"/>
    <w:rsid w:val="00B62654"/>
    <w:rsid w:val="00B65539"/>
    <w:rsid w:val="00B71DCC"/>
    <w:rsid w:val="00B74BEE"/>
    <w:rsid w:val="00B76798"/>
    <w:rsid w:val="00B909BA"/>
    <w:rsid w:val="00B92FF7"/>
    <w:rsid w:val="00BA08E2"/>
    <w:rsid w:val="00BA0CA2"/>
    <w:rsid w:val="00BA15E2"/>
    <w:rsid w:val="00BA21E8"/>
    <w:rsid w:val="00BB0F4E"/>
    <w:rsid w:val="00BC434B"/>
    <w:rsid w:val="00BC6507"/>
    <w:rsid w:val="00BD4160"/>
    <w:rsid w:val="00BD4303"/>
    <w:rsid w:val="00BF4439"/>
    <w:rsid w:val="00C03AC8"/>
    <w:rsid w:val="00C0506F"/>
    <w:rsid w:val="00C07DE9"/>
    <w:rsid w:val="00C12AE9"/>
    <w:rsid w:val="00C134AC"/>
    <w:rsid w:val="00C43E9E"/>
    <w:rsid w:val="00C57C0B"/>
    <w:rsid w:val="00C61C80"/>
    <w:rsid w:val="00C67031"/>
    <w:rsid w:val="00C70D19"/>
    <w:rsid w:val="00C75A59"/>
    <w:rsid w:val="00C767BA"/>
    <w:rsid w:val="00C76C2E"/>
    <w:rsid w:val="00C819CF"/>
    <w:rsid w:val="00C8385D"/>
    <w:rsid w:val="00C92CD6"/>
    <w:rsid w:val="00CA236C"/>
    <w:rsid w:val="00CA7668"/>
    <w:rsid w:val="00CB7240"/>
    <w:rsid w:val="00CC5F92"/>
    <w:rsid w:val="00CC77DC"/>
    <w:rsid w:val="00CC7B05"/>
    <w:rsid w:val="00CD5C49"/>
    <w:rsid w:val="00CD5CEA"/>
    <w:rsid w:val="00CE3377"/>
    <w:rsid w:val="00CE3A79"/>
    <w:rsid w:val="00CE42FC"/>
    <w:rsid w:val="00CE7B96"/>
    <w:rsid w:val="00CF1E3E"/>
    <w:rsid w:val="00CF3CA0"/>
    <w:rsid w:val="00D00943"/>
    <w:rsid w:val="00D024AD"/>
    <w:rsid w:val="00D02A86"/>
    <w:rsid w:val="00D0494B"/>
    <w:rsid w:val="00D07A09"/>
    <w:rsid w:val="00D106D1"/>
    <w:rsid w:val="00D3259A"/>
    <w:rsid w:val="00D327D2"/>
    <w:rsid w:val="00D331C0"/>
    <w:rsid w:val="00D40C12"/>
    <w:rsid w:val="00D418BB"/>
    <w:rsid w:val="00D45038"/>
    <w:rsid w:val="00D50348"/>
    <w:rsid w:val="00D50B4B"/>
    <w:rsid w:val="00D55ABB"/>
    <w:rsid w:val="00D601EE"/>
    <w:rsid w:val="00D90444"/>
    <w:rsid w:val="00DA27DD"/>
    <w:rsid w:val="00DA4291"/>
    <w:rsid w:val="00DB2EEB"/>
    <w:rsid w:val="00DB66F5"/>
    <w:rsid w:val="00DC20D2"/>
    <w:rsid w:val="00DC2BA4"/>
    <w:rsid w:val="00DC3628"/>
    <w:rsid w:val="00DD4B42"/>
    <w:rsid w:val="00DE0206"/>
    <w:rsid w:val="00DF272A"/>
    <w:rsid w:val="00DF72D4"/>
    <w:rsid w:val="00E00EF9"/>
    <w:rsid w:val="00E02145"/>
    <w:rsid w:val="00E027BD"/>
    <w:rsid w:val="00E14AE8"/>
    <w:rsid w:val="00E22315"/>
    <w:rsid w:val="00E237E0"/>
    <w:rsid w:val="00E253F8"/>
    <w:rsid w:val="00E25FEC"/>
    <w:rsid w:val="00E26A8A"/>
    <w:rsid w:val="00E32908"/>
    <w:rsid w:val="00E417C9"/>
    <w:rsid w:val="00E4334E"/>
    <w:rsid w:val="00E43ADA"/>
    <w:rsid w:val="00E44D99"/>
    <w:rsid w:val="00E450B9"/>
    <w:rsid w:val="00E47AB3"/>
    <w:rsid w:val="00E50FC9"/>
    <w:rsid w:val="00E535C5"/>
    <w:rsid w:val="00E53F04"/>
    <w:rsid w:val="00E57464"/>
    <w:rsid w:val="00E72A20"/>
    <w:rsid w:val="00E72CA4"/>
    <w:rsid w:val="00E749FF"/>
    <w:rsid w:val="00E74B06"/>
    <w:rsid w:val="00E75245"/>
    <w:rsid w:val="00E803F6"/>
    <w:rsid w:val="00E80D3D"/>
    <w:rsid w:val="00E819B0"/>
    <w:rsid w:val="00E82631"/>
    <w:rsid w:val="00EA4A31"/>
    <w:rsid w:val="00EB1E1E"/>
    <w:rsid w:val="00EB613A"/>
    <w:rsid w:val="00EB77A9"/>
    <w:rsid w:val="00EB7F30"/>
    <w:rsid w:val="00ED2A26"/>
    <w:rsid w:val="00ED3492"/>
    <w:rsid w:val="00ED3AA9"/>
    <w:rsid w:val="00ED4E2E"/>
    <w:rsid w:val="00EE067D"/>
    <w:rsid w:val="00EE731E"/>
    <w:rsid w:val="00EF4541"/>
    <w:rsid w:val="00EF51E3"/>
    <w:rsid w:val="00EF53F3"/>
    <w:rsid w:val="00EF6D1A"/>
    <w:rsid w:val="00F017A4"/>
    <w:rsid w:val="00F041EC"/>
    <w:rsid w:val="00F10ABE"/>
    <w:rsid w:val="00F22207"/>
    <w:rsid w:val="00F336F9"/>
    <w:rsid w:val="00F35999"/>
    <w:rsid w:val="00F40EE3"/>
    <w:rsid w:val="00F414A6"/>
    <w:rsid w:val="00F47FA5"/>
    <w:rsid w:val="00F5382B"/>
    <w:rsid w:val="00F53EDE"/>
    <w:rsid w:val="00F5586E"/>
    <w:rsid w:val="00F57644"/>
    <w:rsid w:val="00F57BE5"/>
    <w:rsid w:val="00F62425"/>
    <w:rsid w:val="00F652B3"/>
    <w:rsid w:val="00F70267"/>
    <w:rsid w:val="00F72EA9"/>
    <w:rsid w:val="00F75581"/>
    <w:rsid w:val="00F75D43"/>
    <w:rsid w:val="00F7712C"/>
    <w:rsid w:val="00F854AD"/>
    <w:rsid w:val="00F9644B"/>
    <w:rsid w:val="00FA27F7"/>
    <w:rsid w:val="00FA399D"/>
    <w:rsid w:val="00FA54AB"/>
    <w:rsid w:val="00FB295A"/>
    <w:rsid w:val="00FC177D"/>
    <w:rsid w:val="00FC7CDB"/>
    <w:rsid w:val="00FD39A7"/>
    <w:rsid w:val="00FD7183"/>
    <w:rsid w:val="00FE751A"/>
    <w:rsid w:val="00FE7995"/>
    <w:rsid w:val="00FF37C4"/>
    <w:rsid w:val="00FF70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134AC"/>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paragraph" w:styleId="Nagwek2">
    <w:name w:val="heading 2"/>
    <w:basedOn w:val="Normalny"/>
    <w:next w:val="Normalny"/>
    <w:link w:val="Nagwek2Znak"/>
    <w:uiPriority w:val="9"/>
    <w:unhideWhenUsed/>
    <w:qFormat/>
    <w:rsid w:val="00C134AC"/>
    <w:pPr>
      <w:keepNext/>
      <w:keepLines/>
      <w:spacing w:before="200" w:after="0"/>
      <w:outlineLvl w:val="1"/>
    </w:pPr>
    <w:rPr>
      <w:rFonts w:asciiTheme="majorHAnsi" w:eastAsiaTheme="majorEastAsia" w:hAnsiTheme="majorHAnsi" w:cstheme="majorBidi"/>
      <w:b/>
      <w:bCs/>
      <w:color w:val="4F81BD" w:themeColor="accent1"/>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A0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08E2"/>
    <w:rPr>
      <w:rFonts w:ascii="Tahoma" w:hAnsi="Tahoma" w:cs="Tahoma"/>
      <w:sz w:val="16"/>
      <w:szCs w:val="16"/>
    </w:rPr>
  </w:style>
  <w:style w:type="table" w:styleId="Tabela-Siatka">
    <w:name w:val="Table Grid"/>
    <w:basedOn w:val="Standardowy"/>
    <w:uiPriority w:val="59"/>
    <w:rsid w:val="00040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70D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0D19"/>
  </w:style>
  <w:style w:type="paragraph" w:styleId="Stopka">
    <w:name w:val="footer"/>
    <w:basedOn w:val="Normalny"/>
    <w:link w:val="StopkaZnak"/>
    <w:uiPriority w:val="99"/>
    <w:unhideWhenUsed/>
    <w:rsid w:val="00C70D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0D19"/>
  </w:style>
  <w:style w:type="character" w:customStyle="1" w:styleId="Nagwek1Znak">
    <w:name w:val="Nagłówek 1 Znak"/>
    <w:basedOn w:val="Domylnaczcionkaakapitu"/>
    <w:link w:val="Nagwek1"/>
    <w:uiPriority w:val="9"/>
    <w:rsid w:val="00C134AC"/>
    <w:rPr>
      <w:rFonts w:asciiTheme="majorHAnsi" w:eastAsiaTheme="majorEastAsia" w:hAnsiTheme="majorHAnsi" w:cstheme="majorBidi"/>
      <w:b/>
      <w:bCs/>
      <w:color w:val="365F91" w:themeColor="accent1" w:themeShade="BF"/>
      <w:sz w:val="24"/>
      <w:szCs w:val="28"/>
    </w:rPr>
  </w:style>
  <w:style w:type="character" w:customStyle="1" w:styleId="Nagwek2Znak">
    <w:name w:val="Nagłówek 2 Znak"/>
    <w:basedOn w:val="Domylnaczcionkaakapitu"/>
    <w:link w:val="Nagwek2"/>
    <w:uiPriority w:val="9"/>
    <w:rsid w:val="00C134AC"/>
    <w:rPr>
      <w:rFonts w:asciiTheme="majorHAnsi" w:eastAsiaTheme="majorEastAsia" w:hAnsiTheme="majorHAnsi" w:cstheme="majorBidi"/>
      <w:b/>
      <w:bCs/>
      <w:color w:val="4F81BD" w:themeColor="accent1"/>
      <w:sz w:val="24"/>
      <w:szCs w:val="26"/>
    </w:rPr>
  </w:style>
  <w:style w:type="paragraph" w:styleId="Tytu">
    <w:name w:val="Title"/>
    <w:basedOn w:val="Normalny"/>
    <w:next w:val="Normalny"/>
    <w:link w:val="TytuZnak"/>
    <w:uiPriority w:val="10"/>
    <w:qFormat/>
    <w:rsid w:val="00C134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ytuZnak">
    <w:name w:val="Tytuł Znak"/>
    <w:basedOn w:val="Domylnaczcionkaakapitu"/>
    <w:link w:val="Tytu"/>
    <w:uiPriority w:val="10"/>
    <w:rsid w:val="00C134AC"/>
    <w:rPr>
      <w:rFonts w:asciiTheme="majorHAnsi" w:eastAsiaTheme="majorEastAsia" w:hAnsiTheme="majorHAnsi" w:cstheme="majorBidi"/>
      <w:color w:val="17365D" w:themeColor="text2" w:themeShade="BF"/>
      <w:spacing w:val="5"/>
      <w:kern w:val="28"/>
      <w:sz w:val="28"/>
      <w:szCs w:val="52"/>
    </w:rPr>
  </w:style>
  <w:style w:type="paragraph" w:styleId="Podtytu">
    <w:name w:val="Subtitle"/>
    <w:basedOn w:val="Normalny"/>
    <w:next w:val="Normalny"/>
    <w:link w:val="PodtytuZnak"/>
    <w:uiPriority w:val="11"/>
    <w:qFormat/>
    <w:rsid w:val="00C134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C134AC"/>
    <w:rPr>
      <w:rFonts w:asciiTheme="majorHAnsi" w:eastAsiaTheme="majorEastAsia" w:hAnsiTheme="majorHAnsi" w:cstheme="majorBidi"/>
      <w:i/>
      <w:iCs/>
      <w:color w:val="4F81BD" w:themeColor="accent1"/>
      <w:spacing w:val="15"/>
      <w:sz w:val="24"/>
      <w:szCs w:val="24"/>
    </w:rPr>
  </w:style>
  <w:style w:type="paragraph" w:styleId="Legenda">
    <w:name w:val="caption"/>
    <w:basedOn w:val="Normalny"/>
    <w:next w:val="Normalny"/>
    <w:qFormat/>
    <w:rsid w:val="00852253"/>
    <w:pPr>
      <w:spacing w:after="0" w:line="240" w:lineRule="auto"/>
    </w:pPr>
    <w:rPr>
      <w:rFonts w:ascii="Times New Roman" w:eastAsia="Times New Roman" w:hAnsi="Times New Roman" w:cs="Times New Roman"/>
      <w:b/>
      <w:bCs/>
      <w:sz w:val="20"/>
      <w:szCs w:val="20"/>
    </w:rPr>
  </w:style>
  <w:style w:type="numbering" w:customStyle="1" w:styleId="Bezlisty1">
    <w:name w:val="Bez listy1"/>
    <w:next w:val="Bezlisty"/>
    <w:uiPriority w:val="99"/>
    <w:semiHidden/>
    <w:unhideWhenUsed/>
    <w:rsid w:val="00E14AE8"/>
  </w:style>
  <w:style w:type="character" w:styleId="Hipercze">
    <w:name w:val="Hyperlink"/>
    <w:basedOn w:val="Domylnaczcionkaakapitu"/>
    <w:uiPriority w:val="99"/>
    <w:unhideWhenUsed/>
    <w:rsid w:val="00E14AE8"/>
    <w:rPr>
      <w:color w:val="0000FF"/>
      <w:u w:val="single"/>
    </w:rPr>
  </w:style>
  <w:style w:type="character" w:styleId="UyteHipercze">
    <w:name w:val="FollowedHyperlink"/>
    <w:basedOn w:val="Domylnaczcionkaakapitu"/>
    <w:uiPriority w:val="99"/>
    <w:semiHidden/>
    <w:unhideWhenUsed/>
    <w:rsid w:val="00E14AE8"/>
    <w:rPr>
      <w:color w:val="800080"/>
      <w:u w:val="single"/>
    </w:rPr>
  </w:style>
  <w:style w:type="paragraph" w:customStyle="1" w:styleId="msonormal0">
    <w:name w:val="msonormal"/>
    <w:basedOn w:val="Normalny"/>
    <w:rsid w:val="00E14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ny"/>
    <w:rsid w:val="00E14AE8"/>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66">
    <w:name w:val="xl66"/>
    <w:basedOn w:val="Normalny"/>
    <w:rsid w:val="00E14AE8"/>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67">
    <w:name w:val="xl67"/>
    <w:basedOn w:val="Normalny"/>
    <w:rsid w:val="00E14AE8"/>
    <w:pP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68">
    <w:name w:val="xl68"/>
    <w:basedOn w:val="Normalny"/>
    <w:rsid w:val="00E14AE8"/>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69">
    <w:name w:val="xl69"/>
    <w:basedOn w:val="Normalny"/>
    <w:rsid w:val="00E14AE8"/>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70">
    <w:name w:val="xl70"/>
    <w:basedOn w:val="Normalny"/>
    <w:rsid w:val="00E14AE8"/>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71">
    <w:name w:val="xl71"/>
    <w:basedOn w:val="Normalny"/>
    <w:rsid w:val="00E14AE8"/>
    <w:pPr>
      <w:spacing w:before="100" w:beforeAutospacing="1" w:after="100" w:afterAutospacing="1" w:line="240" w:lineRule="auto"/>
      <w:jc w:val="right"/>
    </w:pPr>
    <w:rPr>
      <w:rFonts w:ascii="Arial Narrow" w:eastAsia="Times New Roman" w:hAnsi="Arial Narrow" w:cs="Times New Roman"/>
      <w:sz w:val="24"/>
      <w:szCs w:val="24"/>
    </w:rPr>
  </w:style>
  <w:style w:type="paragraph" w:customStyle="1" w:styleId="xl72">
    <w:name w:val="xl72"/>
    <w:basedOn w:val="Normalny"/>
    <w:rsid w:val="00E14AE8"/>
    <w:pPr>
      <w:pBdr>
        <w:top w:val="single" w:sz="8" w:space="0" w:color="auto"/>
      </w:pBdr>
      <w:spacing w:before="100" w:beforeAutospacing="1" w:after="100" w:afterAutospacing="1" w:line="240" w:lineRule="auto"/>
      <w:textAlignment w:val="center"/>
    </w:pPr>
    <w:rPr>
      <w:rFonts w:ascii="Arial Narrow" w:eastAsia="Times New Roman" w:hAnsi="Arial Narrow" w:cs="Times New Roman"/>
      <w:sz w:val="14"/>
      <w:szCs w:val="14"/>
    </w:rPr>
  </w:style>
  <w:style w:type="paragraph" w:customStyle="1" w:styleId="xl73">
    <w:name w:val="xl73"/>
    <w:basedOn w:val="Normalny"/>
    <w:rsid w:val="00E14AE8"/>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4"/>
      <w:szCs w:val="14"/>
    </w:rPr>
  </w:style>
  <w:style w:type="paragraph" w:customStyle="1" w:styleId="xl74">
    <w:name w:val="xl74"/>
    <w:basedOn w:val="Normalny"/>
    <w:rsid w:val="00E14AE8"/>
    <w:pPr>
      <w:spacing w:before="100" w:beforeAutospacing="1" w:after="100" w:afterAutospacing="1" w:line="240" w:lineRule="auto"/>
      <w:textAlignment w:val="center"/>
    </w:pPr>
    <w:rPr>
      <w:rFonts w:ascii="Arial Narrow" w:eastAsia="Times New Roman" w:hAnsi="Arial Narrow" w:cs="Times New Roman"/>
      <w:sz w:val="14"/>
      <w:szCs w:val="14"/>
    </w:rPr>
  </w:style>
  <w:style w:type="paragraph" w:customStyle="1" w:styleId="xl75">
    <w:name w:val="xl75"/>
    <w:basedOn w:val="Normalny"/>
    <w:rsid w:val="00E14AE8"/>
    <w:pPr>
      <w:pBdr>
        <w:right w:val="single" w:sz="4" w:space="0" w:color="auto"/>
      </w:pBdr>
      <w:spacing w:before="100" w:beforeAutospacing="1" w:after="100" w:afterAutospacing="1" w:line="240" w:lineRule="auto"/>
      <w:textAlignment w:val="center"/>
    </w:pPr>
    <w:rPr>
      <w:rFonts w:ascii="Arial Narrow" w:eastAsia="Times New Roman" w:hAnsi="Arial Narrow" w:cs="Times New Roman"/>
      <w:sz w:val="14"/>
      <w:szCs w:val="14"/>
    </w:rPr>
  </w:style>
  <w:style w:type="paragraph" w:customStyle="1" w:styleId="xl76">
    <w:name w:val="xl76"/>
    <w:basedOn w:val="Normalny"/>
    <w:rsid w:val="00E14AE8"/>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77">
    <w:name w:val="xl77"/>
    <w:basedOn w:val="Normalny"/>
    <w:rsid w:val="00E14AE8"/>
    <w:pPr>
      <w:pBdr>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rPr>
  </w:style>
  <w:style w:type="paragraph" w:customStyle="1" w:styleId="xl78">
    <w:name w:val="xl78"/>
    <w:basedOn w:val="Normalny"/>
    <w:rsid w:val="00E14A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79">
    <w:name w:val="xl79"/>
    <w:basedOn w:val="Normalny"/>
    <w:rsid w:val="00E14AE8"/>
    <w:pPr>
      <w:spacing w:before="100" w:beforeAutospacing="1" w:after="100" w:afterAutospacing="1" w:line="240" w:lineRule="auto"/>
      <w:textAlignment w:val="center"/>
    </w:pPr>
    <w:rPr>
      <w:rFonts w:ascii="Arial Narrow" w:eastAsia="Times New Roman" w:hAnsi="Arial Narrow" w:cs="Times New Roman"/>
      <w:sz w:val="14"/>
      <w:szCs w:val="14"/>
    </w:rPr>
  </w:style>
  <w:style w:type="paragraph" w:customStyle="1" w:styleId="xl80">
    <w:name w:val="xl80"/>
    <w:basedOn w:val="Normalny"/>
    <w:rsid w:val="00E14AE8"/>
    <w:pPr>
      <w:pBdr>
        <w:right w:val="single" w:sz="4" w:space="0" w:color="auto"/>
      </w:pBdr>
      <w:spacing w:before="100" w:beforeAutospacing="1" w:after="100" w:afterAutospacing="1" w:line="240" w:lineRule="auto"/>
      <w:textAlignment w:val="center"/>
    </w:pPr>
    <w:rPr>
      <w:rFonts w:ascii="Arial Narrow" w:eastAsia="Times New Roman" w:hAnsi="Arial Narrow" w:cs="Times New Roman"/>
      <w:sz w:val="14"/>
      <w:szCs w:val="14"/>
    </w:rPr>
  </w:style>
  <w:style w:type="paragraph" w:customStyle="1" w:styleId="xl81">
    <w:name w:val="xl81"/>
    <w:basedOn w:val="Normalny"/>
    <w:rsid w:val="00E14AE8"/>
    <w:pPr>
      <w:pBdr>
        <w:right w:val="single" w:sz="4" w:space="0" w:color="auto"/>
      </w:pBdr>
      <w:shd w:val="clear" w:color="000000" w:fill="000000"/>
      <w:spacing w:before="100" w:beforeAutospacing="1" w:after="100" w:afterAutospacing="1" w:line="240" w:lineRule="auto"/>
      <w:jc w:val="center"/>
      <w:textAlignment w:val="center"/>
    </w:pPr>
    <w:rPr>
      <w:rFonts w:ascii="Arial Narrow" w:eastAsia="Times New Roman" w:hAnsi="Arial Narrow" w:cs="Times New Roman"/>
      <w:color w:val="FFFFFF"/>
      <w:sz w:val="14"/>
      <w:szCs w:val="14"/>
    </w:rPr>
  </w:style>
  <w:style w:type="paragraph" w:customStyle="1" w:styleId="xl82">
    <w:name w:val="xl82"/>
    <w:basedOn w:val="Normalny"/>
    <w:rsid w:val="00E14AE8"/>
    <w:pPr>
      <w:pBdr>
        <w:right w:val="single" w:sz="4" w:space="0" w:color="auto"/>
      </w:pBdr>
      <w:shd w:val="clear" w:color="000000" w:fill="000000"/>
      <w:spacing w:before="100" w:beforeAutospacing="1" w:after="100" w:afterAutospacing="1" w:line="240" w:lineRule="auto"/>
      <w:jc w:val="center"/>
      <w:textAlignment w:val="center"/>
    </w:pPr>
    <w:rPr>
      <w:rFonts w:ascii="Arial Narrow" w:eastAsia="Times New Roman" w:hAnsi="Arial Narrow" w:cs="Times New Roman"/>
      <w:color w:val="FFFFFF"/>
      <w:sz w:val="14"/>
      <w:szCs w:val="14"/>
    </w:rPr>
  </w:style>
  <w:style w:type="paragraph" w:customStyle="1" w:styleId="xl83">
    <w:name w:val="xl83"/>
    <w:basedOn w:val="Normalny"/>
    <w:rsid w:val="00E14AE8"/>
    <w:pPr>
      <w:pBdr>
        <w:right w:val="single" w:sz="4" w:space="0" w:color="auto"/>
      </w:pBdr>
      <w:shd w:val="clear" w:color="000000" w:fill="000000"/>
      <w:spacing w:before="100" w:beforeAutospacing="1" w:after="100" w:afterAutospacing="1" w:line="240" w:lineRule="auto"/>
      <w:jc w:val="center"/>
      <w:textAlignment w:val="center"/>
    </w:pPr>
    <w:rPr>
      <w:rFonts w:ascii="Arial Narrow" w:eastAsia="Times New Roman" w:hAnsi="Arial Narrow" w:cs="Times New Roman"/>
      <w:color w:val="FFFFFF"/>
      <w:sz w:val="14"/>
      <w:szCs w:val="14"/>
    </w:rPr>
  </w:style>
  <w:style w:type="paragraph" w:customStyle="1" w:styleId="xl84">
    <w:name w:val="xl84"/>
    <w:basedOn w:val="Normalny"/>
    <w:rsid w:val="00E14AE8"/>
    <w:pPr>
      <w:shd w:val="clear" w:color="000000" w:fill="000000"/>
      <w:spacing w:before="100" w:beforeAutospacing="1" w:after="100" w:afterAutospacing="1" w:line="240" w:lineRule="auto"/>
      <w:jc w:val="center"/>
      <w:textAlignment w:val="center"/>
    </w:pPr>
    <w:rPr>
      <w:rFonts w:ascii="Arial Narrow" w:eastAsia="Times New Roman" w:hAnsi="Arial Narrow" w:cs="Times New Roman"/>
      <w:color w:val="FFFFFF"/>
      <w:sz w:val="14"/>
      <w:szCs w:val="14"/>
    </w:rPr>
  </w:style>
  <w:style w:type="paragraph" w:customStyle="1" w:styleId="xl85">
    <w:name w:val="xl85"/>
    <w:basedOn w:val="Normalny"/>
    <w:rsid w:val="00E14AE8"/>
    <w:pPr>
      <w:pBdr>
        <w:right w:val="single" w:sz="4" w:space="0" w:color="auto"/>
      </w:pBdr>
      <w:shd w:val="clear" w:color="000000" w:fill="000000"/>
      <w:spacing w:before="100" w:beforeAutospacing="1" w:after="100" w:afterAutospacing="1" w:line="240" w:lineRule="auto"/>
      <w:jc w:val="center"/>
      <w:textAlignment w:val="center"/>
    </w:pPr>
    <w:rPr>
      <w:rFonts w:ascii="Arial Narrow" w:eastAsia="Times New Roman" w:hAnsi="Arial Narrow" w:cs="Times New Roman"/>
      <w:color w:val="FFFFFF"/>
      <w:sz w:val="14"/>
      <w:szCs w:val="14"/>
    </w:rPr>
  </w:style>
  <w:style w:type="paragraph" w:customStyle="1" w:styleId="xl86">
    <w:name w:val="xl86"/>
    <w:basedOn w:val="Normalny"/>
    <w:rsid w:val="00E14AE8"/>
    <w:pPr>
      <w:pBdr>
        <w:left w:val="single" w:sz="4" w:space="0" w:color="auto"/>
        <w:bottom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Narrow" w:eastAsia="Times New Roman" w:hAnsi="Arial Narrow" w:cs="Times New Roman"/>
      <w:color w:val="FFFFFF"/>
      <w:sz w:val="14"/>
      <w:szCs w:val="14"/>
    </w:rPr>
  </w:style>
  <w:style w:type="paragraph" w:customStyle="1" w:styleId="xl87">
    <w:name w:val="xl87"/>
    <w:basedOn w:val="Normalny"/>
    <w:rsid w:val="00E14AE8"/>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Narrow" w:eastAsia="Times New Roman" w:hAnsi="Arial Narrow" w:cs="Times New Roman"/>
      <w:b/>
      <w:bCs/>
      <w:color w:val="FFFFFF"/>
      <w:sz w:val="14"/>
      <w:szCs w:val="14"/>
    </w:rPr>
  </w:style>
  <w:style w:type="paragraph" w:customStyle="1" w:styleId="xl88">
    <w:name w:val="xl88"/>
    <w:basedOn w:val="Normalny"/>
    <w:rsid w:val="00E14AE8"/>
    <w:pPr>
      <w:pBdr>
        <w:left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89">
    <w:name w:val="xl89"/>
    <w:basedOn w:val="Normalny"/>
    <w:rsid w:val="00E14AE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rPr>
  </w:style>
  <w:style w:type="paragraph" w:customStyle="1" w:styleId="xl90">
    <w:name w:val="xl90"/>
    <w:basedOn w:val="Normalny"/>
    <w:rsid w:val="00E14AE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91">
    <w:name w:val="xl91"/>
    <w:basedOn w:val="Normalny"/>
    <w:rsid w:val="00E14AE8"/>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92">
    <w:name w:val="xl92"/>
    <w:basedOn w:val="Normalny"/>
    <w:rsid w:val="00E14AE8"/>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93">
    <w:name w:val="xl93"/>
    <w:basedOn w:val="Normalny"/>
    <w:rsid w:val="00E14AE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rPr>
  </w:style>
  <w:style w:type="paragraph" w:customStyle="1" w:styleId="xl94">
    <w:name w:val="xl94"/>
    <w:basedOn w:val="Normalny"/>
    <w:rsid w:val="00E14AE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14"/>
      <w:szCs w:val="14"/>
    </w:rPr>
  </w:style>
  <w:style w:type="paragraph" w:customStyle="1" w:styleId="xl95">
    <w:name w:val="xl95"/>
    <w:basedOn w:val="Normalny"/>
    <w:rsid w:val="00E14AE8"/>
    <w:pPr>
      <w:pBdr>
        <w:top w:val="single" w:sz="8" w:space="0" w:color="auto"/>
        <w:left w:val="single" w:sz="8" w:space="0" w:color="auto"/>
      </w:pBdr>
      <w:spacing w:before="100" w:beforeAutospacing="1" w:after="100" w:afterAutospacing="1" w:line="240" w:lineRule="auto"/>
      <w:jc w:val="right"/>
    </w:pPr>
    <w:rPr>
      <w:rFonts w:ascii="Arial Narrow" w:eastAsia="Times New Roman" w:hAnsi="Arial Narrow" w:cs="Times New Roman"/>
      <w:b/>
      <w:bCs/>
      <w:sz w:val="14"/>
      <w:szCs w:val="14"/>
    </w:rPr>
  </w:style>
  <w:style w:type="paragraph" w:customStyle="1" w:styleId="xl96">
    <w:name w:val="xl96"/>
    <w:basedOn w:val="Normalny"/>
    <w:rsid w:val="00E14AE8"/>
    <w:pPr>
      <w:pBdr>
        <w:top w:val="single" w:sz="8" w:space="0" w:color="auto"/>
        <w:lef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97">
    <w:name w:val="xl97"/>
    <w:basedOn w:val="Normalny"/>
    <w:rsid w:val="00E14AE8"/>
    <w:pPr>
      <w:pBdr>
        <w:top w:val="single" w:sz="8" w:space="0" w:color="auto"/>
        <w:left w:val="single" w:sz="4"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98">
    <w:name w:val="xl98"/>
    <w:basedOn w:val="Normalny"/>
    <w:rsid w:val="00E14AE8"/>
    <w:pPr>
      <w:pBdr>
        <w:top w:val="single" w:sz="8"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99">
    <w:name w:val="xl99"/>
    <w:basedOn w:val="Normalny"/>
    <w:rsid w:val="00E14AE8"/>
    <w:pPr>
      <w:pBdr>
        <w:top w:val="single" w:sz="8"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100">
    <w:name w:val="xl100"/>
    <w:basedOn w:val="Normalny"/>
    <w:rsid w:val="00E14AE8"/>
    <w:pPr>
      <w:pBdr>
        <w:top w:val="single" w:sz="8" w:space="0" w:color="auto"/>
        <w:lef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01">
    <w:name w:val="xl101"/>
    <w:basedOn w:val="Normalny"/>
    <w:rsid w:val="00E14AE8"/>
    <w:pPr>
      <w:pBdr>
        <w:top w:val="single" w:sz="8" w:space="0" w:color="auto"/>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02">
    <w:name w:val="xl102"/>
    <w:basedOn w:val="Normalny"/>
    <w:rsid w:val="00E14AE8"/>
    <w:pPr>
      <w:pBdr>
        <w:top w:val="single" w:sz="8" w:space="0" w:color="auto"/>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03">
    <w:name w:val="xl103"/>
    <w:basedOn w:val="Normalny"/>
    <w:rsid w:val="00E14AE8"/>
    <w:pPr>
      <w:pBdr>
        <w:top w:val="single" w:sz="8"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04">
    <w:name w:val="xl104"/>
    <w:basedOn w:val="Normalny"/>
    <w:rsid w:val="00E14AE8"/>
    <w:pPr>
      <w:pBdr>
        <w:top w:val="single" w:sz="8" w:space="0" w:color="auto"/>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05">
    <w:name w:val="xl105"/>
    <w:basedOn w:val="Normalny"/>
    <w:rsid w:val="00E14AE8"/>
    <w:pPr>
      <w:pBdr>
        <w:top w:val="single" w:sz="8" w:space="0" w:color="auto"/>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06">
    <w:name w:val="xl106"/>
    <w:basedOn w:val="Normalny"/>
    <w:rsid w:val="00E14AE8"/>
    <w:pPr>
      <w:pBdr>
        <w:top w:val="single" w:sz="8" w:space="0" w:color="auto"/>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14"/>
      <w:szCs w:val="14"/>
    </w:rPr>
  </w:style>
  <w:style w:type="paragraph" w:customStyle="1" w:styleId="xl107">
    <w:name w:val="xl107"/>
    <w:basedOn w:val="Normalny"/>
    <w:rsid w:val="00E14AE8"/>
    <w:pPr>
      <w:pBdr>
        <w:left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108">
    <w:name w:val="xl108"/>
    <w:basedOn w:val="Normalny"/>
    <w:rsid w:val="00E14AE8"/>
    <w:pPr>
      <w:pBdr>
        <w:left w:val="single" w:sz="8" w:space="0" w:color="auto"/>
      </w:pBdr>
      <w:spacing w:before="100" w:beforeAutospacing="1" w:after="100" w:afterAutospacing="1" w:line="240" w:lineRule="auto"/>
      <w:jc w:val="right"/>
    </w:pPr>
    <w:rPr>
      <w:rFonts w:ascii="Arial Narrow" w:eastAsia="Times New Roman" w:hAnsi="Arial Narrow" w:cs="Times New Roman"/>
      <w:b/>
      <w:bCs/>
      <w:sz w:val="14"/>
      <w:szCs w:val="14"/>
    </w:rPr>
  </w:style>
  <w:style w:type="paragraph" w:customStyle="1" w:styleId="xl109">
    <w:name w:val="xl109"/>
    <w:basedOn w:val="Normalny"/>
    <w:rsid w:val="00E14AE8"/>
    <w:pPr>
      <w:pBdr>
        <w:lef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10">
    <w:name w:val="xl110"/>
    <w:basedOn w:val="Normalny"/>
    <w:rsid w:val="00E14AE8"/>
    <w:pPr>
      <w:pBdr>
        <w:left w:val="single" w:sz="4"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111">
    <w:name w:val="xl111"/>
    <w:basedOn w:val="Normalny"/>
    <w:rsid w:val="00E14AE8"/>
    <w:pPr>
      <w:pBdr>
        <w:right w:val="single" w:sz="4"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112">
    <w:name w:val="xl112"/>
    <w:basedOn w:val="Normalny"/>
    <w:rsid w:val="00E14AE8"/>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113">
    <w:name w:val="xl113"/>
    <w:basedOn w:val="Normalny"/>
    <w:rsid w:val="00E14AE8"/>
    <w:pPr>
      <w:pBdr>
        <w:lef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14">
    <w:name w:val="xl114"/>
    <w:basedOn w:val="Normalny"/>
    <w:rsid w:val="00E14AE8"/>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15">
    <w:name w:val="xl115"/>
    <w:basedOn w:val="Normalny"/>
    <w:rsid w:val="00E14AE8"/>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16">
    <w:name w:val="xl116"/>
    <w:basedOn w:val="Normalny"/>
    <w:rsid w:val="00E14AE8"/>
    <w:pPr>
      <w:pBdr>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17">
    <w:name w:val="xl117"/>
    <w:basedOn w:val="Normalny"/>
    <w:rsid w:val="00E14AE8"/>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18">
    <w:name w:val="xl118"/>
    <w:basedOn w:val="Normalny"/>
    <w:rsid w:val="00E14AE8"/>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19">
    <w:name w:val="xl119"/>
    <w:basedOn w:val="Normalny"/>
    <w:rsid w:val="00E14AE8"/>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14"/>
      <w:szCs w:val="14"/>
    </w:rPr>
  </w:style>
  <w:style w:type="paragraph" w:customStyle="1" w:styleId="xl120">
    <w:name w:val="xl120"/>
    <w:basedOn w:val="Normalny"/>
    <w:rsid w:val="00E14AE8"/>
    <w:pPr>
      <w:pBdr>
        <w:left w:val="single" w:sz="8"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14"/>
      <w:szCs w:val="14"/>
    </w:rPr>
  </w:style>
  <w:style w:type="paragraph" w:customStyle="1" w:styleId="xl121">
    <w:name w:val="xl121"/>
    <w:basedOn w:val="Normalny"/>
    <w:rsid w:val="00E14AE8"/>
    <w:pPr>
      <w:pBdr>
        <w:left w:val="single" w:sz="8" w:space="0" w:color="auto"/>
        <w:bottom w:val="single" w:sz="8"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14"/>
      <w:szCs w:val="14"/>
    </w:rPr>
  </w:style>
  <w:style w:type="paragraph" w:customStyle="1" w:styleId="xl122">
    <w:name w:val="xl122"/>
    <w:basedOn w:val="Normalny"/>
    <w:rsid w:val="00E14AE8"/>
    <w:pPr>
      <w:pBdr>
        <w:left w:val="single" w:sz="4" w:space="0" w:color="auto"/>
        <w:bottom w:val="single" w:sz="8"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23">
    <w:name w:val="xl123"/>
    <w:basedOn w:val="Normalny"/>
    <w:rsid w:val="00E14AE8"/>
    <w:pPr>
      <w:pBdr>
        <w:left w:val="single" w:sz="4" w:space="0" w:color="auto"/>
        <w:bottom w:val="single" w:sz="8"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124">
    <w:name w:val="xl124"/>
    <w:basedOn w:val="Normalny"/>
    <w:rsid w:val="00E14AE8"/>
    <w:pPr>
      <w:pBdr>
        <w:bottom w:val="single" w:sz="8"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125">
    <w:name w:val="xl125"/>
    <w:basedOn w:val="Normalny"/>
    <w:rsid w:val="00E14AE8"/>
    <w:pPr>
      <w:pBdr>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126">
    <w:name w:val="xl126"/>
    <w:basedOn w:val="Normalny"/>
    <w:rsid w:val="00E14AE8"/>
    <w:pPr>
      <w:pBdr>
        <w:left w:val="single" w:sz="4" w:space="0" w:color="auto"/>
        <w:bottom w:val="single" w:sz="8"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27">
    <w:name w:val="xl127"/>
    <w:basedOn w:val="Normalny"/>
    <w:rsid w:val="00E14AE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28">
    <w:name w:val="xl128"/>
    <w:basedOn w:val="Normalny"/>
    <w:rsid w:val="00E14AE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29">
    <w:name w:val="xl129"/>
    <w:basedOn w:val="Normalny"/>
    <w:rsid w:val="00E14AE8"/>
    <w:pPr>
      <w:pBdr>
        <w:bottom w:val="single" w:sz="8"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30">
    <w:name w:val="xl130"/>
    <w:basedOn w:val="Normalny"/>
    <w:rsid w:val="00E14AE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31">
    <w:name w:val="xl131"/>
    <w:basedOn w:val="Normalny"/>
    <w:rsid w:val="00E14AE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32">
    <w:name w:val="xl132"/>
    <w:basedOn w:val="Normalny"/>
    <w:rsid w:val="00E14AE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14"/>
      <w:szCs w:val="14"/>
    </w:rPr>
  </w:style>
  <w:style w:type="paragraph" w:customStyle="1" w:styleId="xl133">
    <w:name w:val="xl133"/>
    <w:basedOn w:val="Normalny"/>
    <w:rsid w:val="00E14AE8"/>
    <w:pPr>
      <w:pBdr>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134">
    <w:name w:val="xl134"/>
    <w:basedOn w:val="Normalny"/>
    <w:rsid w:val="00E14AE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35">
    <w:name w:val="xl135"/>
    <w:basedOn w:val="Normalny"/>
    <w:rsid w:val="00E14AE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36">
    <w:name w:val="xl136"/>
    <w:basedOn w:val="Normalny"/>
    <w:rsid w:val="00E14A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37">
    <w:name w:val="xl137"/>
    <w:basedOn w:val="Normalny"/>
    <w:rsid w:val="00E14AE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rPr>
  </w:style>
  <w:style w:type="paragraph" w:customStyle="1" w:styleId="xl138">
    <w:name w:val="xl138"/>
    <w:basedOn w:val="Normalny"/>
    <w:rsid w:val="00E14AE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rPr>
  </w:style>
  <w:style w:type="paragraph" w:customStyle="1" w:styleId="xl139">
    <w:name w:val="xl139"/>
    <w:basedOn w:val="Normalny"/>
    <w:rsid w:val="00E14A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rPr>
  </w:style>
  <w:style w:type="paragraph" w:customStyle="1" w:styleId="xl140">
    <w:name w:val="xl140"/>
    <w:basedOn w:val="Normalny"/>
    <w:rsid w:val="00E14AE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41">
    <w:name w:val="xl141"/>
    <w:basedOn w:val="Normalny"/>
    <w:rsid w:val="00E14AE8"/>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42">
    <w:name w:val="xl142"/>
    <w:basedOn w:val="Normalny"/>
    <w:rsid w:val="00E14AE8"/>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43">
    <w:name w:val="xl143"/>
    <w:basedOn w:val="Normalny"/>
    <w:rsid w:val="00E14AE8"/>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44">
    <w:name w:val="xl144"/>
    <w:basedOn w:val="Normalny"/>
    <w:rsid w:val="00E14AE8"/>
    <w:pPr>
      <w:pBdr>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45">
    <w:name w:val="xl145"/>
    <w:basedOn w:val="Normalny"/>
    <w:rsid w:val="00E14AE8"/>
    <w:pPr>
      <w:pBdr>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46">
    <w:name w:val="xl146"/>
    <w:basedOn w:val="Normalny"/>
    <w:rsid w:val="00E14AE8"/>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47">
    <w:name w:val="xl147"/>
    <w:basedOn w:val="Normalny"/>
    <w:rsid w:val="00E14AE8"/>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48">
    <w:name w:val="xl148"/>
    <w:basedOn w:val="Normalny"/>
    <w:rsid w:val="00E14AE8"/>
    <w:pPr>
      <w:pBdr>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49">
    <w:name w:val="xl149"/>
    <w:basedOn w:val="Normalny"/>
    <w:rsid w:val="00E14AE8"/>
    <w:pPr>
      <w:pBdr>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50">
    <w:name w:val="xl150"/>
    <w:basedOn w:val="Normalny"/>
    <w:rsid w:val="00E14AE8"/>
    <w:pPr>
      <w:pBdr>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51">
    <w:name w:val="xl151"/>
    <w:basedOn w:val="Normalny"/>
    <w:rsid w:val="00E14A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52">
    <w:name w:val="xl152"/>
    <w:basedOn w:val="Normalny"/>
    <w:rsid w:val="00E14AE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53">
    <w:name w:val="xl153"/>
    <w:basedOn w:val="Normalny"/>
    <w:rsid w:val="00E14AE8"/>
    <w:pPr>
      <w:pBdr>
        <w:top w:val="single" w:sz="8"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54">
    <w:name w:val="xl154"/>
    <w:basedOn w:val="Normalny"/>
    <w:rsid w:val="00E14AE8"/>
    <w:pPr>
      <w:pBdr>
        <w:top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55">
    <w:name w:val="xl155"/>
    <w:basedOn w:val="Normalny"/>
    <w:rsid w:val="00E14AE8"/>
    <w:pPr>
      <w:pBdr>
        <w:top w:val="single" w:sz="8"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56">
    <w:name w:val="xl156"/>
    <w:basedOn w:val="Normalny"/>
    <w:rsid w:val="00E14AE8"/>
    <w:pPr>
      <w:pBdr>
        <w:top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57">
    <w:name w:val="xl157"/>
    <w:basedOn w:val="Normalny"/>
    <w:rsid w:val="00E14AE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58">
    <w:name w:val="xl158"/>
    <w:basedOn w:val="Normalny"/>
    <w:rsid w:val="00E14AE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59">
    <w:name w:val="xl159"/>
    <w:basedOn w:val="Normalny"/>
    <w:rsid w:val="00E14AE8"/>
    <w:pPr>
      <w:pBdr>
        <w:top w:val="single" w:sz="8"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60">
    <w:name w:val="xl160"/>
    <w:basedOn w:val="Normalny"/>
    <w:rsid w:val="00E14AE8"/>
    <w:pPr>
      <w:pBdr>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61">
    <w:name w:val="xl161"/>
    <w:basedOn w:val="Normalny"/>
    <w:rsid w:val="00E14AE8"/>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62">
    <w:name w:val="xl162"/>
    <w:basedOn w:val="Normalny"/>
    <w:rsid w:val="00E14AE8"/>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rPr>
  </w:style>
  <w:style w:type="paragraph" w:customStyle="1" w:styleId="xl163">
    <w:name w:val="xl163"/>
    <w:basedOn w:val="Normalny"/>
    <w:rsid w:val="00E14AE8"/>
    <w:pPr>
      <w:pBdr>
        <w:top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rPr>
  </w:style>
  <w:style w:type="paragraph" w:customStyle="1" w:styleId="xl164">
    <w:name w:val="xl164"/>
    <w:basedOn w:val="Normalny"/>
    <w:rsid w:val="00E14AE8"/>
    <w:pPr>
      <w:pBdr>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rPr>
  </w:style>
  <w:style w:type="paragraph" w:customStyle="1" w:styleId="xl165">
    <w:name w:val="xl165"/>
    <w:basedOn w:val="Normalny"/>
    <w:rsid w:val="00E14AE8"/>
    <w:pPr>
      <w:pBdr>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rPr>
  </w:style>
  <w:style w:type="paragraph" w:customStyle="1" w:styleId="xl166">
    <w:name w:val="xl166"/>
    <w:basedOn w:val="Normalny"/>
    <w:rsid w:val="00E14AE8"/>
    <w:pPr>
      <w:pBdr>
        <w:top w:val="single" w:sz="8"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67">
    <w:name w:val="xl167"/>
    <w:basedOn w:val="Normalny"/>
    <w:rsid w:val="00E14AE8"/>
    <w:pPr>
      <w:pBdr>
        <w:top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68">
    <w:name w:val="xl168"/>
    <w:basedOn w:val="Normalny"/>
    <w:rsid w:val="00E14AE8"/>
    <w:pPr>
      <w:pBdr>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69">
    <w:name w:val="xl169"/>
    <w:basedOn w:val="Normalny"/>
    <w:rsid w:val="00E14AE8"/>
    <w:pPr>
      <w:pBdr>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70">
    <w:name w:val="xl170"/>
    <w:basedOn w:val="Normalny"/>
    <w:rsid w:val="00E14AE8"/>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71">
    <w:name w:val="xl171"/>
    <w:basedOn w:val="Normalny"/>
    <w:rsid w:val="00E14AE8"/>
    <w:pPr>
      <w:pBdr>
        <w:top w:val="single" w:sz="8"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72">
    <w:name w:val="xl172"/>
    <w:basedOn w:val="Normalny"/>
    <w:rsid w:val="00E14AE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73">
    <w:name w:val="xl173"/>
    <w:basedOn w:val="Normalny"/>
    <w:rsid w:val="00E14AE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74">
    <w:name w:val="xl174"/>
    <w:basedOn w:val="Normalny"/>
    <w:rsid w:val="00E14AE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75">
    <w:name w:val="xl175"/>
    <w:basedOn w:val="Normalny"/>
    <w:rsid w:val="00E14AE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134AC"/>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paragraph" w:styleId="Nagwek2">
    <w:name w:val="heading 2"/>
    <w:basedOn w:val="Normalny"/>
    <w:next w:val="Normalny"/>
    <w:link w:val="Nagwek2Znak"/>
    <w:uiPriority w:val="9"/>
    <w:unhideWhenUsed/>
    <w:qFormat/>
    <w:rsid w:val="00C134AC"/>
    <w:pPr>
      <w:keepNext/>
      <w:keepLines/>
      <w:spacing w:before="200" w:after="0"/>
      <w:outlineLvl w:val="1"/>
    </w:pPr>
    <w:rPr>
      <w:rFonts w:asciiTheme="majorHAnsi" w:eastAsiaTheme="majorEastAsia" w:hAnsiTheme="majorHAnsi" w:cstheme="majorBidi"/>
      <w:b/>
      <w:bCs/>
      <w:color w:val="4F81BD" w:themeColor="accent1"/>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A0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08E2"/>
    <w:rPr>
      <w:rFonts w:ascii="Tahoma" w:hAnsi="Tahoma" w:cs="Tahoma"/>
      <w:sz w:val="16"/>
      <w:szCs w:val="16"/>
    </w:rPr>
  </w:style>
  <w:style w:type="table" w:styleId="Tabela-Siatka">
    <w:name w:val="Table Grid"/>
    <w:basedOn w:val="Standardowy"/>
    <w:uiPriority w:val="59"/>
    <w:rsid w:val="00040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70D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0D19"/>
  </w:style>
  <w:style w:type="paragraph" w:styleId="Stopka">
    <w:name w:val="footer"/>
    <w:basedOn w:val="Normalny"/>
    <w:link w:val="StopkaZnak"/>
    <w:uiPriority w:val="99"/>
    <w:unhideWhenUsed/>
    <w:rsid w:val="00C70D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0D19"/>
  </w:style>
  <w:style w:type="character" w:customStyle="1" w:styleId="Nagwek1Znak">
    <w:name w:val="Nagłówek 1 Znak"/>
    <w:basedOn w:val="Domylnaczcionkaakapitu"/>
    <w:link w:val="Nagwek1"/>
    <w:uiPriority w:val="9"/>
    <w:rsid w:val="00C134AC"/>
    <w:rPr>
      <w:rFonts w:asciiTheme="majorHAnsi" w:eastAsiaTheme="majorEastAsia" w:hAnsiTheme="majorHAnsi" w:cstheme="majorBidi"/>
      <w:b/>
      <w:bCs/>
      <w:color w:val="365F91" w:themeColor="accent1" w:themeShade="BF"/>
      <w:sz w:val="24"/>
      <w:szCs w:val="28"/>
    </w:rPr>
  </w:style>
  <w:style w:type="character" w:customStyle="1" w:styleId="Nagwek2Znak">
    <w:name w:val="Nagłówek 2 Znak"/>
    <w:basedOn w:val="Domylnaczcionkaakapitu"/>
    <w:link w:val="Nagwek2"/>
    <w:uiPriority w:val="9"/>
    <w:rsid w:val="00C134AC"/>
    <w:rPr>
      <w:rFonts w:asciiTheme="majorHAnsi" w:eastAsiaTheme="majorEastAsia" w:hAnsiTheme="majorHAnsi" w:cstheme="majorBidi"/>
      <w:b/>
      <w:bCs/>
      <w:color w:val="4F81BD" w:themeColor="accent1"/>
      <w:sz w:val="24"/>
      <w:szCs w:val="26"/>
    </w:rPr>
  </w:style>
  <w:style w:type="paragraph" w:styleId="Tytu">
    <w:name w:val="Title"/>
    <w:basedOn w:val="Normalny"/>
    <w:next w:val="Normalny"/>
    <w:link w:val="TytuZnak"/>
    <w:uiPriority w:val="10"/>
    <w:qFormat/>
    <w:rsid w:val="00C134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ytuZnak">
    <w:name w:val="Tytuł Znak"/>
    <w:basedOn w:val="Domylnaczcionkaakapitu"/>
    <w:link w:val="Tytu"/>
    <w:uiPriority w:val="10"/>
    <w:rsid w:val="00C134AC"/>
    <w:rPr>
      <w:rFonts w:asciiTheme="majorHAnsi" w:eastAsiaTheme="majorEastAsia" w:hAnsiTheme="majorHAnsi" w:cstheme="majorBidi"/>
      <w:color w:val="17365D" w:themeColor="text2" w:themeShade="BF"/>
      <w:spacing w:val="5"/>
      <w:kern w:val="28"/>
      <w:sz w:val="28"/>
      <w:szCs w:val="52"/>
    </w:rPr>
  </w:style>
  <w:style w:type="paragraph" w:styleId="Podtytu">
    <w:name w:val="Subtitle"/>
    <w:basedOn w:val="Normalny"/>
    <w:next w:val="Normalny"/>
    <w:link w:val="PodtytuZnak"/>
    <w:uiPriority w:val="11"/>
    <w:qFormat/>
    <w:rsid w:val="00C134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C134AC"/>
    <w:rPr>
      <w:rFonts w:asciiTheme="majorHAnsi" w:eastAsiaTheme="majorEastAsia" w:hAnsiTheme="majorHAnsi" w:cstheme="majorBidi"/>
      <w:i/>
      <w:iCs/>
      <w:color w:val="4F81BD" w:themeColor="accent1"/>
      <w:spacing w:val="15"/>
      <w:sz w:val="24"/>
      <w:szCs w:val="24"/>
    </w:rPr>
  </w:style>
  <w:style w:type="paragraph" w:styleId="Legenda">
    <w:name w:val="caption"/>
    <w:basedOn w:val="Normalny"/>
    <w:next w:val="Normalny"/>
    <w:qFormat/>
    <w:rsid w:val="00852253"/>
    <w:pPr>
      <w:spacing w:after="0" w:line="240" w:lineRule="auto"/>
    </w:pPr>
    <w:rPr>
      <w:rFonts w:ascii="Times New Roman" w:eastAsia="Times New Roman" w:hAnsi="Times New Roman" w:cs="Times New Roman"/>
      <w:b/>
      <w:bCs/>
      <w:sz w:val="20"/>
      <w:szCs w:val="20"/>
    </w:rPr>
  </w:style>
  <w:style w:type="numbering" w:customStyle="1" w:styleId="Bezlisty1">
    <w:name w:val="Bez listy1"/>
    <w:next w:val="Bezlisty"/>
    <w:uiPriority w:val="99"/>
    <w:semiHidden/>
    <w:unhideWhenUsed/>
    <w:rsid w:val="00E14AE8"/>
  </w:style>
  <w:style w:type="character" w:styleId="Hipercze">
    <w:name w:val="Hyperlink"/>
    <w:basedOn w:val="Domylnaczcionkaakapitu"/>
    <w:uiPriority w:val="99"/>
    <w:unhideWhenUsed/>
    <w:rsid w:val="00E14AE8"/>
    <w:rPr>
      <w:color w:val="0000FF"/>
      <w:u w:val="single"/>
    </w:rPr>
  </w:style>
  <w:style w:type="character" w:styleId="UyteHipercze">
    <w:name w:val="FollowedHyperlink"/>
    <w:basedOn w:val="Domylnaczcionkaakapitu"/>
    <w:uiPriority w:val="99"/>
    <w:semiHidden/>
    <w:unhideWhenUsed/>
    <w:rsid w:val="00E14AE8"/>
    <w:rPr>
      <w:color w:val="800080"/>
      <w:u w:val="single"/>
    </w:rPr>
  </w:style>
  <w:style w:type="paragraph" w:customStyle="1" w:styleId="msonormal0">
    <w:name w:val="msonormal"/>
    <w:basedOn w:val="Normalny"/>
    <w:rsid w:val="00E14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ny"/>
    <w:rsid w:val="00E14AE8"/>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66">
    <w:name w:val="xl66"/>
    <w:basedOn w:val="Normalny"/>
    <w:rsid w:val="00E14AE8"/>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67">
    <w:name w:val="xl67"/>
    <w:basedOn w:val="Normalny"/>
    <w:rsid w:val="00E14AE8"/>
    <w:pP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68">
    <w:name w:val="xl68"/>
    <w:basedOn w:val="Normalny"/>
    <w:rsid w:val="00E14AE8"/>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69">
    <w:name w:val="xl69"/>
    <w:basedOn w:val="Normalny"/>
    <w:rsid w:val="00E14AE8"/>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70">
    <w:name w:val="xl70"/>
    <w:basedOn w:val="Normalny"/>
    <w:rsid w:val="00E14AE8"/>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71">
    <w:name w:val="xl71"/>
    <w:basedOn w:val="Normalny"/>
    <w:rsid w:val="00E14AE8"/>
    <w:pPr>
      <w:spacing w:before="100" w:beforeAutospacing="1" w:after="100" w:afterAutospacing="1" w:line="240" w:lineRule="auto"/>
      <w:jc w:val="right"/>
    </w:pPr>
    <w:rPr>
      <w:rFonts w:ascii="Arial Narrow" w:eastAsia="Times New Roman" w:hAnsi="Arial Narrow" w:cs="Times New Roman"/>
      <w:sz w:val="24"/>
      <w:szCs w:val="24"/>
    </w:rPr>
  </w:style>
  <w:style w:type="paragraph" w:customStyle="1" w:styleId="xl72">
    <w:name w:val="xl72"/>
    <w:basedOn w:val="Normalny"/>
    <w:rsid w:val="00E14AE8"/>
    <w:pPr>
      <w:pBdr>
        <w:top w:val="single" w:sz="8" w:space="0" w:color="auto"/>
      </w:pBdr>
      <w:spacing w:before="100" w:beforeAutospacing="1" w:after="100" w:afterAutospacing="1" w:line="240" w:lineRule="auto"/>
      <w:textAlignment w:val="center"/>
    </w:pPr>
    <w:rPr>
      <w:rFonts w:ascii="Arial Narrow" w:eastAsia="Times New Roman" w:hAnsi="Arial Narrow" w:cs="Times New Roman"/>
      <w:sz w:val="14"/>
      <w:szCs w:val="14"/>
    </w:rPr>
  </w:style>
  <w:style w:type="paragraph" w:customStyle="1" w:styleId="xl73">
    <w:name w:val="xl73"/>
    <w:basedOn w:val="Normalny"/>
    <w:rsid w:val="00E14AE8"/>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4"/>
      <w:szCs w:val="14"/>
    </w:rPr>
  </w:style>
  <w:style w:type="paragraph" w:customStyle="1" w:styleId="xl74">
    <w:name w:val="xl74"/>
    <w:basedOn w:val="Normalny"/>
    <w:rsid w:val="00E14AE8"/>
    <w:pPr>
      <w:spacing w:before="100" w:beforeAutospacing="1" w:after="100" w:afterAutospacing="1" w:line="240" w:lineRule="auto"/>
      <w:textAlignment w:val="center"/>
    </w:pPr>
    <w:rPr>
      <w:rFonts w:ascii="Arial Narrow" w:eastAsia="Times New Roman" w:hAnsi="Arial Narrow" w:cs="Times New Roman"/>
      <w:sz w:val="14"/>
      <w:szCs w:val="14"/>
    </w:rPr>
  </w:style>
  <w:style w:type="paragraph" w:customStyle="1" w:styleId="xl75">
    <w:name w:val="xl75"/>
    <w:basedOn w:val="Normalny"/>
    <w:rsid w:val="00E14AE8"/>
    <w:pPr>
      <w:pBdr>
        <w:right w:val="single" w:sz="4" w:space="0" w:color="auto"/>
      </w:pBdr>
      <w:spacing w:before="100" w:beforeAutospacing="1" w:after="100" w:afterAutospacing="1" w:line="240" w:lineRule="auto"/>
      <w:textAlignment w:val="center"/>
    </w:pPr>
    <w:rPr>
      <w:rFonts w:ascii="Arial Narrow" w:eastAsia="Times New Roman" w:hAnsi="Arial Narrow" w:cs="Times New Roman"/>
      <w:sz w:val="14"/>
      <w:szCs w:val="14"/>
    </w:rPr>
  </w:style>
  <w:style w:type="paragraph" w:customStyle="1" w:styleId="xl76">
    <w:name w:val="xl76"/>
    <w:basedOn w:val="Normalny"/>
    <w:rsid w:val="00E14AE8"/>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77">
    <w:name w:val="xl77"/>
    <w:basedOn w:val="Normalny"/>
    <w:rsid w:val="00E14AE8"/>
    <w:pPr>
      <w:pBdr>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rPr>
  </w:style>
  <w:style w:type="paragraph" w:customStyle="1" w:styleId="xl78">
    <w:name w:val="xl78"/>
    <w:basedOn w:val="Normalny"/>
    <w:rsid w:val="00E14A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79">
    <w:name w:val="xl79"/>
    <w:basedOn w:val="Normalny"/>
    <w:rsid w:val="00E14AE8"/>
    <w:pPr>
      <w:spacing w:before="100" w:beforeAutospacing="1" w:after="100" w:afterAutospacing="1" w:line="240" w:lineRule="auto"/>
      <w:textAlignment w:val="center"/>
    </w:pPr>
    <w:rPr>
      <w:rFonts w:ascii="Arial Narrow" w:eastAsia="Times New Roman" w:hAnsi="Arial Narrow" w:cs="Times New Roman"/>
      <w:sz w:val="14"/>
      <w:szCs w:val="14"/>
    </w:rPr>
  </w:style>
  <w:style w:type="paragraph" w:customStyle="1" w:styleId="xl80">
    <w:name w:val="xl80"/>
    <w:basedOn w:val="Normalny"/>
    <w:rsid w:val="00E14AE8"/>
    <w:pPr>
      <w:pBdr>
        <w:right w:val="single" w:sz="4" w:space="0" w:color="auto"/>
      </w:pBdr>
      <w:spacing w:before="100" w:beforeAutospacing="1" w:after="100" w:afterAutospacing="1" w:line="240" w:lineRule="auto"/>
      <w:textAlignment w:val="center"/>
    </w:pPr>
    <w:rPr>
      <w:rFonts w:ascii="Arial Narrow" w:eastAsia="Times New Roman" w:hAnsi="Arial Narrow" w:cs="Times New Roman"/>
      <w:sz w:val="14"/>
      <w:szCs w:val="14"/>
    </w:rPr>
  </w:style>
  <w:style w:type="paragraph" w:customStyle="1" w:styleId="xl81">
    <w:name w:val="xl81"/>
    <w:basedOn w:val="Normalny"/>
    <w:rsid w:val="00E14AE8"/>
    <w:pPr>
      <w:pBdr>
        <w:right w:val="single" w:sz="4" w:space="0" w:color="auto"/>
      </w:pBdr>
      <w:shd w:val="clear" w:color="000000" w:fill="000000"/>
      <w:spacing w:before="100" w:beforeAutospacing="1" w:after="100" w:afterAutospacing="1" w:line="240" w:lineRule="auto"/>
      <w:jc w:val="center"/>
      <w:textAlignment w:val="center"/>
    </w:pPr>
    <w:rPr>
      <w:rFonts w:ascii="Arial Narrow" w:eastAsia="Times New Roman" w:hAnsi="Arial Narrow" w:cs="Times New Roman"/>
      <w:color w:val="FFFFFF"/>
      <w:sz w:val="14"/>
      <w:szCs w:val="14"/>
    </w:rPr>
  </w:style>
  <w:style w:type="paragraph" w:customStyle="1" w:styleId="xl82">
    <w:name w:val="xl82"/>
    <w:basedOn w:val="Normalny"/>
    <w:rsid w:val="00E14AE8"/>
    <w:pPr>
      <w:pBdr>
        <w:right w:val="single" w:sz="4" w:space="0" w:color="auto"/>
      </w:pBdr>
      <w:shd w:val="clear" w:color="000000" w:fill="000000"/>
      <w:spacing w:before="100" w:beforeAutospacing="1" w:after="100" w:afterAutospacing="1" w:line="240" w:lineRule="auto"/>
      <w:jc w:val="center"/>
      <w:textAlignment w:val="center"/>
    </w:pPr>
    <w:rPr>
      <w:rFonts w:ascii="Arial Narrow" w:eastAsia="Times New Roman" w:hAnsi="Arial Narrow" w:cs="Times New Roman"/>
      <w:color w:val="FFFFFF"/>
      <w:sz w:val="14"/>
      <w:szCs w:val="14"/>
    </w:rPr>
  </w:style>
  <w:style w:type="paragraph" w:customStyle="1" w:styleId="xl83">
    <w:name w:val="xl83"/>
    <w:basedOn w:val="Normalny"/>
    <w:rsid w:val="00E14AE8"/>
    <w:pPr>
      <w:pBdr>
        <w:right w:val="single" w:sz="4" w:space="0" w:color="auto"/>
      </w:pBdr>
      <w:shd w:val="clear" w:color="000000" w:fill="000000"/>
      <w:spacing w:before="100" w:beforeAutospacing="1" w:after="100" w:afterAutospacing="1" w:line="240" w:lineRule="auto"/>
      <w:jc w:val="center"/>
      <w:textAlignment w:val="center"/>
    </w:pPr>
    <w:rPr>
      <w:rFonts w:ascii="Arial Narrow" w:eastAsia="Times New Roman" w:hAnsi="Arial Narrow" w:cs="Times New Roman"/>
      <w:color w:val="FFFFFF"/>
      <w:sz w:val="14"/>
      <w:szCs w:val="14"/>
    </w:rPr>
  </w:style>
  <w:style w:type="paragraph" w:customStyle="1" w:styleId="xl84">
    <w:name w:val="xl84"/>
    <w:basedOn w:val="Normalny"/>
    <w:rsid w:val="00E14AE8"/>
    <w:pPr>
      <w:shd w:val="clear" w:color="000000" w:fill="000000"/>
      <w:spacing w:before="100" w:beforeAutospacing="1" w:after="100" w:afterAutospacing="1" w:line="240" w:lineRule="auto"/>
      <w:jc w:val="center"/>
      <w:textAlignment w:val="center"/>
    </w:pPr>
    <w:rPr>
      <w:rFonts w:ascii="Arial Narrow" w:eastAsia="Times New Roman" w:hAnsi="Arial Narrow" w:cs="Times New Roman"/>
      <w:color w:val="FFFFFF"/>
      <w:sz w:val="14"/>
      <w:szCs w:val="14"/>
    </w:rPr>
  </w:style>
  <w:style w:type="paragraph" w:customStyle="1" w:styleId="xl85">
    <w:name w:val="xl85"/>
    <w:basedOn w:val="Normalny"/>
    <w:rsid w:val="00E14AE8"/>
    <w:pPr>
      <w:pBdr>
        <w:right w:val="single" w:sz="4" w:space="0" w:color="auto"/>
      </w:pBdr>
      <w:shd w:val="clear" w:color="000000" w:fill="000000"/>
      <w:spacing w:before="100" w:beforeAutospacing="1" w:after="100" w:afterAutospacing="1" w:line="240" w:lineRule="auto"/>
      <w:jc w:val="center"/>
      <w:textAlignment w:val="center"/>
    </w:pPr>
    <w:rPr>
      <w:rFonts w:ascii="Arial Narrow" w:eastAsia="Times New Roman" w:hAnsi="Arial Narrow" w:cs="Times New Roman"/>
      <w:color w:val="FFFFFF"/>
      <w:sz w:val="14"/>
      <w:szCs w:val="14"/>
    </w:rPr>
  </w:style>
  <w:style w:type="paragraph" w:customStyle="1" w:styleId="xl86">
    <w:name w:val="xl86"/>
    <w:basedOn w:val="Normalny"/>
    <w:rsid w:val="00E14AE8"/>
    <w:pPr>
      <w:pBdr>
        <w:left w:val="single" w:sz="4" w:space="0" w:color="auto"/>
        <w:bottom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Narrow" w:eastAsia="Times New Roman" w:hAnsi="Arial Narrow" w:cs="Times New Roman"/>
      <w:color w:val="FFFFFF"/>
      <w:sz w:val="14"/>
      <w:szCs w:val="14"/>
    </w:rPr>
  </w:style>
  <w:style w:type="paragraph" w:customStyle="1" w:styleId="xl87">
    <w:name w:val="xl87"/>
    <w:basedOn w:val="Normalny"/>
    <w:rsid w:val="00E14AE8"/>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Narrow" w:eastAsia="Times New Roman" w:hAnsi="Arial Narrow" w:cs="Times New Roman"/>
      <w:b/>
      <w:bCs/>
      <w:color w:val="FFFFFF"/>
      <w:sz w:val="14"/>
      <w:szCs w:val="14"/>
    </w:rPr>
  </w:style>
  <w:style w:type="paragraph" w:customStyle="1" w:styleId="xl88">
    <w:name w:val="xl88"/>
    <w:basedOn w:val="Normalny"/>
    <w:rsid w:val="00E14AE8"/>
    <w:pPr>
      <w:pBdr>
        <w:left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89">
    <w:name w:val="xl89"/>
    <w:basedOn w:val="Normalny"/>
    <w:rsid w:val="00E14AE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rPr>
  </w:style>
  <w:style w:type="paragraph" w:customStyle="1" w:styleId="xl90">
    <w:name w:val="xl90"/>
    <w:basedOn w:val="Normalny"/>
    <w:rsid w:val="00E14AE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91">
    <w:name w:val="xl91"/>
    <w:basedOn w:val="Normalny"/>
    <w:rsid w:val="00E14AE8"/>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92">
    <w:name w:val="xl92"/>
    <w:basedOn w:val="Normalny"/>
    <w:rsid w:val="00E14AE8"/>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93">
    <w:name w:val="xl93"/>
    <w:basedOn w:val="Normalny"/>
    <w:rsid w:val="00E14AE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rPr>
  </w:style>
  <w:style w:type="paragraph" w:customStyle="1" w:styleId="xl94">
    <w:name w:val="xl94"/>
    <w:basedOn w:val="Normalny"/>
    <w:rsid w:val="00E14AE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14"/>
      <w:szCs w:val="14"/>
    </w:rPr>
  </w:style>
  <w:style w:type="paragraph" w:customStyle="1" w:styleId="xl95">
    <w:name w:val="xl95"/>
    <w:basedOn w:val="Normalny"/>
    <w:rsid w:val="00E14AE8"/>
    <w:pPr>
      <w:pBdr>
        <w:top w:val="single" w:sz="8" w:space="0" w:color="auto"/>
        <w:left w:val="single" w:sz="8" w:space="0" w:color="auto"/>
      </w:pBdr>
      <w:spacing w:before="100" w:beforeAutospacing="1" w:after="100" w:afterAutospacing="1" w:line="240" w:lineRule="auto"/>
      <w:jc w:val="right"/>
    </w:pPr>
    <w:rPr>
      <w:rFonts w:ascii="Arial Narrow" w:eastAsia="Times New Roman" w:hAnsi="Arial Narrow" w:cs="Times New Roman"/>
      <w:b/>
      <w:bCs/>
      <w:sz w:val="14"/>
      <w:szCs w:val="14"/>
    </w:rPr>
  </w:style>
  <w:style w:type="paragraph" w:customStyle="1" w:styleId="xl96">
    <w:name w:val="xl96"/>
    <w:basedOn w:val="Normalny"/>
    <w:rsid w:val="00E14AE8"/>
    <w:pPr>
      <w:pBdr>
        <w:top w:val="single" w:sz="8" w:space="0" w:color="auto"/>
        <w:lef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97">
    <w:name w:val="xl97"/>
    <w:basedOn w:val="Normalny"/>
    <w:rsid w:val="00E14AE8"/>
    <w:pPr>
      <w:pBdr>
        <w:top w:val="single" w:sz="8" w:space="0" w:color="auto"/>
        <w:left w:val="single" w:sz="4"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98">
    <w:name w:val="xl98"/>
    <w:basedOn w:val="Normalny"/>
    <w:rsid w:val="00E14AE8"/>
    <w:pPr>
      <w:pBdr>
        <w:top w:val="single" w:sz="8"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99">
    <w:name w:val="xl99"/>
    <w:basedOn w:val="Normalny"/>
    <w:rsid w:val="00E14AE8"/>
    <w:pPr>
      <w:pBdr>
        <w:top w:val="single" w:sz="8"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100">
    <w:name w:val="xl100"/>
    <w:basedOn w:val="Normalny"/>
    <w:rsid w:val="00E14AE8"/>
    <w:pPr>
      <w:pBdr>
        <w:top w:val="single" w:sz="8" w:space="0" w:color="auto"/>
        <w:lef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01">
    <w:name w:val="xl101"/>
    <w:basedOn w:val="Normalny"/>
    <w:rsid w:val="00E14AE8"/>
    <w:pPr>
      <w:pBdr>
        <w:top w:val="single" w:sz="8" w:space="0" w:color="auto"/>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02">
    <w:name w:val="xl102"/>
    <w:basedOn w:val="Normalny"/>
    <w:rsid w:val="00E14AE8"/>
    <w:pPr>
      <w:pBdr>
        <w:top w:val="single" w:sz="8" w:space="0" w:color="auto"/>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03">
    <w:name w:val="xl103"/>
    <w:basedOn w:val="Normalny"/>
    <w:rsid w:val="00E14AE8"/>
    <w:pPr>
      <w:pBdr>
        <w:top w:val="single" w:sz="8"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04">
    <w:name w:val="xl104"/>
    <w:basedOn w:val="Normalny"/>
    <w:rsid w:val="00E14AE8"/>
    <w:pPr>
      <w:pBdr>
        <w:top w:val="single" w:sz="8" w:space="0" w:color="auto"/>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05">
    <w:name w:val="xl105"/>
    <w:basedOn w:val="Normalny"/>
    <w:rsid w:val="00E14AE8"/>
    <w:pPr>
      <w:pBdr>
        <w:top w:val="single" w:sz="8" w:space="0" w:color="auto"/>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06">
    <w:name w:val="xl106"/>
    <w:basedOn w:val="Normalny"/>
    <w:rsid w:val="00E14AE8"/>
    <w:pPr>
      <w:pBdr>
        <w:top w:val="single" w:sz="8" w:space="0" w:color="auto"/>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14"/>
      <w:szCs w:val="14"/>
    </w:rPr>
  </w:style>
  <w:style w:type="paragraph" w:customStyle="1" w:styleId="xl107">
    <w:name w:val="xl107"/>
    <w:basedOn w:val="Normalny"/>
    <w:rsid w:val="00E14AE8"/>
    <w:pPr>
      <w:pBdr>
        <w:left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108">
    <w:name w:val="xl108"/>
    <w:basedOn w:val="Normalny"/>
    <w:rsid w:val="00E14AE8"/>
    <w:pPr>
      <w:pBdr>
        <w:left w:val="single" w:sz="8" w:space="0" w:color="auto"/>
      </w:pBdr>
      <w:spacing w:before="100" w:beforeAutospacing="1" w:after="100" w:afterAutospacing="1" w:line="240" w:lineRule="auto"/>
      <w:jc w:val="right"/>
    </w:pPr>
    <w:rPr>
      <w:rFonts w:ascii="Arial Narrow" w:eastAsia="Times New Roman" w:hAnsi="Arial Narrow" w:cs="Times New Roman"/>
      <w:b/>
      <w:bCs/>
      <w:sz w:val="14"/>
      <w:szCs w:val="14"/>
    </w:rPr>
  </w:style>
  <w:style w:type="paragraph" w:customStyle="1" w:styleId="xl109">
    <w:name w:val="xl109"/>
    <w:basedOn w:val="Normalny"/>
    <w:rsid w:val="00E14AE8"/>
    <w:pPr>
      <w:pBdr>
        <w:lef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10">
    <w:name w:val="xl110"/>
    <w:basedOn w:val="Normalny"/>
    <w:rsid w:val="00E14AE8"/>
    <w:pPr>
      <w:pBdr>
        <w:left w:val="single" w:sz="4"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111">
    <w:name w:val="xl111"/>
    <w:basedOn w:val="Normalny"/>
    <w:rsid w:val="00E14AE8"/>
    <w:pPr>
      <w:pBdr>
        <w:right w:val="single" w:sz="4"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112">
    <w:name w:val="xl112"/>
    <w:basedOn w:val="Normalny"/>
    <w:rsid w:val="00E14AE8"/>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113">
    <w:name w:val="xl113"/>
    <w:basedOn w:val="Normalny"/>
    <w:rsid w:val="00E14AE8"/>
    <w:pPr>
      <w:pBdr>
        <w:lef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14">
    <w:name w:val="xl114"/>
    <w:basedOn w:val="Normalny"/>
    <w:rsid w:val="00E14AE8"/>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15">
    <w:name w:val="xl115"/>
    <w:basedOn w:val="Normalny"/>
    <w:rsid w:val="00E14AE8"/>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16">
    <w:name w:val="xl116"/>
    <w:basedOn w:val="Normalny"/>
    <w:rsid w:val="00E14AE8"/>
    <w:pPr>
      <w:pBdr>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17">
    <w:name w:val="xl117"/>
    <w:basedOn w:val="Normalny"/>
    <w:rsid w:val="00E14AE8"/>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18">
    <w:name w:val="xl118"/>
    <w:basedOn w:val="Normalny"/>
    <w:rsid w:val="00E14AE8"/>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19">
    <w:name w:val="xl119"/>
    <w:basedOn w:val="Normalny"/>
    <w:rsid w:val="00E14AE8"/>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14"/>
      <w:szCs w:val="14"/>
    </w:rPr>
  </w:style>
  <w:style w:type="paragraph" w:customStyle="1" w:styleId="xl120">
    <w:name w:val="xl120"/>
    <w:basedOn w:val="Normalny"/>
    <w:rsid w:val="00E14AE8"/>
    <w:pPr>
      <w:pBdr>
        <w:left w:val="single" w:sz="8"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14"/>
      <w:szCs w:val="14"/>
    </w:rPr>
  </w:style>
  <w:style w:type="paragraph" w:customStyle="1" w:styleId="xl121">
    <w:name w:val="xl121"/>
    <w:basedOn w:val="Normalny"/>
    <w:rsid w:val="00E14AE8"/>
    <w:pPr>
      <w:pBdr>
        <w:left w:val="single" w:sz="8" w:space="0" w:color="auto"/>
        <w:bottom w:val="single" w:sz="8"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14"/>
      <w:szCs w:val="14"/>
    </w:rPr>
  </w:style>
  <w:style w:type="paragraph" w:customStyle="1" w:styleId="xl122">
    <w:name w:val="xl122"/>
    <w:basedOn w:val="Normalny"/>
    <w:rsid w:val="00E14AE8"/>
    <w:pPr>
      <w:pBdr>
        <w:left w:val="single" w:sz="4" w:space="0" w:color="auto"/>
        <w:bottom w:val="single" w:sz="8"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23">
    <w:name w:val="xl123"/>
    <w:basedOn w:val="Normalny"/>
    <w:rsid w:val="00E14AE8"/>
    <w:pPr>
      <w:pBdr>
        <w:left w:val="single" w:sz="4" w:space="0" w:color="auto"/>
        <w:bottom w:val="single" w:sz="8"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124">
    <w:name w:val="xl124"/>
    <w:basedOn w:val="Normalny"/>
    <w:rsid w:val="00E14AE8"/>
    <w:pPr>
      <w:pBdr>
        <w:bottom w:val="single" w:sz="8"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125">
    <w:name w:val="xl125"/>
    <w:basedOn w:val="Normalny"/>
    <w:rsid w:val="00E14AE8"/>
    <w:pPr>
      <w:pBdr>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126">
    <w:name w:val="xl126"/>
    <w:basedOn w:val="Normalny"/>
    <w:rsid w:val="00E14AE8"/>
    <w:pPr>
      <w:pBdr>
        <w:left w:val="single" w:sz="4" w:space="0" w:color="auto"/>
        <w:bottom w:val="single" w:sz="8"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27">
    <w:name w:val="xl127"/>
    <w:basedOn w:val="Normalny"/>
    <w:rsid w:val="00E14AE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28">
    <w:name w:val="xl128"/>
    <w:basedOn w:val="Normalny"/>
    <w:rsid w:val="00E14AE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29">
    <w:name w:val="xl129"/>
    <w:basedOn w:val="Normalny"/>
    <w:rsid w:val="00E14AE8"/>
    <w:pPr>
      <w:pBdr>
        <w:bottom w:val="single" w:sz="8"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30">
    <w:name w:val="xl130"/>
    <w:basedOn w:val="Normalny"/>
    <w:rsid w:val="00E14AE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31">
    <w:name w:val="xl131"/>
    <w:basedOn w:val="Normalny"/>
    <w:rsid w:val="00E14AE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4"/>
      <w:szCs w:val="14"/>
    </w:rPr>
  </w:style>
  <w:style w:type="paragraph" w:customStyle="1" w:styleId="xl132">
    <w:name w:val="xl132"/>
    <w:basedOn w:val="Normalny"/>
    <w:rsid w:val="00E14AE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14"/>
      <w:szCs w:val="14"/>
    </w:rPr>
  </w:style>
  <w:style w:type="paragraph" w:customStyle="1" w:styleId="xl133">
    <w:name w:val="xl133"/>
    <w:basedOn w:val="Normalny"/>
    <w:rsid w:val="00E14AE8"/>
    <w:pPr>
      <w:pBdr>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14"/>
      <w:szCs w:val="14"/>
    </w:rPr>
  </w:style>
  <w:style w:type="paragraph" w:customStyle="1" w:styleId="xl134">
    <w:name w:val="xl134"/>
    <w:basedOn w:val="Normalny"/>
    <w:rsid w:val="00E14AE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35">
    <w:name w:val="xl135"/>
    <w:basedOn w:val="Normalny"/>
    <w:rsid w:val="00E14AE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36">
    <w:name w:val="xl136"/>
    <w:basedOn w:val="Normalny"/>
    <w:rsid w:val="00E14A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37">
    <w:name w:val="xl137"/>
    <w:basedOn w:val="Normalny"/>
    <w:rsid w:val="00E14AE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rPr>
  </w:style>
  <w:style w:type="paragraph" w:customStyle="1" w:styleId="xl138">
    <w:name w:val="xl138"/>
    <w:basedOn w:val="Normalny"/>
    <w:rsid w:val="00E14AE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rPr>
  </w:style>
  <w:style w:type="paragraph" w:customStyle="1" w:styleId="xl139">
    <w:name w:val="xl139"/>
    <w:basedOn w:val="Normalny"/>
    <w:rsid w:val="00E14A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rPr>
  </w:style>
  <w:style w:type="paragraph" w:customStyle="1" w:styleId="xl140">
    <w:name w:val="xl140"/>
    <w:basedOn w:val="Normalny"/>
    <w:rsid w:val="00E14AE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41">
    <w:name w:val="xl141"/>
    <w:basedOn w:val="Normalny"/>
    <w:rsid w:val="00E14AE8"/>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42">
    <w:name w:val="xl142"/>
    <w:basedOn w:val="Normalny"/>
    <w:rsid w:val="00E14AE8"/>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43">
    <w:name w:val="xl143"/>
    <w:basedOn w:val="Normalny"/>
    <w:rsid w:val="00E14AE8"/>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44">
    <w:name w:val="xl144"/>
    <w:basedOn w:val="Normalny"/>
    <w:rsid w:val="00E14AE8"/>
    <w:pPr>
      <w:pBdr>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45">
    <w:name w:val="xl145"/>
    <w:basedOn w:val="Normalny"/>
    <w:rsid w:val="00E14AE8"/>
    <w:pPr>
      <w:pBdr>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46">
    <w:name w:val="xl146"/>
    <w:basedOn w:val="Normalny"/>
    <w:rsid w:val="00E14AE8"/>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47">
    <w:name w:val="xl147"/>
    <w:basedOn w:val="Normalny"/>
    <w:rsid w:val="00E14AE8"/>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48">
    <w:name w:val="xl148"/>
    <w:basedOn w:val="Normalny"/>
    <w:rsid w:val="00E14AE8"/>
    <w:pPr>
      <w:pBdr>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49">
    <w:name w:val="xl149"/>
    <w:basedOn w:val="Normalny"/>
    <w:rsid w:val="00E14AE8"/>
    <w:pPr>
      <w:pBdr>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50">
    <w:name w:val="xl150"/>
    <w:basedOn w:val="Normalny"/>
    <w:rsid w:val="00E14AE8"/>
    <w:pPr>
      <w:pBdr>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51">
    <w:name w:val="xl151"/>
    <w:basedOn w:val="Normalny"/>
    <w:rsid w:val="00E14A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52">
    <w:name w:val="xl152"/>
    <w:basedOn w:val="Normalny"/>
    <w:rsid w:val="00E14AE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53">
    <w:name w:val="xl153"/>
    <w:basedOn w:val="Normalny"/>
    <w:rsid w:val="00E14AE8"/>
    <w:pPr>
      <w:pBdr>
        <w:top w:val="single" w:sz="8"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54">
    <w:name w:val="xl154"/>
    <w:basedOn w:val="Normalny"/>
    <w:rsid w:val="00E14AE8"/>
    <w:pPr>
      <w:pBdr>
        <w:top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55">
    <w:name w:val="xl155"/>
    <w:basedOn w:val="Normalny"/>
    <w:rsid w:val="00E14AE8"/>
    <w:pPr>
      <w:pBdr>
        <w:top w:val="single" w:sz="8"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56">
    <w:name w:val="xl156"/>
    <w:basedOn w:val="Normalny"/>
    <w:rsid w:val="00E14AE8"/>
    <w:pPr>
      <w:pBdr>
        <w:top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57">
    <w:name w:val="xl157"/>
    <w:basedOn w:val="Normalny"/>
    <w:rsid w:val="00E14AE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58">
    <w:name w:val="xl158"/>
    <w:basedOn w:val="Normalny"/>
    <w:rsid w:val="00E14AE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59">
    <w:name w:val="xl159"/>
    <w:basedOn w:val="Normalny"/>
    <w:rsid w:val="00E14AE8"/>
    <w:pPr>
      <w:pBdr>
        <w:top w:val="single" w:sz="8"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60">
    <w:name w:val="xl160"/>
    <w:basedOn w:val="Normalny"/>
    <w:rsid w:val="00E14AE8"/>
    <w:pPr>
      <w:pBdr>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61">
    <w:name w:val="xl161"/>
    <w:basedOn w:val="Normalny"/>
    <w:rsid w:val="00E14AE8"/>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62">
    <w:name w:val="xl162"/>
    <w:basedOn w:val="Normalny"/>
    <w:rsid w:val="00E14AE8"/>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rPr>
  </w:style>
  <w:style w:type="paragraph" w:customStyle="1" w:styleId="xl163">
    <w:name w:val="xl163"/>
    <w:basedOn w:val="Normalny"/>
    <w:rsid w:val="00E14AE8"/>
    <w:pPr>
      <w:pBdr>
        <w:top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rPr>
  </w:style>
  <w:style w:type="paragraph" w:customStyle="1" w:styleId="xl164">
    <w:name w:val="xl164"/>
    <w:basedOn w:val="Normalny"/>
    <w:rsid w:val="00E14AE8"/>
    <w:pPr>
      <w:pBdr>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rPr>
  </w:style>
  <w:style w:type="paragraph" w:customStyle="1" w:styleId="xl165">
    <w:name w:val="xl165"/>
    <w:basedOn w:val="Normalny"/>
    <w:rsid w:val="00E14AE8"/>
    <w:pPr>
      <w:pBdr>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rPr>
  </w:style>
  <w:style w:type="paragraph" w:customStyle="1" w:styleId="xl166">
    <w:name w:val="xl166"/>
    <w:basedOn w:val="Normalny"/>
    <w:rsid w:val="00E14AE8"/>
    <w:pPr>
      <w:pBdr>
        <w:top w:val="single" w:sz="8"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67">
    <w:name w:val="xl167"/>
    <w:basedOn w:val="Normalny"/>
    <w:rsid w:val="00E14AE8"/>
    <w:pPr>
      <w:pBdr>
        <w:top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68">
    <w:name w:val="xl168"/>
    <w:basedOn w:val="Normalny"/>
    <w:rsid w:val="00E14AE8"/>
    <w:pPr>
      <w:pBdr>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69">
    <w:name w:val="xl169"/>
    <w:basedOn w:val="Normalny"/>
    <w:rsid w:val="00E14AE8"/>
    <w:pPr>
      <w:pBdr>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70">
    <w:name w:val="xl170"/>
    <w:basedOn w:val="Normalny"/>
    <w:rsid w:val="00E14AE8"/>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71">
    <w:name w:val="xl171"/>
    <w:basedOn w:val="Normalny"/>
    <w:rsid w:val="00E14AE8"/>
    <w:pPr>
      <w:pBdr>
        <w:top w:val="single" w:sz="8"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72">
    <w:name w:val="xl172"/>
    <w:basedOn w:val="Normalny"/>
    <w:rsid w:val="00E14AE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73">
    <w:name w:val="xl173"/>
    <w:basedOn w:val="Normalny"/>
    <w:rsid w:val="00E14AE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74">
    <w:name w:val="xl174"/>
    <w:basedOn w:val="Normalny"/>
    <w:rsid w:val="00E14AE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 w:type="paragraph" w:customStyle="1" w:styleId="xl175">
    <w:name w:val="xl175"/>
    <w:basedOn w:val="Normalny"/>
    <w:rsid w:val="00E14AE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8287">
      <w:bodyDiv w:val="1"/>
      <w:marLeft w:val="0"/>
      <w:marRight w:val="0"/>
      <w:marTop w:val="0"/>
      <w:marBottom w:val="0"/>
      <w:divBdr>
        <w:top w:val="none" w:sz="0" w:space="0" w:color="auto"/>
        <w:left w:val="none" w:sz="0" w:space="0" w:color="auto"/>
        <w:bottom w:val="none" w:sz="0" w:space="0" w:color="auto"/>
        <w:right w:val="none" w:sz="0" w:space="0" w:color="auto"/>
      </w:divBdr>
    </w:div>
    <w:div w:id="336621392">
      <w:bodyDiv w:val="1"/>
      <w:marLeft w:val="0"/>
      <w:marRight w:val="0"/>
      <w:marTop w:val="0"/>
      <w:marBottom w:val="0"/>
      <w:divBdr>
        <w:top w:val="none" w:sz="0" w:space="0" w:color="auto"/>
        <w:left w:val="none" w:sz="0" w:space="0" w:color="auto"/>
        <w:bottom w:val="none" w:sz="0" w:space="0" w:color="auto"/>
        <w:right w:val="none" w:sz="0" w:space="0" w:color="auto"/>
      </w:divBdr>
    </w:div>
    <w:div w:id="352153218">
      <w:bodyDiv w:val="1"/>
      <w:marLeft w:val="0"/>
      <w:marRight w:val="0"/>
      <w:marTop w:val="0"/>
      <w:marBottom w:val="0"/>
      <w:divBdr>
        <w:top w:val="none" w:sz="0" w:space="0" w:color="auto"/>
        <w:left w:val="none" w:sz="0" w:space="0" w:color="auto"/>
        <w:bottom w:val="none" w:sz="0" w:space="0" w:color="auto"/>
        <w:right w:val="none" w:sz="0" w:space="0" w:color="auto"/>
      </w:divBdr>
    </w:div>
    <w:div w:id="772020202">
      <w:bodyDiv w:val="1"/>
      <w:marLeft w:val="0"/>
      <w:marRight w:val="0"/>
      <w:marTop w:val="0"/>
      <w:marBottom w:val="0"/>
      <w:divBdr>
        <w:top w:val="none" w:sz="0" w:space="0" w:color="auto"/>
        <w:left w:val="none" w:sz="0" w:space="0" w:color="auto"/>
        <w:bottom w:val="none" w:sz="0" w:space="0" w:color="auto"/>
        <w:right w:val="none" w:sz="0" w:space="0" w:color="auto"/>
      </w:divBdr>
    </w:div>
    <w:div w:id="918179439">
      <w:bodyDiv w:val="1"/>
      <w:marLeft w:val="0"/>
      <w:marRight w:val="0"/>
      <w:marTop w:val="0"/>
      <w:marBottom w:val="0"/>
      <w:divBdr>
        <w:top w:val="none" w:sz="0" w:space="0" w:color="auto"/>
        <w:left w:val="none" w:sz="0" w:space="0" w:color="auto"/>
        <w:bottom w:val="none" w:sz="0" w:space="0" w:color="auto"/>
        <w:right w:val="none" w:sz="0" w:space="0" w:color="auto"/>
      </w:divBdr>
    </w:div>
    <w:div w:id="213721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50623441396721E-2"/>
          <c:y val="4.1237113402061862E-2"/>
          <c:w val="0.90274314214463824"/>
          <c:h val="0.64948453608247514"/>
        </c:manualLayout>
      </c:layout>
      <c:lineChart>
        <c:grouping val="standard"/>
        <c:varyColors val="0"/>
        <c:ser>
          <c:idx val="0"/>
          <c:order val="0"/>
          <c:tx>
            <c:strRef>
              <c:f>Sheet1!$B$1</c:f>
              <c:strCache>
                <c:ptCount val="1"/>
                <c:pt idx="0">
                  <c:v>Sto</c:v>
                </c:pt>
              </c:strCache>
            </c:strRef>
          </c:tx>
          <c:spPr>
            <a:ln w="25425">
              <a:solidFill>
                <a:srgbClr val="000000"/>
              </a:solidFill>
              <a:prstDash val="solid"/>
            </a:ln>
          </c:spPr>
          <c:marker>
            <c:symbol val="none"/>
          </c:marker>
          <c:cat>
            <c:strRef>
              <c:f>Sheet1!$A$2:$A$26</c:f>
              <c:strCache>
                <c:ptCount val="25"/>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strCache>
            </c:strRef>
          </c:cat>
          <c:val>
            <c:numRef>
              <c:f>Sheet1!$B$2:$B$26</c:f>
              <c:numCache>
                <c:formatCode>General</c:formatCode>
                <c:ptCount val="25"/>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numCache>
            </c:numRef>
          </c:val>
          <c:smooth val="1"/>
        </c:ser>
        <c:ser>
          <c:idx val="1"/>
          <c:order val="1"/>
          <c:tx>
            <c:strRef>
              <c:f>Sheet1!$C$1</c:f>
              <c:strCache>
                <c:ptCount val="1"/>
                <c:pt idx="0">
                  <c:v>Potencjalny popyt</c:v>
                </c:pt>
              </c:strCache>
            </c:strRef>
          </c:tx>
          <c:spPr>
            <a:ln w="25425">
              <a:solidFill>
                <a:srgbClr val="00FF00"/>
              </a:solidFill>
              <a:prstDash val="solid"/>
            </a:ln>
          </c:spPr>
          <c:marker>
            <c:symbol val="none"/>
          </c:marker>
          <c:cat>
            <c:strRef>
              <c:f>Sheet1!$A$2:$A$26</c:f>
              <c:strCache>
                <c:ptCount val="25"/>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strCache>
            </c:strRef>
          </c:cat>
          <c:val>
            <c:numRef>
              <c:f>Sheet1!$C$2:$C$26</c:f>
              <c:numCache>
                <c:formatCode>General</c:formatCode>
                <c:ptCount val="25"/>
                <c:pt idx="0">
                  <c:v>100.4</c:v>
                </c:pt>
                <c:pt idx="1">
                  <c:v>99.3</c:v>
                </c:pt>
                <c:pt idx="2">
                  <c:v>99.1</c:v>
                </c:pt>
                <c:pt idx="3">
                  <c:v>100</c:v>
                </c:pt>
                <c:pt idx="4">
                  <c:v>99.6</c:v>
                </c:pt>
                <c:pt idx="5">
                  <c:v>99.6</c:v>
                </c:pt>
                <c:pt idx="6">
                  <c:v>99.6</c:v>
                </c:pt>
                <c:pt idx="7">
                  <c:v>100.5</c:v>
                </c:pt>
                <c:pt idx="8">
                  <c:v>100.4</c:v>
                </c:pt>
                <c:pt idx="9">
                  <c:v>100.2</c:v>
                </c:pt>
                <c:pt idx="10">
                  <c:v>100.6</c:v>
                </c:pt>
                <c:pt idx="11">
                  <c:v>100.6</c:v>
                </c:pt>
                <c:pt idx="12">
                  <c:v>101.1</c:v>
                </c:pt>
                <c:pt idx="13">
                  <c:v>100</c:v>
                </c:pt>
                <c:pt idx="14">
                  <c:v>100.4</c:v>
                </c:pt>
                <c:pt idx="15">
                  <c:v>101.4</c:v>
                </c:pt>
                <c:pt idx="16">
                  <c:v>99.7</c:v>
                </c:pt>
                <c:pt idx="17">
                  <c:v>100</c:v>
                </c:pt>
                <c:pt idx="18">
                  <c:v>99.8</c:v>
                </c:pt>
                <c:pt idx="19">
                  <c:v>101.2</c:v>
                </c:pt>
                <c:pt idx="20">
                  <c:v>101</c:v>
                </c:pt>
                <c:pt idx="21">
                  <c:v>99.7</c:v>
                </c:pt>
                <c:pt idx="22">
                  <c:v>101.1</c:v>
                </c:pt>
                <c:pt idx="23">
                  <c:v>101.1</c:v>
                </c:pt>
                <c:pt idx="24">
                  <c:v>101.2</c:v>
                </c:pt>
              </c:numCache>
            </c:numRef>
          </c:val>
          <c:smooth val="1"/>
        </c:ser>
        <c:ser>
          <c:idx val="2"/>
          <c:order val="2"/>
          <c:tx>
            <c:strRef>
              <c:f>Sheet1!$D$1</c:f>
              <c:strCache>
                <c:ptCount val="1"/>
                <c:pt idx="0">
                  <c:v>Nożyce cen</c:v>
                </c:pt>
              </c:strCache>
            </c:strRef>
          </c:tx>
          <c:spPr>
            <a:ln w="25425">
              <a:solidFill>
                <a:srgbClr val="FF0000"/>
              </a:solidFill>
              <a:prstDash val="solid"/>
            </a:ln>
          </c:spPr>
          <c:marker>
            <c:symbol val="none"/>
          </c:marker>
          <c:cat>
            <c:strRef>
              <c:f>Sheet1!$A$2:$A$26</c:f>
              <c:strCache>
                <c:ptCount val="25"/>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strCache>
            </c:strRef>
          </c:cat>
          <c:val>
            <c:numRef>
              <c:f>Sheet1!$D$2:$D$26</c:f>
              <c:numCache>
                <c:formatCode>General</c:formatCode>
                <c:ptCount val="25"/>
                <c:pt idx="0">
                  <c:v>100.5</c:v>
                </c:pt>
                <c:pt idx="1">
                  <c:v>100.1</c:v>
                </c:pt>
                <c:pt idx="2">
                  <c:v>100.2</c:v>
                </c:pt>
                <c:pt idx="3">
                  <c:v>100.1</c:v>
                </c:pt>
                <c:pt idx="4">
                  <c:v>100.1</c:v>
                </c:pt>
                <c:pt idx="5">
                  <c:v>99.7</c:v>
                </c:pt>
                <c:pt idx="6">
                  <c:v>99.6</c:v>
                </c:pt>
                <c:pt idx="7">
                  <c:v>99.7</c:v>
                </c:pt>
                <c:pt idx="8">
                  <c:v>99.6</c:v>
                </c:pt>
                <c:pt idx="9">
                  <c:v>98.9</c:v>
                </c:pt>
                <c:pt idx="10">
                  <c:v>98.5</c:v>
                </c:pt>
                <c:pt idx="11">
                  <c:v>98.7</c:v>
                </c:pt>
                <c:pt idx="12">
                  <c:v>98.6</c:v>
                </c:pt>
                <c:pt idx="13">
                  <c:v>98.7</c:v>
                </c:pt>
                <c:pt idx="14">
                  <c:v>99.1</c:v>
                </c:pt>
                <c:pt idx="15">
                  <c:v>99.7</c:v>
                </c:pt>
                <c:pt idx="16">
                  <c:v>99.6</c:v>
                </c:pt>
                <c:pt idx="17">
                  <c:v>99.4</c:v>
                </c:pt>
                <c:pt idx="18">
                  <c:v>99.7</c:v>
                </c:pt>
                <c:pt idx="19">
                  <c:v>99.7</c:v>
                </c:pt>
                <c:pt idx="20">
                  <c:v>99.4</c:v>
                </c:pt>
                <c:pt idx="21">
                  <c:v>99.4</c:v>
                </c:pt>
                <c:pt idx="22">
                  <c:v>99.8</c:v>
                </c:pt>
                <c:pt idx="23">
                  <c:v>99.8</c:v>
                </c:pt>
                <c:pt idx="24">
                  <c:v>99.5</c:v>
                </c:pt>
              </c:numCache>
            </c:numRef>
          </c:val>
          <c:smooth val="1"/>
        </c:ser>
        <c:ser>
          <c:idx val="3"/>
          <c:order val="3"/>
          <c:tx>
            <c:strRef>
              <c:f>Sheet1!$E$1</c:f>
              <c:strCache>
                <c:ptCount val="1"/>
                <c:pt idx="0">
                  <c:v>SWKR</c:v>
                </c:pt>
              </c:strCache>
            </c:strRef>
          </c:tx>
          <c:spPr>
            <a:ln w="25425">
              <a:solidFill>
                <a:srgbClr val="0000FF"/>
              </a:solidFill>
              <a:prstDash val="solid"/>
            </a:ln>
          </c:spPr>
          <c:marker>
            <c:symbol val="none"/>
          </c:marker>
          <c:cat>
            <c:strRef>
              <c:f>Sheet1!$A$2:$A$26</c:f>
              <c:strCache>
                <c:ptCount val="25"/>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strCache>
            </c:strRef>
          </c:cat>
          <c:val>
            <c:numRef>
              <c:f>Sheet1!$E$2:$E$26</c:f>
              <c:numCache>
                <c:formatCode>General</c:formatCode>
                <c:ptCount val="25"/>
                <c:pt idx="0">
                  <c:v>100.5</c:v>
                </c:pt>
                <c:pt idx="1">
                  <c:v>99.7</c:v>
                </c:pt>
                <c:pt idx="2">
                  <c:v>99.7</c:v>
                </c:pt>
                <c:pt idx="3">
                  <c:v>100</c:v>
                </c:pt>
                <c:pt idx="4">
                  <c:v>99.9</c:v>
                </c:pt>
                <c:pt idx="5">
                  <c:v>99.6</c:v>
                </c:pt>
                <c:pt idx="6">
                  <c:v>99.6</c:v>
                </c:pt>
                <c:pt idx="7">
                  <c:v>100.1</c:v>
                </c:pt>
                <c:pt idx="8">
                  <c:v>100</c:v>
                </c:pt>
                <c:pt idx="9">
                  <c:v>99.6</c:v>
                </c:pt>
                <c:pt idx="10">
                  <c:v>99.6</c:v>
                </c:pt>
                <c:pt idx="11">
                  <c:v>99.7</c:v>
                </c:pt>
                <c:pt idx="12">
                  <c:v>99.8</c:v>
                </c:pt>
                <c:pt idx="13">
                  <c:v>99.3</c:v>
                </c:pt>
                <c:pt idx="14">
                  <c:v>99.8</c:v>
                </c:pt>
                <c:pt idx="15">
                  <c:v>100.5</c:v>
                </c:pt>
                <c:pt idx="16">
                  <c:v>99.7</c:v>
                </c:pt>
                <c:pt idx="17">
                  <c:v>99.7</c:v>
                </c:pt>
                <c:pt idx="18">
                  <c:v>99.8</c:v>
                </c:pt>
                <c:pt idx="19">
                  <c:v>100.4</c:v>
                </c:pt>
                <c:pt idx="20">
                  <c:v>100.2</c:v>
                </c:pt>
                <c:pt idx="21">
                  <c:v>99.6</c:v>
                </c:pt>
                <c:pt idx="22">
                  <c:v>100.4</c:v>
                </c:pt>
                <c:pt idx="23">
                  <c:v>100.4</c:v>
                </c:pt>
                <c:pt idx="24">
                  <c:v>100.3</c:v>
                </c:pt>
              </c:numCache>
            </c:numRef>
          </c:val>
          <c:smooth val="1"/>
        </c:ser>
        <c:dLbls>
          <c:showLegendKey val="0"/>
          <c:showVal val="0"/>
          <c:showCatName val="0"/>
          <c:showSerName val="0"/>
          <c:showPercent val="0"/>
          <c:showBubbleSize val="0"/>
        </c:dLbls>
        <c:marker val="1"/>
        <c:smooth val="0"/>
        <c:axId val="44289408"/>
        <c:axId val="44307584"/>
      </c:lineChart>
      <c:catAx>
        <c:axId val="44289408"/>
        <c:scaling>
          <c:orientation val="minMax"/>
        </c:scaling>
        <c:delete val="0"/>
        <c:axPos val="b"/>
        <c:numFmt formatCode="General" sourceLinked="1"/>
        <c:majorTickMark val="out"/>
        <c:minorTickMark val="none"/>
        <c:tickLblPos val="nextTo"/>
        <c:spPr>
          <a:ln w="3178">
            <a:solidFill>
              <a:srgbClr val="000000"/>
            </a:solidFill>
            <a:prstDash val="solid"/>
          </a:ln>
        </c:spPr>
        <c:txPr>
          <a:bodyPr rot="0" vert="horz"/>
          <a:lstStyle/>
          <a:p>
            <a:pPr>
              <a:defRPr sz="801" b="1" i="0" u="none" strike="noStrike" baseline="0">
                <a:solidFill>
                  <a:srgbClr val="000000"/>
                </a:solidFill>
                <a:latin typeface="Arial"/>
                <a:ea typeface="Arial"/>
                <a:cs typeface="Arial"/>
              </a:defRPr>
            </a:pPr>
            <a:endParaRPr lang="pl-PL"/>
          </a:p>
        </c:txPr>
        <c:crossAx val="44307584"/>
        <c:crosses val="autoZero"/>
        <c:auto val="1"/>
        <c:lblAlgn val="ctr"/>
        <c:lblOffset val="100"/>
        <c:tickLblSkip val="2"/>
        <c:tickMarkSkip val="2"/>
        <c:noMultiLvlLbl val="0"/>
      </c:catAx>
      <c:valAx>
        <c:axId val="44307584"/>
        <c:scaling>
          <c:orientation val="minMax"/>
          <c:max val="103"/>
          <c:min val="98"/>
        </c:scaling>
        <c:delete val="0"/>
        <c:axPos val="l"/>
        <c:numFmt formatCode="General" sourceLinked="1"/>
        <c:majorTickMark val="out"/>
        <c:minorTickMark val="none"/>
        <c:tickLblPos val="nextTo"/>
        <c:spPr>
          <a:ln w="3178">
            <a:solidFill>
              <a:srgbClr val="000000"/>
            </a:solidFill>
            <a:prstDash val="solid"/>
          </a:ln>
        </c:spPr>
        <c:txPr>
          <a:bodyPr rot="0" vert="horz"/>
          <a:lstStyle/>
          <a:p>
            <a:pPr>
              <a:defRPr sz="801" b="1" i="0" u="none" strike="noStrike" baseline="0">
                <a:solidFill>
                  <a:srgbClr val="000000"/>
                </a:solidFill>
                <a:latin typeface="Arial"/>
                <a:ea typeface="Arial"/>
                <a:cs typeface="Arial"/>
              </a:defRPr>
            </a:pPr>
            <a:endParaRPr lang="pl-PL"/>
          </a:p>
        </c:txPr>
        <c:crossAx val="44289408"/>
        <c:crosses val="autoZero"/>
        <c:crossBetween val="between"/>
        <c:majorUnit val="1"/>
      </c:valAx>
      <c:spPr>
        <a:noFill/>
        <a:ln w="25425">
          <a:noFill/>
        </a:ln>
      </c:spPr>
    </c:plotArea>
    <c:legend>
      <c:legendPos val="b"/>
      <c:layout>
        <c:manualLayout>
          <c:xMode val="edge"/>
          <c:yMode val="edge"/>
          <c:x val="8.4788029925187067E-2"/>
          <c:y val="0.86254295532646053"/>
          <c:w val="0.91521197007481281"/>
          <c:h val="0.13058419243986269"/>
        </c:manualLayout>
      </c:layout>
      <c:overlay val="0"/>
      <c:spPr>
        <a:noFill/>
        <a:ln w="25425">
          <a:noFill/>
        </a:ln>
      </c:spPr>
      <c:txPr>
        <a:bodyPr/>
        <a:lstStyle/>
        <a:p>
          <a:pPr>
            <a:defRPr sz="736"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851" b="1" i="0" u="none" strike="noStrike" baseline="0">
          <a:solidFill>
            <a:srgbClr val="000000"/>
          </a:solidFill>
          <a:latin typeface="Arial"/>
          <a:ea typeface="Arial"/>
          <a:cs typeface="Arial"/>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771144278607E-2"/>
          <c:y val="4.1237113402061855E-2"/>
          <c:w val="0.90796019900497449"/>
          <c:h val="0.65979381443299112"/>
        </c:manualLayout>
      </c:layout>
      <c:lineChart>
        <c:grouping val="standard"/>
        <c:varyColors val="0"/>
        <c:ser>
          <c:idx val="1"/>
          <c:order val="0"/>
          <c:tx>
            <c:strRef>
              <c:f>Sheet1!$B$1</c:f>
              <c:strCache>
                <c:ptCount val="1"/>
                <c:pt idx="0">
                  <c:v>Sto</c:v>
                </c:pt>
              </c:strCache>
            </c:strRef>
          </c:tx>
          <c:spPr>
            <a:ln w="25404">
              <a:solidFill>
                <a:srgbClr val="000000"/>
              </a:solidFill>
              <a:prstDash val="solid"/>
            </a:ln>
          </c:spPr>
          <c:marker>
            <c:symbol val="none"/>
          </c:marker>
          <c:cat>
            <c:strRef>
              <c:f>Sheet1!$A$2:$A$26</c:f>
              <c:strCache>
                <c:ptCount val="25"/>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strCache>
            </c:strRef>
          </c:cat>
          <c:val>
            <c:numRef>
              <c:f>Sheet1!$B$2:$B$26</c:f>
              <c:numCache>
                <c:formatCode>General</c:formatCode>
                <c:ptCount val="25"/>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numCache>
            </c:numRef>
          </c:val>
          <c:smooth val="1"/>
        </c:ser>
        <c:ser>
          <c:idx val="2"/>
          <c:order val="1"/>
          <c:tx>
            <c:strRef>
              <c:f>Sheet1!$C$1</c:f>
              <c:strCache>
                <c:ptCount val="1"/>
                <c:pt idx="0">
                  <c:v>Inflacja</c:v>
                </c:pt>
              </c:strCache>
            </c:strRef>
          </c:tx>
          <c:spPr>
            <a:ln w="25404">
              <a:solidFill>
                <a:srgbClr val="FF0000"/>
              </a:solidFill>
              <a:prstDash val="solid"/>
            </a:ln>
          </c:spPr>
          <c:marker>
            <c:symbol val="none"/>
          </c:marker>
          <c:cat>
            <c:strRef>
              <c:f>Sheet1!$A$2:$A$26</c:f>
              <c:strCache>
                <c:ptCount val="25"/>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strCache>
            </c:strRef>
          </c:cat>
          <c:val>
            <c:numRef>
              <c:f>Sheet1!$C$2:$C$26</c:f>
              <c:numCache>
                <c:formatCode>General</c:formatCode>
                <c:ptCount val="25"/>
                <c:pt idx="0">
                  <c:v>100.5</c:v>
                </c:pt>
                <c:pt idx="1">
                  <c:v>100.5</c:v>
                </c:pt>
                <c:pt idx="2">
                  <c:v>100.6</c:v>
                </c:pt>
                <c:pt idx="3">
                  <c:v>100.4</c:v>
                </c:pt>
                <c:pt idx="4">
                  <c:v>100.3</c:v>
                </c:pt>
                <c:pt idx="5">
                  <c:v>100.2</c:v>
                </c:pt>
                <c:pt idx="6">
                  <c:v>100.1</c:v>
                </c:pt>
                <c:pt idx="7">
                  <c:v>100</c:v>
                </c:pt>
                <c:pt idx="8">
                  <c:v>100</c:v>
                </c:pt>
                <c:pt idx="9">
                  <c:v>99.9</c:v>
                </c:pt>
                <c:pt idx="10">
                  <c:v>99.9</c:v>
                </c:pt>
                <c:pt idx="11">
                  <c:v>99.9</c:v>
                </c:pt>
                <c:pt idx="12">
                  <c:v>99.8</c:v>
                </c:pt>
                <c:pt idx="13">
                  <c:v>99.8</c:v>
                </c:pt>
                <c:pt idx="14">
                  <c:v>99.8</c:v>
                </c:pt>
                <c:pt idx="15">
                  <c:v>99.9</c:v>
                </c:pt>
                <c:pt idx="16">
                  <c:v>100</c:v>
                </c:pt>
                <c:pt idx="17">
                  <c:v>100</c:v>
                </c:pt>
                <c:pt idx="18">
                  <c:v>100.1</c:v>
                </c:pt>
                <c:pt idx="19">
                  <c:v>100.1</c:v>
                </c:pt>
                <c:pt idx="20">
                  <c:v>100</c:v>
                </c:pt>
                <c:pt idx="21">
                  <c:v>99.9</c:v>
                </c:pt>
                <c:pt idx="22">
                  <c:v>99.9</c:v>
                </c:pt>
                <c:pt idx="23">
                  <c:v>99.9</c:v>
                </c:pt>
                <c:pt idx="24">
                  <c:v>99.8</c:v>
                </c:pt>
              </c:numCache>
            </c:numRef>
          </c:val>
          <c:smooth val="1"/>
        </c:ser>
        <c:ser>
          <c:idx val="3"/>
          <c:order val="2"/>
          <c:tx>
            <c:strRef>
              <c:f>Sheet1!$D$1</c:f>
              <c:strCache>
                <c:ptCount val="1"/>
                <c:pt idx="0">
                  <c:v>Żywność</c:v>
                </c:pt>
              </c:strCache>
            </c:strRef>
          </c:tx>
          <c:spPr>
            <a:ln w="25404">
              <a:solidFill>
                <a:srgbClr val="00FF00"/>
              </a:solidFill>
              <a:prstDash val="solid"/>
            </a:ln>
          </c:spPr>
          <c:marker>
            <c:symbol val="none"/>
          </c:marker>
          <c:cat>
            <c:strRef>
              <c:f>Sheet1!$A$2:$A$26</c:f>
              <c:strCache>
                <c:ptCount val="25"/>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strCache>
            </c:strRef>
          </c:cat>
          <c:val>
            <c:numRef>
              <c:f>Sheet1!$D$2:$D$26</c:f>
              <c:numCache>
                <c:formatCode>General</c:formatCode>
                <c:ptCount val="25"/>
                <c:pt idx="0">
                  <c:v>101</c:v>
                </c:pt>
                <c:pt idx="1">
                  <c:v>101.2</c:v>
                </c:pt>
                <c:pt idx="2">
                  <c:v>101.7</c:v>
                </c:pt>
                <c:pt idx="3">
                  <c:v>101.2</c:v>
                </c:pt>
                <c:pt idx="4">
                  <c:v>100.8</c:v>
                </c:pt>
                <c:pt idx="5">
                  <c:v>100.5</c:v>
                </c:pt>
                <c:pt idx="6">
                  <c:v>100.1</c:v>
                </c:pt>
                <c:pt idx="7">
                  <c:v>100</c:v>
                </c:pt>
                <c:pt idx="8">
                  <c:v>99.5</c:v>
                </c:pt>
                <c:pt idx="9">
                  <c:v>99.3</c:v>
                </c:pt>
                <c:pt idx="10">
                  <c:v>99.4</c:v>
                </c:pt>
                <c:pt idx="11">
                  <c:v>99.4</c:v>
                </c:pt>
                <c:pt idx="12">
                  <c:v>99.5</c:v>
                </c:pt>
                <c:pt idx="13">
                  <c:v>99.7</c:v>
                </c:pt>
                <c:pt idx="14">
                  <c:v>99.8</c:v>
                </c:pt>
                <c:pt idx="15">
                  <c:v>100.1</c:v>
                </c:pt>
                <c:pt idx="16">
                  <c:v>100.2</c:v>
                </c:pt>
                <c:pt idx="17">
                  <c:v>100.2</c:v>
                </c:pt>
                <c:pt idx="18">
                  <c:v>100.2</c:v>
                </c:pt>
                <c:pt idx="19">
                  <c:v>99.9</c:v>
                </c:pt>
                <c:pt idx="20">
                  <c:v>99.8</c:v>
                </c:pt>
                <c:pt idx="21">
                  <c:v>99.9</c:v>
                </c:pt>
                <c:pt idx="22">
                  <c:v>99.9</c:v>
                </c:pt>
                <c:pt idx="23">
                  <c:v>99.8</c:v>
                </c:pt>
                <c:pt idx="24">
                  <c:v>99.8</c:v>
                </c:pt>
              </c:numCache>
            </c:numRef>
          </c:val>
          <c:smooth val="1"/>
        </c:ser>
        <c:ser>
          <c:idx val="4"/>
          <c:order val="3"/>
          <c:tx>
            <c:strRef>
              <c:f>Sheet1!$E$1</c:f>
              <c:strCache>
                <c:ptCount val="1"/>
                <c:pt idx="0">
                  <c:v>Wynagrodzenia</c:v>
                </c:pt>
              </c:strCache>
            </c:strRef>
          </c:tx>
          <c:spPr>
            <a:ln w="25404">
              <a:solidFill>
                <a:srgbClr val="0000FF"/>
              </a:solidFill>
              <a:prstDash val="solid"/>
            </a:ln>
          </c:spPr>
          <c:marker>
            <c:symbol val="none"/>
          </c:marker>
          <c:cat>
            <c:strRef>
              <c:f>Sheet1!$A$2:$A$26</c:f>
              <c:strCache>
                <c:ptCount val="25"/>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strCache>
            </c:strRef>
          </c:cat>
          <c:val>
            <c:numRef>
              <c:f>Sheet1!$E$2:$E$26</c:f>
              <c:numCache>
                <c:formatCode>General</c:formatCode>
                <c:ptCount val="25"/>
                <c:pt idx="0">
                  <c:v>101.8</c:v>
                </c:pt>
                <c:pt idx="1">
                  <c:v>100.1</c:v>
                </c:pt>
                <c:pt idx="2">
                  <c:v>100.6</c:v>
                </c:pt>
                <c:pt idx="3">
                  <c:v>101.2</c:v>
                </c:pt>
                <c:pt idx="4">
                  <c:v>100.8</c:v>
                </c:pt>
                <c:pt idx="5">
                  <c:v>100.1</c:v>
                </c:pt>
                <c:pt idx="6">
                  <c:v>99</c:v>
                </c:pt>
                <c:pt idx="7">
                  <c:v>100.7</c:v>
                </c:pt>
                <c:pt idx="8">
                  <c:v>100.2</c:v>
                </c:pt>
                <c:pt idx="9">
                  <c:v>99.5</c:v>
                </c:pt>
                <c:pt idx="10">
                  <c:v>100.1</c:v>
                </c:pt>
                <c:pt idx="11">
                  <c:v>100.6</c:v>
                </c:pt>
                <c:pt idx="12">
                  <c:v>101.9</c:v>
                </c:pt>
                <c:pt idx="13">
                  <c:v>100.1</c:v>
                </c:pt>
                <c:pt idx="14">
                  <c:v>100.6</c:v>
                </c:pt>
                <c:pt idx="15">
                  <c:v>101.4</c:v>
                </c:pt>
                <c:pt idx="16">
                  <c:v>100.7</c:v>
                </c:pt>
                <c:pt idx="17">
                  <c:v>100.1</c:v>
                </c:pt>
                <c:pt idx="18">
                  <c:v>98.7</c:v>
                </c:pt>
                <c:pt idx="19">
                  <c:v>100.6</c:v>
                </c:pt>
                <c:pt idx="20">
                  <c:v>100.2</c:v>
                </c:pt>
                <c:pt idx="21">
                  <c:v>99.4</c:v>
                </c:pt>
                <c:pt idx="22">
                  <c:v>100</c:v>
                </c:pt>
                <c:pt idx="23">
                  <c:v>100.7</c:v>
                </c:pt>
                <c:pt idx="24">
                  <c:v>101.9</c:v>
                </c:pt>
              </c:numCache>
            </c:numRef>
          </c:val>
          <c:smooth val="1"/>
        </c:ser>
        <c:dLbls>
          <c:showLegendKey val="0"/>
          <c:showVal val="0"/>
          <c:showCatName val="0"/>
          <c:showSerName val="0"/>
          <c:showPercent val="0"/>
          <c:showBubbleSize val="0"/>
        </c:dLbls>
        <c:marker val="1"/>
        <c:smooth val="0"/>
        <c:axId val="215881600"/>
        <c:axId val="215883136"/>
      </c:lineChart>
      <c:catAx>
        <c:axId val="215881600"/>
        <c:scaling>
          <c:orientation val="minMax"/>
        </c:scaling>
        <c:delete val="0"/>
        <c:axPos val="b"/>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pl-PL"/>
          </a:p>
        </c:txPr>
        <c:crossAx val="215883136"/>
        <c:crosses val="autoZero"/>
        <c:auto val="1"/>
        <c:lblAlgn val="ctr"/>
        <c:lblOffset val="100"/>
        <c:tickLblSkip val="2"/>
        <c:tickMarkSkip val="2"/>
        <c:noMultiLvlLbl val="0"/>
      </c:catAx>
      <c:valAx>
        <c:axId val="215883136"/>
        <c:scaling>
          <c:orientation val="minMax"/>
          <c:max val="103"/>
          <c:min val="98"/>
        </c:scaling>
        <c:delete val="0"/>
        <c:axPos val="l"/>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pl-PL"/>
          </a:p>
        </c:txPr>
        <c:crossAx val="215881600"/>
        <c:crosses val="autoZero"/>
        <c:crossBetween val="between"/>
        <c:majorUnit val="1"/>
      </c:valAx>
      <c:spPr>
        <a:noFill/>
        <a:ln w="25404">
          <a:noFill/>
        </a:ln>
      </c:spPr>
    </c:plotArea>
    <c:legend>
      <c:legendPos val="b"/>
      <c:layout>
        <c:manualLayout>
          <c:xMode val="edge"/>
          <c:yMode val="edge"/>
          <c:x val="7.4626865671641784E-2"/>
          <c:y val="0.86941580756013837"/>
          <c:w val="0.89054726368159265"/>
          <c:h val="0.13402061855670105"/>
        </c:manualLayout>
      </c:layout>
      <c:overlay val="0"/>
      <c:spPr>
        <a:noFill/>
        <a:ln w="25404">
          <a:noFill/>
        </a:ln>
      </c:spPr>
      <c:txPr>
        <a:bodyPr/>
        <a:lstStyle/>
        <a:p>
          <a:pPr>
            <a:defRPr sz="735"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13032581453726E-2"/>
          <c:y val="4.301075268817204E-2"/>
          <c:w val="0.90977443609022624"/>
          <c:h val="0.65949820788530533"/>
        </c:manualLayout>
      </c:layout>
      <c:lineChart>
        <c:grouping val="standard"/>
        <c:varyColors val="0"/>
        <c:ser>
          <c:idx val="1"/>
          <c:order val="0"/>
          <c:tx>
            <c:strRef>
              <c:f>Sheet1!$B$1</c:f>
              <c:strCache>
                <c:ptCount val="1"/>
                <c:pt idx="0">
                  <c:v>Sto</c:v>
                </c:pt>
              </c:strCache>
            </c:strRef>
          </c:tx>
          <c:spPr>
            <a:ln w="25416">
              <a:solidFill>
                <a:srgbClr val="000000"/>
              </a:solidFill>
              <a:prstDash val="solid"/>
            </a:ln>
          </c:spPr>
          <c:marker>
            <c:symbol val="none"/>
          </c:marker>
          <c:cat>
            <c:strRef>
              <c:f>Sheet1!$A$2:$A$26</c:f>
              <c:strCache>
                <c:ptCount val="25"/>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strCache>
            </c:strRef>
          </c:cat>
          <c:val>
            <c:numRef>
              <c:f>Sheet1!$B$2:$B$26</c:f>
              <c:numCache>
                <c:formatCode>General</c:formatCode>
                <c:ptCount val="25"/>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numCache>
            </c:numRef>
          </c:val>
          <c:smooth val="1"/>
        </c:ser>
        <c:ser>
          <c:idx val="2"/>
          <c:order val="1"/>
          <c:tx>
            <c:strRef>
              <c:f>Sheet1!$C$1</c:f>
              <c:strCache>
                <c:ptCount val="1"/>
                <c:pt idx="0">
                  <c:v>Cen środ. produkcji</c:v>
                </c:pt>
              </c:strCache>
            </c:strRef>
          </c:tx>
          <c:spPr>
            <a:ln w="25416">
              <a:solidFill>
                <a:srgbClr val="FF0000"/>
              </a:solidFill>
              <a:prstDash val="solid"/>
            </a:ln>
          </c:spPr>
          <c:marker>
            <c:symbol val="none"/>
          </c:marker>
          <c:cat>
            <c:strRef>
              <c:f>Sheet1!$A$2:$A$26</c:f>
              <c:strCache>
                <c:ptCount val="25"/>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strCache>
            </c:strRef>
          </c:cat>
          <c:val>
            <c:numRef>
              <c:f>Sheet1!$C$2:$C$26</c:f>
              <c:numCache>
                <c:formatCode>General</c:formatCode>
                <c:ptCount val="25"/>
                <c:pt idx="0">
                  <c:v>99.9</c:v>
                </c:pt>
                <c:pt idx="1">
                  <c:v>99.8</c:v>
                </c:pt>
                <c:pt idx="2">
                  <c:v>99.8</c:v>
                </c:pt>
                <c:pt idx="3">
                  <c:v>99.8</c:v>
                </c:pt>
                <c:pt idx="4">
                  <c:v>99.8</c:v>
                </c:pt>
                <c:pt idx="5">
                  <c:v>99.9</c:v>
                </c:pt>
                <c:pt idx="6">
                  <c:v>99.9</c:v>
                </c:pt>
                <c:pt idx="7">
                  <c:v>99.9</c:v>
                </c:pt>
                <c:pt idx="8">
                  <c:v>99.9</c:v>
                </c:pt>
                <c:pt idx="9">
                  <c:v>99.9</c:v>
                </c:pt>
                <c:pt idx="10">
                  <c:v>99.8</c:v>
                </c:pt>
                <c:pt idx="11">
                  <c:v>99.8</c:v>
                </c:pt>
                <c:pt idx="12">
                  <c:v>99.8</c:v>
                </c:pt>
                <c:pt idx="13">
                  <c:v>99.7</c:v>
                </c:pt>
                <c:pt idx="14">
                  <c:v>99.8</c:v>
                </c:pt>
                <c:pt idx="15">
                  <c:v>99.9</c:v>
                </c:pt>
                <c:pt idx="16">
                  <c:v>100</c:v>
                </c:pt>
                <c:pt idx="17">
                  <c:v>100</c:v>
                </c:pt>
                <c:pt idx="18">
                  <c:v>100.1</c:v>
                </c:pt>
                <c:pt idx="19">
                  <c:v>100.1</c:v>
                </c:pt>
                <c:pt idx="20">
                  <c:v>100.1</c:v>
                </c:pt>
                <c:pt idx="21">
                  <c:v>99.9</c:v>
                </c:pt>
                <c:pt idx="22">
                  <c:v>99.9</c:v>
                </c:pt>
                <c:pt idx="23">
                  <c:v>99.9</c:v>
                </c:pt>
                <c:pt idx="24">
                  <c:v>99.8</c:v>
                </c:pt>
              </c:numCache>
            </c:numRef>
          </c:val>
          <c:smooth val="1"/>
        </c:ser>
        <c:ser>
          <c:idx val="0"/>
          <c:order val="2"/>
          <c:tx>
            <c:strRef>
              <c:f>Sheet1!$D$1</c:f>
              <c:strCache>
                <c:ptCount val="1"/>
                <c:pt idx="0">
                  <c:v>Cen skupu</c:v>
                </c:pt>
              </c:strCache>
            </c:strRef>
          </c:tx>
          <c:spPr>
            <a:ln w="25416">
              <a:solidFill>
                <a:srgbClr val="0000FF"/>
              </a:solidFill>
              <a:prstDash val="solid"/>
            </a:ln>
          </c:spPr>
          <c:marker>
            <c:symbol val="none"/>
          </c:marker>
          <c:cat>
            <c:strRef>
              <c:f>Sheet1!$A$2:$A$26</c:f>
              <c:strCache>
                <c:ptCount val="25"/>
                <c:pt idx="0">
                  <c:v>I  14</c:v>
                </c:pt>
                <c:pt idx="1">
                  <c:v>II 14</c:v>
                </c:pt>
                <c:pt idx="2">
                  <c:v>III 14</c:v>
                </c:pt>
                <c:pt idx="3">
                  <c:v>IV 14</c:v>
                </c:pt>
                <c:pt idx="4">
                  <c:v>V 14</c:v>
                </c:pt>
                <c:pt idx="5">
                  <c:v>VI 14</c:v>
                </c:pt>
                <c:pt idx="6">
                  <c:v>VII 14</c:v>
                </c:pt>
                <c:pt idx="7">
                  <c:v>VIII 14</c:v>
                </c:pt>
                <c:pt idx="8">
                  <c:v>IX 14</c:v>
                </c:pt>
                <c:pt idx="9">
                  <c:v>X 14</c:v>
                </c:pt>
                <c:pt idx="10">
                  <c:v>XI 14</c:v>
                </c:pt>
                <c:pt idx="11">
                  <c:v>XII 14</c:v>
                </c:pt>
                <c:pt idx="12">
                  <c:v>I  15</c:v>
                </c:pt>
                <c:pt idx="13">
                  <c:v>II 15</c:v>
                </c:pt>
                <c:pt idx="14">
                  <c:v>III 15</c:v>
                </c:pt>
                <c:pt idx="15">
                  <c:v>IV 15</c:v>
                </c:pt>
                <c:pt idx="16">
                  <c:v>V 15</c:v>
                </c:pt>
                <c:pt idx="17">
                  <c:v>VI 15</c:v>
                </c:pt>
                <c:pt idx="18">
                  <c:v>VII 15</c:v>
                </c:pt>
                <c:pt idx="19">
                  <c:v>VIII 15</c:v>
                </c:pt>
                <c:pt idx="20">
                  <c:v>IX 15</c:v>
                </c:pt>
                <c:pt idx="21">
                  <c:v>X 15</c:v>
                </c:pt>
                <c:pt idx="22">
                  <c:v>XI 15</c:v>
                </c:pt>
                <c:pt idx="23">
                  <c:v>XII 15</c:v>
                </c:pt>
                <c:pt idx="24">
                  <c:v>I  16</c:v>
                </c:pt>
              </c:strCache>
            </c:strRef>
          </c:cat>
          <c:val>
            <c:numRef>
              <c:f>Sheet1!$D$2:$D$26</c:f>
              <c:numCache>
                <c:formatCode>General</c:formatCode>
                <c:ptCount val="25"/>
                <c:pt idx="0">
                  <c:v>100.4</c:v>
                </c:pt>
                <c:pt idx="1">
                  <c:v>99.9</c:v>
                </c:pt>
                <c:pt idx="2">
                  <c:v>100.1</c:v>
                </c:pt>
                <c:pt idx="3">
                  <c:v>99.9</c:v>
                </c:pt>
                <c:pt idx="4">
                  <c:v>100</c:v>
                </c:pt>
                <c:pt idx="5">
                  <c:v>99.6</c:v>
                </c:pt>
                <c:pt idx="6">
                  <c:v>99.6</c:v>
                </c:pt>
                <c:pt idx="7">
                  <c:v>99.6</c:v>
                </c:pt>
                <c:pt idx="8">
                  <c:v>99.5</c:v>
                </c:pt>
                <c:pt idx="9">
                  <c:v>98.8</c:v>
                </c:pt>
                <c:pt idx="10">
                  <c:v>98.4</c:v>
                </c:pt>
                <c:pt idx="11">
                  <c:v>98.6</c:v>
                </c:pt>
                <c:pt idx="12">
                  <c:v>98.4</c:v>
                </c:pt>
                <c:pt idx="13">
                  <c:v>98.5</c:v>
                </c:pt>
                <c:pt idx="14">
                  <c:v>98.9</c:v>
                </c:pt>
                <c:pt idx="15">
                  <c:v>99.6</c:v>
                </c:pt>
                <c:pt idx="16">
                  <c:v>99.6</c:v>
                </c:pt>
                <c:pt idx="17">
                  <c:v>99.4</c:v>
                </c:pt>
                <c:pt idx="18">
                  <c:v>99.8</c:v>
                </c:pt>
                <c:pt idx="19">
                  <c:v>99.8</c:v>
                </c:pt>
                <c:pt idx="20">
                  <c:v>99.5</c:v>
                </c:pt>
                <c:pt idx="21">
                  <c:v>99.4</c:v>
                </c:pt>
                <c:pt idx="22">
                  <c:v>99.7</c:v>
                </c:pt>
                <c:pt idx="23">
                  <c:v>99.7</c:v>
                </c:pt>
                <c:pt idx="24">
                  <c:v>99.3</c:v>
                </c:pt>
              </c:numCache>
            </c:numRef>
          </c:val>
          <c:smooth val="1"/>
        </c:ser>
        <c:dLbls>
          <c:showLegendKey val="0"/>
          <c:showVal val="0"/>
          <c:showCatName val="0"/>
          <c:showSerName val="0"/>
          <c:showPercent val="0"/>
          <c:showBubbleSize val="0"/>
        </c:dLbls>
        <c:marker val="1"/>
        <c:smooth val="0"/>
        <c:axId val="216274048"/>
        <c:axId val="216275584"/>
      </c:lineChart>
      <c:catAx>
        <c:axId val="216274048"/>
        <c:scaling>
          <c:orientation val="minMax"/>
        </c:scaling>
        <c:delete val="0"/>
        <c:axPos val="b"/>
        <c:numFmt formatCode="General" sourceLinked="1"/>
        <c:majorTickMark val="out"/>
        <c:minorTickMark val="none"/>
        <c:tickLblPos val="nextTo"/>
        <c:spPr>
          <a:ln w="3177">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pl-PL"/>
          </a:p>
        </c:txPr>
        <c:crossAx val="216275584"/>
        <c:crosses val="autoZero"/>
        <c:auto val="1"/>
        <c:lblAlgn val="ctr"/>
        <c:lblOffset val="100"/>
        <c:tickLblSkip val="2"/>
        <c:tickMarkSkip val="2"/>
        <c:noMultiLvlLbl val="0"/>
      </c:catAx>
      <c:valAx>
        <c:axId val="216275584"/>
        <c:scaling>
          <c:orientation val="minMax"/>
          <c:max val="103"/>
          <c:min val="98"/>
        </c:scaling>
        <c:delete val="0"/>
        <c:axPos val="l"/>
        <c:numFmt formatCode="General" sourceLinked="1"/>
        <c:majorTickMark val="out"/>
        <c:minorTickMark val="none"/>
        <c:tickLblPos val="nextTo"/>
        <c:spPr>
          <a:ln w="3177">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pl-PL"/>
          </a:p>
        </c:txPr>
        <c:crossAx val="216274048"/>
        <c:crosses val="autoZero"/>
        <c:crossBetween val="between"/>
        <c:majorUnit val="1"/>
      </c:valAx>
      <c:spPr>
        <a:noFill/>
        <a:ln w="25416">
          <a:noFill/>
        </a:ln>
      </c:spPr>
    </c:plotArea>
    <c:legend>
      <c:legendPos val="b"/>
      <c:layout>
        <c:manualLayout>
          <c:xMode val="edge"/>
          <c:yMode val="edge"/>
          <c:x val="5.0125313283208017E-3"/>
          <c:y val="0.91756272401433581"/>
          <c:w val="0.97744360902255634"/>
          <c:h val="8.602150537634419E-2"/>
        </c:manualLayout>
      </c:layout>
      <c:overlay val="0"/>
      <c:spPr>
        <a:noFill/>
        <a:ln w="25416">
          <a:noFill/>
        </a:ln>
      </c:spPr>
      <c:txPr>
        <a:bodyPr/>
        <a:lstStyle/>
        <a:p>
          <a:pPr>
            <a:defRPr sz="735"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788029925187025E-2"/>
          <c:y val="4.4444444444444502E-2"/>
          <c:w val="0.91770573566084845"/>
          <c:h val="0.69259259259259265"/>
        </c:manualLayout>
      </c:layout>
      <c:lineChart>
        <c:grouping val="standard"/>
        <c:varyColors val="0"/>
        <c:ser>
          <c:idx val="0"/>
          <c:order val="0"/>
          <c:tx>
            <c:strRef>
              <c:f>Sheet1!$B$1</c:f>
              <c:strCache>
                <c:ptCount val="1"/>
                <c:pt idx="0">
                  <c:v>Sto</c:v>
                </c:pt>
              </c:strCache>
            </c:strRef>
          </c:tx>
          <c:spPr>
            <a:ln w="25425">
              <a:solidFill>
                <a:srgbClr val="000000"/>
              </a:solidFill>
              <a:prstDash val="solid"/>
            </a:ln>
          </c:spPr>
          <c:marker>
            <c:symbol val="none"/>
          </c:marker>
          <c:cat>
            <c:strRef>
              <c:f>Sheet1!$A$2:$A$14</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Sheet1!$B$2:$B$14</c:f>
              <c:numCache>
                <c:formatCode>General</c:formatCode>
                <c:ptCount val="13"/>
                <c:pt idx="0">
                  <c:v>100</c:v>
                </c:pt>
                <c:pt idx="1">
                  <c:v>100</c:v>
                </c:pt>
                <c:pt idx="2">
                  <c:v>100</c:v>
                </c:pt>
                <c:pt idx="3">
                  <c:v>100</c:v>
                </c:pt>
                <c:pt idx="4">
                  <c:v>100</c:v>
                </c:pt>
                <c:pt idx="5">
                  <c:v>100</c:v>
                </c:pt>
                <c:pt idx="6">
                  <c:v>100</c:v>
                </c:pt>
                <c:pt idx="7">
                  <c:v>100</c:v>
                </c:pt>
                <c:pt idx="8">
                  <c:v>100</c:v>
                </c:pt>
                <c:pt idx="9">
                  <c:v>100</c:v>
                </c:pt>
                <c:pt idx="10">
                  <c:v>100</c:v>
                </c:pt>
                <c:pt idx="11">
                  <c:v>100</c:v>
                </c:pt>
              </c:numCache>
            </c:numRef>
          </c:val>
          <c:smooth val="1"/>
        </c:ser>
        <c:ser>
          <c:idx val="1"/>
          <c:order val="1"/>
          <c:tx>
            <c:strRef>
              <c:f>Sheet1!$C$1</c:f>
              <c:strCache>
                <c:ptCount val="1"/>
                <c:pt idx="0">
                  <c:v>2013</c:v>
                </c:pt>
              </c:strCache>
            </c:strRef>
          </c:tx>
          <c:spPr>
            <a:ln w="25425">
              <a:solidFill>
                <a:srgbClr val="0000FF"/>
              </a:solidFill>
              <a:prstDash val="solid"/>
            </a:ln>
          </c:spPr>
          <c:marker>
            <c:symbol val="none"/>
          </c:marker>
          <c:cat>
            <c:strRef>
              <c:f>Sheet1!$A$2:$A$14</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Sheet1!$C$2:$C$14</c:f>
              <c:numCache>
                <c:formatCode>General</c:formatCode>
                <c:ptCount val="13"/>
                <c:pt idx="0">
                  <c:v>98.4</c:v>
                </c:pt>
                <c:pt idx="1">
                  <c:v>98.42</c:v>
                </c:pt>
                <c:pt idx="2">
                  <c:v>100.69</c:v>
                </c:pt>
                <c:pt idx="3">
                  <c:v>99.94</c:v>
                </c:pt>
                <c:pt idx="4">
                  <c:v>99.4</c:v>
                </c:pt>
                <c:pt idx="5">
                  <c:v>101.56</c:v>
                </c:pt>
                <c:pt idx="6">
                  <c:v>103.47</c:v>
                </c:pt>
                <c:pt idx="7">
                  <c:v>101.58</c:v>
                </c:pt>
                <c:pt idx="8">
                  <c:v>103.19</c:v>
                </c:pt>
                <c:pt idx="9">
                  <c:v>102.94</c:v>
                </c:pt>
                <c:pt idx="10">
                  <c:v>103.4</c:v>
                </c:pt>
                <c:pt idx="11">
                  <c:v>104.84</c:v>
                </c:pt>
              </c:numCache>
            </c:numRef>
          </c:val>
          <c:smooth val="1"/>
        </c:ser>
        <c:ser>
          <c:idx val="2"/>
          <c:order val="2"/>
          <c:tx>
            <c:strRef>
              <c:f>Sheet1!$D$1</c:f>
              <c:strCache>
                <c:ptCount val="1"/>
                <c:pt idx="0">
                  <c:v>2014</c:v>
                </c:pt>
              </c:strCache>
            </c:strRef>
          </c:tx>
          <c:spPr>
            <a:ln w="25425">
              <a:solidFill>
                <a:srgbClr val="000000"/>
              </a:solidFill>
              <a:prstDash val="solid"/>
            </a:ln>
          </c:spPr>
          <c:marker>
            <c:symbol val="none"/>
          </c:marker>
          <c:cat>
            <c:strRef>
              <c:f>Sheet1!$A$2:$A$14</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Sheet1!$D$2:$D$14</c:f>
              <c:numCache>
                <c:formatCode>General</c:formatCode>
                <c:ptCount val="13"/>
                <c:pt idx="0">
                  <c:v>99.15</c:v>
                </c:pt>
                <c:pt idx="1">
                  <c:v>98.24</c:v>
                </c:pt>
                <c:pt idx="2">
                  <c:v>98.71</c:v>
                </c:pt>
                <c:pt idx="3">
                  <c:v>98.77</c:v>
                </c:pt>
                <c:pt idx="4">
                  <c:v>96.94</c:v>
                </c:pt>
                <c:pt idx="5">
                  <c:v>97.81</c:v>
                </c:pt>
                <c:pt idx="6">
                  <c:v>97.08</c:v>
                </c:pt>
                <c:pt idx="7">
                  <c:v>95.65</c:v>
                </c:pt>
                <c:pt idx="8">
                  <c:v>92.52</c:v>
                </c:pt>
                <c:pt idx="9">
                  <c:v>90.4</c:v>
                </c:pt>
                <c:pt idx="10">
                  <c:v>89.78</c:v>
                </c:pt>
                <c:pt idx="11">
                  <c:v>89.72</c:v>
                </c:pt>
              </c:numCache>
            </c:numRef>
          </c:val>
          <c:smooth val="1"/>
        </c:ser>
        <c:ser>
          <c:idx val="4"/>
          <c:order val="3"/>
          <c:tx>
            <c:strRef>
              <c:f>Sheet1!$E$1</c:f>
              <c:strCache>
                <c:ptCount val="1"/>
                <c:pt idx="0">
                  <c:v>2015</c:v>
                </c:pt>
              </c:strCache>
            </c:strRef>
          </c:tx>
          <c:spPr>
            <a:ln w="25425">
              <a:solidFill>
                <a:srgbClr val="00FF00"/>
              </a:solidFill>
              <a:prstDash val="solid"/>
            </a:ln>
          </c:spPr>
          <c:marker>
            <c:symbol val="none"/>
          </c:marker>
          <c:cat>
            <c:strRef>
              <c:f>Sheet1!$A$2:$A$14</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Sheet1!$E$2:$E$14</c:f>
              <c:numCache>
                <c:formatCode>General</c:formatCode>
                <c:ptCount val="13"/>
                <c:pt idx="0">
                  <c:v>100.05</c:v>
                </c:pt>
                <c:pt idx="1">
                  <c:v>101.15</c:v>
                </c:pt>
                <c:pt idx="2">
                  <c:v>101.06</c:v>
                </c:pt>
                <c:pt idx="3">
                  <c:v>98.47</c:v>
                </c:pt>
                <c:pt idx="4">
                  <c:v>96.46</c:v>
                </c:pt>
                <c:pt idx="5">
                  <c:v>98.15</c:v>
                </c:pt>
                <c:pt idx="6">
                  <c:v>98.12</c:v>
                </c:pt>
                <c:pt idx="7">
                  <c:v>97.5</c:v>
                </c:pt>
                <c:pt idx="8">
                  <c:v>97.57</c:v>
                </c:pt>
                <c:pt idx="9">
                  <c:v>97.03</c:v>
                </c:pt>
                <c:pt idx="10">
                  <c:v>95.26</c:v>
                </c:pt>
                <c:pt idx="11">
                  <c:v>95.19</c:v>
                </c:pt>
              </c:numCache>
            </c:numRef>
          </c:val>
          <c:smooth val="1"/>
        </c:ser>
        <c:ser>
          <c:idx val="3"/>
          <c:order val="4"/>
          <c:tx>
            <c:strRef>
              <c:f>Sheet1!$F$1</c:f>
              <c:strCache>
                <c:ptCount val="1"/>
                <c:pt idx="0">
                  <c:v>2016</c:v>
                </c:pt>
              </c:strCache>
            </c:strRef>
          </c:tx>
          <c:spPr>
            <a:ln w="38138">
              <a:solidFill>
                <a:srgbClr val="FF0000"/>
              </a:solidFill>
              <a:prstDash val="solid"/>
            </a:ln>
          </c:spPr>
          <c:marker>
            <c:symbol val="none"/>
          </c:marker>
          <c:cat>
            <c:strRef>
              <c:f>Sheet1!$A$2:$A$14</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Sheet1!$F$2:$F$14</c:f>
              <c:numCache>
                <c:formatCode>General</c:formatCode>
                <c:ptCount val="13"/>
                <c:pt idx="0">
                  <c:v>95.2</c:v>
                </c:pt>
              </c:numCache>
            </c:numRef>
          </c:val>
          <c:smooth val="1"/>
        </c:ser>
        <c:dLbls>
          <c:showLegendKey val="0"/>
          <c:showVal val="0"/>
          <c:showCatName val="0"/>
          <c:showSerName val="0"/>
          <c:showPercent val="0"/>
          <c:showBubbleSize val="0"/>
        </c:dLbls>
        <c:marker val="1"/>
        <c:smooth val="0"/>
        <c:axId val="134395392"/>
        <c:axId val="134396928"/>
      </c:lineChart>
      <c:catAx>
        <c:axId val="134395392"/>
        <c:scaling>
          <c:orientation val="minMax"/>
        </c:scaling>
        <c:delete val="0"/>
        <c:axPos val="b"/>
        <c:numFmt formatCode="General" sourceLinked="1"/>
        <c:majorTickMark val="out"/>
        <c:minorTickMark val="none"/>
        <c:tickLblPos val="nextTo"/>
        <c:spPr>
          <a:ln w="3178">
            <a:solidFill>
              <a:srgbClr val="000000"/>
            </a:solidFill>
            <a:prstDash val="solid"/>
          </a:ln>
        </c:spPr>
        <c:txPr>
          <a:bodyPr rot="0" vert="horz"/>
          <a:lstStyle/>
          <a:p>
            <a:pPr>
              <a:defRPr sz="801" b="1" i="0" u="none" strike="noStrike" baseline="0">
                <a:solidFill>
                  <a:srgbClr val="000000"/>
                </a:solidFill>
                <a:latin typeface="Arial"/>
                <a:ea typeface="Arial"/>
                <a:cs typeface="Arial"/>
              </a:defRPr>
            </a:pPr>
            <a:endParaRPr lang="pl-PL"/>
          </a:p>
        </c:txPr>
        <c:crossAx val="134396928"/>
        <c:crosses val="autoZero"/>
        <c:auto val="1"/>
        <c:lblAlgn val="ctr"/>
        <c:lblOffset val="100"/>
        <c:tickLblSkip val="1"/>
        <c:tickMarkSkip val="1"/>
        <c:noMultiLvlLbl val="0"/>
      </c:catAx>
      <c:valAx>
        <c:axId val="134396928"/>
        <c:scaling>
          <c:orientation val="minMax"/>
          <c:max val="110"/>
          <c:min val="85"/>
        </c:scaling>
        <c:delete val="0"/>
        <c:axPos val="l"/>
        <c:numFmt formatCode="0" sourceLinked="0"/>
        <c:majorTickMark val="out"/>
        <c:minorTickMark val="none"/>
        <c:tickLblPos val="nextTo"/>
        <c:spPr>
          <a:ln w="3178">
            <a:solidFill>
              <a:srgbClr val="000000"/>
            </a:solidFill>
            <a:prstDash val="solid"/>
          </a:ln>
        </c:spPr>
        <c:txPr>
          <a:bodyPr rot="0" vert="horz"/>
          <a:lstStyle/>
          <a:p>
            <a:pPr>
              <a:defRPr sz="801" b="1" i="0" u="none" strike="noStrike" baseline="0">
                <a:solidFill>
                  <a:srgbClr val="000000"/>
                </a:solidFill>
                <a:latin typeface="Arial"/>
                <a:ea typeface="Arial"/>
                <a:cs typeface="Arial"/>
              </a:defRPr>
            </a:pPr>
            <a:endParaRPr lang="pl-PL"/>
          </a:p>
        </c:txPr>
        <c:crossAx val="134395392"/>
        <c:crosses val="autoZero"/>
        <c:crossBetween val="between"/>
        <c:majorUnit val="5"/>
        <c:minorUnit val="2.5"/>
      </c:valAx>
      <c:spPr>
        <a:noFill/>
        <a:ln w="25425">
          <a:noFill/>
        </a:ln>
      </c:spPr>
    </c:plotArea>
    <c:legend>
      <c:legendPos val="b"/>
      <c:layout>
        <c:manualLayout>
          <c:xMode val="edge"/>
          <c:yMode val="edge"/>
          <c:x val="6.4343414210097316E-2"/>
          <c:y val="0.88201791686882791"/>
          <c:w val="0.85125481597959263"/>
          <c:h val="8.2838307269134923E-2"/>
        </c:manualLayout>
      </c:layout>
      <c:overlay val="0"/>
      <c:spPr>
        <a:noFill/>
        <a:ln w="25425">
          <a:noFill/>
        </a:ln>
      </c:spPr>
      <c:txPr>
        <a:bodyPr/>
        <a:lstStyle/>
        <a:p>
          <a:pPr>
            <a:defRPr sz="736"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801" b="1" i="0" u="none" strike="noStrike" baseline="0">
          <a:solidFill>
            <a:srgbClr val="000000"/>
          </a:solidFill>
          <a:latin typeface="Arial"/>
          <a:ea typeface="Arial"/>
          <a:cs typeface="Arial"/>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2BE0373-2ECD-41F9-B165-B1006D08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15</Pages>
  <Words>5941</Words>
  <Characters>35649</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Adamski Marcin</dc:creator>
  <cp:lastModifiedBy>KZRRSP</cp:lastModifiedBy>
  <cp:revision>7</cp:revision>
  <cp:lastPrinted>2016-10-27T10:48:00Z</cp:lastPrinted>
  <dcterms:created xsi:type="dcterms:W3CDTF">2016-10-27T12:37:00Z</dcterms:created>
  <dcterms:modified xsi:type="dcterms:W3CDTF">2016-12-21T08:30:00Z</dcterms:modified>
</cp:coreProperties>
</file>