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AC" w:rsidRPr="000B1397" w:rsidRDefault="00634C0F" w:rsidP="000B1397">
      <w:pPr>
        <w:pStyle w:val="Tytu"/>
        <w:pBdr>
          <w:bottom w:val="single" w:sz="4" w:space="4" w:color="auto"/>
        </w:pBdr>
        <w:rPr>
          <w:rFonts w:eastAsia="Times New Roman"/>
          <w:color w:val="000000" w:themeColor="text1"/>
        </w:rPr>
      </w:pPr>
      <w:r w:rsidRPr="000B1397">
        <w:rPr>
          <w:rFonts w:eastAsia="Times New Roman"/>
          <w:color w:val="000000" w:themeColor="text1"/>
        </w:rPr>
        <w:t xml:space="preserve"> </w:t>
      </w:r>
      <w:r w:rsidR="00D40C12" w:rsidRPr="000B1397">
        <w:rPr>
          <w:rFonts w:eastAsia="Times New Roman"/>
          <w:color w:val="000000" w:themeColor="text1"/>
        </w:rPr>
        <w:t>Rolnicze Spółdzielnie Produkcyjne w 201</w:t>
      </w:r>
      <w:r w:rsidR="00B00BDA" w:rsidRPr="000B1397">
        <w:rPr>
          <w:rFonts w:eastAsia="Times New Roman"/>
          <w:color w:val="000000" w:themeColor="text1"/>
        </w:rPr>
        <w:t>6</w:t>
      </w:r>
      <w:r w:rsidR="001B2266" w:rsidRPr="000B1397">
        <w:rPr>
          <w:rFonts w:eastAsia="Times New Roman"/>
          <w:color w:val="000000" w:themeColor="text1"/>
        </w:rPr>
        <w:t xml:space="preserve"> </w:t>
      </w:r>
      <w:r w:rsidR="00D40C12" w:rsidRPr="000B1397">
        <w:rPr>
          <w:rFonts w:eastAsia="Times New Roman"/>
          <w:color w:val="000000" w:themeColor="text1"/>
        </w:rPr>
        <w:t>r</w:t>
      </w:r>
      <w:r w:rsidR="001B2266" w:rsidRPr="000B1397">
        <w:rPr>
          <w:rFonts w:eastAsia="Times New Roman"/>
          <w:color w:val="000000" w:themeColor="text1"/>
        </w:rPr>
        <w:t>.</w:t>
      </w:r>
      <w:r w:rsidR="00E53F04" w:rsidRPr="000B1397">
        <w:rPr>
          <w:rFonts w:eastAsia="Times New Roman"/>
          <w:color w:val="000000" w:themeColor="text1"/>
        </w:rPr>
        <w:t xml:space="preserve"> – n</w:t>
      </w:r>
      <w:r w:rsidR="00E30733" w:rsidRPr="000B1397">
        <w:rPr>
          <w:rFonts w:eastAsia="Times New Roman"/>
          <w:color w:val="000000" w:themeColor="text1"/>
        </w:rPr>
        <w:t>ajlepsza setk</w:t>
      </w:r>
      <w:r w:rsidR="00EB1266" w:rsidRPr="000B1397">
        <w:rPr>
          <w:rFonts w:eastAsia="Times New Roman"/>
          <w:color w:val="000000" w:themeColor="text1"/>
        </w:rPr>
        <w:t>a</w:t>
      </w:r>
    </w:p>
    <w:p w:rsidR="00B00BDA" w:rsidRPr="000B1397" w:rsidRDefault="00B00BDA" w:rsidP="00EA7CA9">
      <w:pPr>
        <w:spacing w:before="80" w:after="0" w:line="264" w:lineRule="auto"/>
        <w:ind w:firstLine="425"/>
        <w:jc w:val="both"/>
        <w:rPr>
          <w:rFonts w:ascii="Times New Roman" w:eastAsia="Times New Roman" w:hAnsi="Times New Roman"/>
          <w:color w:val="000000" w:themeColor="text1"/>
          <w:sz w:val="24"/>
          <w:szCs w:val="24"/>
        </w:rPr>
      </w:pPr>
      <w:r w:rsidRPr="000B1397">
        <w:rPr>
          <w:rFonts w:ascii="Times New Roman" w:eastAsia="Times New Roman" w:hAnsi="Times New Roman"/>
          <w:color w:val="000000" w:themeColor="text1"/>
          <w:sz w:val="24"/>
          <w:szCs w:val="24"/>
        </w:rPr>
        <w:t>Oto wyniki siedemnastego już rankingu najlepszych rolniczych spółdzielni produkcyjnych w Polsce.</w:t>
      </w:r>
      <w:r w:rsidR="00FD4B54" w:rsidRPr="000B1397">
        <w:rPr>
          <w:rFonts w:ascii="Times New Roman" w:eastAsia="Times New Roman" w:hAnsi="Times New Roman"/>
          <w:color w:val="000000" w:themeColor="text1"/>
          <w:sz w:val="24"/>
          <w:szCs w:val="24"/>
        </w:rPr>
        <w:t xml:space="preserve"> Po raz kolejny </w:t>
      </w:r>
      <w:r w:rsidR="0007523A" w:rsidRPr="000B1397">
        <w:rPr>
          <w:rFonts w:ascii="Times New Roman" w:eastAsia="Times New Roman" w:hAnsi="Times New Roman"/>
          <w:color w:val="000000" w:themeColor="text1"/>
          <w:sz w:val="24"/>
          <w:szCs w:val="24"/>
        </w:rPr>
        <w:t xml:space="preserve">przedstawiamy </w:t>
      </w:r>
      <w:r w:rsidR="00FD4B54" w:rsidRPr="000B1397">
        <w:rPr>
          <w:rFonts w:ascii="Times New Roman" w:eastAsia="Times New Roman" w:hAnsi="Times New Roman"/>
          <w:color w:val="000000" w:themeColor="text1"/>
          <w:sz w:val="24"/>
          <w:szCs w:val="24"/>
        </w:rPr>
        <w:t>raport o stanie polskich spółdzielni rolniczych. Podstawowym celem rankingu jest prezentacja najlepiej funkcjonujących jednostek w tej branży oraz ich promocja.</w:t>
      </w:r>
    </w:p>
    <w:p w:rsidR="00FD4B54" w:rsidRPr="000B1397" w:rsidRDefault="00FD4B54" w:rsidP="00EA7CA9">
      <w:pPr>
        <w:spacing w:before="80" w:after="0" w:line="264" w:lineRule="auto"/>
        <w:ind w:firstLine="425"/>
        <w:jc w:val="both"/>
        <w:rPr>
          <w:rFonts w:ascii="Times New Roman" w:eastAsia="Times New Roman" w:hAnsi="Times New Roman"/>
          <w:color w:val="000000" w:themeColor="text1"/>
          <w:sz w:val="24"/>
          <w:szCs w:val="24"/>
        </w:rPr>
      </w:pPr>
      <w:r w:rsidRPr="000B1397">
        <w:rPr>
          <w:rFonts w:ascii="Times New Roman" w:eastAsia="Times New Roman" w:hAnsi="Times New Roman"/>
          <w:color w:val="000000" w:themeColor="text1"/>
          <w:sz w:val="24"/>
          <w:szCs w:val="24"/>
        </w:rPr>
        <w:t>Publikacja ta jest efektem wieloletniej współpra</w:t>
      </w:r>
      <w:r w:rsidR="0007523A" w:rsidRPr="000B1397">
        <w:rPr>
          <w:rFonts w:ascii="Times New Roman" w:eastAsia="Times New Roman" w:hAnsi="Times New Roman"/>
          <w:color w:val="000000" w:themeColor="text1"/>
          <w:sz w:val="24"/>
          <w:szCs w:val="24"/>
        </w:rPr>
        <w:t>c</w:t>
      </w:r>
      <w:r w:rsidRPr="000B1397">
        <w:rPr>
          <w:rFonts w:ascii="Times New Roman" w:eastAsia="Times New Roman" w:hAnsi="Times New Roman"/>
          <w:color w:val="000000" w:themeColor="text1"/>
          <w:sz w:val="24"/>
          <w:szCs w:val="24"/>
        </w:rPr>
        <w:t>y IERiGŻ-PIB z Krajową Rad</w:t>
      </w:r>
      <w:r w:rsidR="003E21AC" w:rsidRPr="000B1397">
        <w:rPr>
          <w:rFonts w:ascii="Times New Roman" w:eastAsia="Times New Roman" w:hAnsi="Times New Roman"/>
          <w:color w:val="000000" w:themeColor="text1"/>
          <w:sz w:val="24"/>
          <w:szCs w:val="24"/>
        </w:rPr>
        <w:t>ą</w:t>
      </w:r>
      <w:r w:rsidRPr="000B1397">
        <w:rPr>
          <w:rFonts w:ascii="Times New Roman" w:eastAsia="Times New Roman" w:hAnsi="Times New Roman"/>
          <w:color w:val="000000" w:themeColor="text1"/>
          <w:sz w:val="24"/>
          <w:szCs w:val="24"/>
        </w:rPr>
        <w:t xml:space="preserve"> Spółdzielczą, Krajowy</w:t>
      </w:r>
      <w:r w:rsidR="003E21AC" w:rsidRPr="000B1397">
        <w:rPr>
          <w:rFonts w:ascii="Times New Roman" w:eastAsia="Times New Roman" w:hAnsi="Times New Roman"/>
          <w:color w:val="000000" w:themeColor="text1"/>
          <w:sz w:val="24"/>
          <w:szCs w:val="24"/>
        </w:rPr>
        <w:t>m</w:t>
      </w:r>
      <w:r w:rsidRPr="000B1397">
        <w:rPr>
          <w:rFonts w:ascii="Times New Roman" w:eastAsia="Times New Roman" w:hAnsi="Times New Roman"/>
          <w:color w:val="000000" w:themeColor="text1"/>
          <w:sz w:val="24"/>
          <w:szCs w:val="24"/>
        </w:rPr>
        <w:t xml:space="preserve"> Związk</w:t>
      </w:r>
      <w:r w:rsidR="003E21AC" w:rsidRPr="000B1397">
        <w:rPr>
          <w:rFonts w:ascii="Times New Roman" w:eastAsia="Times New Roman" w:hAnsi="Times New Roman"/>
          <w:color w:val="000000" w:themeColor="text1"/>
          <w:sz w:val="24"/>
          <w:szCs w:val="24"/>
        </w:rPr>
        <w:t>iem</w:t>
      </w:r>
      <w:r w:rsidRPr="000B1397">
        <w:rPr>
          <w:rFonts w:ascii="Times New Roman" w:eastAsia="Times New Roman" w:hAnsi="Times New Roman"/>
          <w:color w:val="000000" w:themeColor="text1"/>
          <w:sz w:val="24"/>
          <w:szCs w:val="24"/>
        </w:rPr>
        <w:t xml:space="preserve"> Rewizyjny</w:t>
      </w:r>
      <w:r w:rsidR="003E21AC" w:rsidRPr="000B1397">
        <w:rPr>
          <w:rFonts w:ascii="Times New Roman" w:eastAsia="Times New Roman" w:hAnsi="Times New Roman"/>
          <w:color w:val="000000" w:themeColor="text1"/>
          <w:sz w:val="24"/>
          <w:szCs w:val="24"/>
        </w:rPr>
        <w:t>m</w:t>
      </w:r>
      <w:r w:rsidRPr="000B1397">
        <w:rPr>
          <w:rFonts w:ascii="Times New Roman" w:eastAsia="Times New Roman" w:hAnsi="Times New Roman"/>
          <w:color w:val="000000" w:themeColor="text1"/>
          <w:sz w:val="24"/>
          <w:szCs w:val="24"/>
        </w:rPr>
        <w:t xml:space="preserve"> Rolniczych Spółdzielni Produkcyjnych oraz samy</w:t>
      </w:r>
      <w:r w:rsidR="003E21AC" w:rsidRPr="000B1397">
        <w:rPr>
          <w:rFonts w:ascii="Times New Roman" w:eastAsia="Times New Roman" w:hAnsi="Times New Roman"/>
          <w:color w:val="000000" w:themeColor="text1"/>
          <w:sz w:val="24"/>
          <w:szCs w:val="24"/>
        </w:rPr>
        <w:t>mi</w:t>
      </w:r>
      <w:r w:rsidRPr="000B1397">
        <w:rPr>
          <w:rFonts w:ascii="Times New Roman" w:eastAsia="Times New Roman" w:hAnsi="Times New Roman"/>
          <w:color w:val="000000" w:themeColor="text1"/>
          <w:sz w:val="24"/>
          <w:szCs w:val="24"/>
        </w:rPr>
        <w:t xml:space="preserve"> spółdzielni</w:t>
      </w:r>
      <w:r w:rsidR="003E21AC" w:rsidRPr="000B1397">
        <w:rPr>
          <w:rFonts w:ascii="Times New Roman" w:eastAsia="Times New Roman" w:hAnsi="Times New Roman"/>
          <w:color w:val="000000" w:themeColor="text1"/>
          <w:sz w:val="24"/>
          <w:szCs w:val="24"/>
        </w:rPr>
        <w:t>ami</w:t>
      </w:r>
      <w:r w:rsidRPr="000B1397">
        <w:rPr>
          <w:rFonts w:ascii="Times New Roman" w:eastAsia="Times New Roman" w:hAnsi="Times New Roman"/>
          <w:color w:val="000000" w:themeColor="text1"/>
          <w:sz w:val="24"/>
          <w:szCs w:val="24"/>
        </w:rPr>
        <w:t xml:space="preserve">, które </w:t>
      </w:r>
      <w:r w:rsidR="003E21AC" w:rsidRPr="000B1397">
        <w:rPr>
          <w:rFonts w:ascii="Times New Roman" w:eastAsia="Times New Roman" w:hAnsi="Times New Roman"/>
          <w:color w:val="000000" w:themeColor="text1"/>
          <w:sz w:val="24"/>
          <w:szCs w:val="24"/>
        </w:rPr>
        <w:t>wytrwale</w:t>
      </w:r>
      <w:r w:rsidRPr="000B1397">
        <w:rPr>
          <w:rFonts w:ascii="Times New Roman" w:eastAsia="Times New Roman" w:hAnsi="Times New Roman"/>
          <w:color w:val="000000" w:themeColor="text1"/>
          <w:sz w:val="24"/>
          <w:szCs w:val="24"/>
        </w:rPr>
        <w:t xml:space="preserve"> uczestniczą w tym przedsięwzięciu.</w:t>
      </w:r>
    </w:p>
    <w:p w:rsidR="00D55ABB" w:rsidRPr="000B1397" w:rsidRDefault="00893892" w:rsidP="00EA7CA9">
      <w:pPr>
        <w:spacing w:before="80" w:after="0" w:line="264" w:lineRule="auto"/>
        <w:ind w:firstLine="425"/>
        <w:jc w:val="both"/>
        <w:rPr>
          <w:rFonts w:ascii="Times New Roman" w:eastAsia="Times New Roman" w:hAnsi="Times New Roman"/>
          <w:color w:val="000000" w:themeColor="text1"/>
          <w:sz w:val="24"/>
          <w:szCs w:val="24"/>
        </w:rPr>
      </w:pPr>
      <w:r w:rsidRPr="000B1397">
        <w:rPr>
          <w:rFonts w:ascii="Times New Roman" w:eastAsia="Times New Roman" w:hAnsi="Times New Roman"/>
          <w:color w:val="000000" w:themeColor="text1"/>
          <w:sz w:val="24"/>
          <w:szCs w:val="24"/>
        </w:rPr>
        <w:t>Tak jak w latach ubiegłych</w:t>
      </w:r>
      <w:r w:rsidR="003E21AC" w:rsidRPr="000B1397">
        <w:rPr>
          <w:rFonts w:ascii="Times New Roman" w:eastAsia="Times New Roman" w:hAnsi="Times New Roman"/>
          <w:color w:val="000000" w:themeColor="text1"/>
          <w:sz w:val="24"/>
          <w:szCs w:val="24"/>
        </w:rPr>
        <w:t>,</w:t>
      </w:r>
      <w:r w:rsidRPr="000B1397">
        <w:rPr>
          <w:rFonts w:ascii="Times New Roman" w:eastAsia="Times New Roman" w:hAnsi="Times New Roman"/>
          <w:color w:val="000000" w:themeColor="text1"/>
          <w:sz w:val="24"/>
          <w:szCs w:val="24"/>
        </w:rPr>
        <w:t xml:space="preserve"> niezmien</w:t>
      </w:r>
      <w:r w:rsidR="008747BC" w:rsidRPr="000B1397">
        <w:rPr>
          <w:rFonts w:ascii="Times New Roman" w:eastAsia="Times New Roman" w:hAnsi="Times New Roman"/>
          <w:color w:val="000000" w:themeColor="text1"/>
          <w:sz w:val="24"/>
          <w:szCs w:val="24"/>
        </w:rPr>
        <w:t>ne</w:t>
      </w:r>
      <w:r w:rsidRPr="000B1397">
        <w:rPr>
          <w:rFonts w:ascii="Times New Roman" w:eastAsia="Times New Roman" w:hAnsi="Times New Roman"/>
          <w:color w:val="000000" w:themeColor="text1"/>
          <w:sz w:val="24"/>
          <w:szCs w:val="24"/>
        </w:rPr>
        <w:t xml:space="preserve"> pozostały kryteria sporządzania rankingu, </w:t>
      </w:r>
      <w:r w:rsidR="00D3259A" w:rsidRPr="000B1397">
        <w:rPr>
          <w:rFonts w:ascii="Times New Roman" w:eastAsia="Times New Roman" w:hAnsi="Times New Roman"/>
          <w:color w:val="000000" w:themeColor="text1"/>
          <w:sz w:val="24"/>
          <w:szCs w:val="24"/>
        </w:rPr>
        <w:t>które maj</w:t>
      </w:r>
      <w:r w:rsidR="00DD4B42" w:rsidRPr="000B1397">
        <w:rPr>
          <w:rFonts w:ascii="Times New Roman" w:eastAsia="Times New Roman" w:hAnsi="Times New Roman"/>
          <w:color w:val="000000" w:themeColor="text1"/>
          <w:sz w:val="24"/>
          <w:szCs w:val="24"/>
        </w:rPr>
        <w:t>ą</w:t>
      </w:r>
      <w:r w:rsidR="00D3259A" w:rsidRPr="000B1397">
        <w:rPr>
          <w:rFonts w:ascii="Times New Roman" w:eastAsia="Times New Roman" w:hAnsi="Times New Roman"/>
          <w:color w:val="000000" w:themeColor="text1"/>
          <w:sz w:val="24"/>
          <w:szCs w:val="24"/>
        </w:rPr>
        <w:t xml:space="preserve"> za zadanie ukazani</w:t>
      </w:r>
      <w:r w:rsidR="0028189F" w:rsidRPr="000B1397">
        <w:rPr>
          <w:rFonts w:ascii="Times New Roman" w:eastAsia="Times New Roman" w:hAnsi="Times New Roman"/>
          <w:color w:val="000000" w:themeColor="text1"/>
          <w:sz w:val="24"/>
          <w:szCs w:val="24"/>
        </w:rPr>
        <w:t>e</w:t>
      </w:r>
      <w:r w:rsidR="00D3259A" w:rsidRPr="000B1397">
        <w:rPr>
          <w:rFonts w:ascii="Times New Roman" w:eastAsia="Times New Roman" w:hAnsi="Times New Roman"/>
          <w:color w:val="000000" w:themeColor="text1"/>
          <w:sz w:val="24"/>
          <w:szCs w:val="24"/>
        </w:rPr>
        <w:t xml:space="preserve"> aktualnej sytuacji</w:t>
      </w:r>
      <w:r w:rsidR="00373FEC" w:rsidRPr="000B1397">
        <w:rPr>
          <w:rFonts w:ascii="Times New Roman" w:eastAsia="Times New Roman" w:hAnsi="Times New Roman"/>
          <w:color w:val="000000" w:themeColor="text1"/>
          <w:sz w:val="24"/>
          <w:szCs w:val="24"/>
        </w:rPr>
        <w:t xml:space="preserve"> ek</w:t>
      </w:r>
      <w:r w:rsidR="00D3259A" w:rsidRPr="000B1397">
        <w:rPr>
          <w:rFonts w:ascii="Times New Roman" w:eastAsia="Times New Roman" w:hAnsi="Times New Roman"/>
          <w:color w:val="000000" w:themeColor="text1"/>
          <w:sz w:val="24"/>
          <w:szCs w:val="24"/>
        </w:rPr>
        <w:t>onomicznej spółdzielni</w:t>
      </w:r>
      <w:r w:rsidR="00443446" w:rsidRPr="000B1397">
        <w:rPr>
          <w:rFonts w:ascii="Times New Roman" w:eastAsia="Times New Roman" w:hAnsi="Times New Roman"/>
          <w:color w:val="000000" w:themeColor="text1"/>
          <w:sz w:val="24"/>
          <w:szCs w:val="24"/>
        </w:rPr>
        <w:t xml:space="preserve">. </w:t>
      </w:r>
      <w:r w:rsidRPr="000B1397">
        <w:rPr>
          <w:rFonts w:ascii="Times New Roman" w:eastAsia="Times New Roman" w:hAnsi="Times New Roman"/>
          <w:color w:val="000000" w:themeColor="text1"/>
          <w:sz w:val="24"/>
          <w:szCs w:val="24"/>
        </w:rPr>
        <w:t>O</w:t>
      </w:r>
      <w:r w:rsidR="00443446" w:rsidRPr="000B1397">
        <w:rPr>
          <w:rFonts w:ascii="Times New Roman" w:eastAsia="Times New Roman" w:hAnsi="Times New Roman"/>
          <w:color w:val="000000" w:themeColor="text1"/>
          <w:sz w:val="24"/>
          <w:szCs w:val="24"/>
        </w:rPr>
        <w:t xml:space="preserve"> pozycji na liście danej spółdzielni decyd</w:t>
      </w:r>
      <w:r w:rsidRPr="000B1397">
        <w:rPr>
          <w:rFonts w:ascii="Times New Roman" w:eastAsia="Times New Roman" w:hAnsi="Times New Roman"/>
          <w:color w:val="000000" w:themeColor="text1"/>
          <w:sz w:val="24"/>
          <w:szCs w:val="24"/>
        </w:rPr>
        <w:t>owały</w:t>
      </w:r>
      <w:r w:rsidR="00443446" w:rsidRPr="000B1397">
        <w:rPr>
          <w:rFonts w:ascii="Times New Roman" w:eastAsia="Times New Roman" w:hAnsi="Times New Roman"/>
          <w:color w:val="000000" w:themeColor="text1"/>
          <w:sz w:val="24"/>
          <w:szCs w:val="24"/>
        </w:rPr>
        <w:t xml:space="preserve"> 4 wskaźniki i jeden miernik</w:t>
      </w:r>
      <w:r w:rsidR="00E53F04" w:rsidRPr="000B1397">
        <w:rPr>
          <w:rFonts w:ascii="Times New Roman" w:eastAsia="Times New Roman" w:hAnsi="Times New Roman"/>
          <w:color w:val="000000" w:themeColor="text1"/>
          <w:sz w:val="24"/>
          <w:szCs w:val="24"/>
        </w:rPr>
        <w:t>,</w:t>
      </w:r>
      <w:r w:rsidR="00443446" w:rsidRPr="000B1397">
        <w:rPr>
          <w:rFonts w:ascii="Times New Roman" w:eastAsia="Times New Roman" w:hAnsi="Times New Roman"/>
          <w:color w:val="000000" w:themeColor="text1"/>
          <w:sz w:val="24"/>
          <w:szCs w:val="24"/>
        </w:rPr>
        <w:t xml:space="preserve"> tj.</w:t>
      </w:r>
      <w:r w:rsidR="001B2266" w:rsidRPr="000B1397">
        <w:rPr>
          <w:rFonts w:ascii="Times New Roman" w:eastAsia="Times New Roman" w:hAnsi="Times New Roman"/>
          <w:color w:val="000000" w:themeColor="text1"/>
          <w:sz w:val="24"/>
          <w:szCs w:val="24"/>
        </w:rPr>
        <w:t xml:space="preserve"> </w:t>
      </w:r>
      <w:r w:rsidR="00373FEC" w:rsidRPr="000B1397">
        <w:rPr>
          <w:rFonts w:ascii="Times New Roman" w:eastAsia="Times New Roman" w:hAnsi="Times New Roman"/>
          <w:color w:val="000000" w:themeColor="text1"/>
          <w:sz w:val="24"/>
          <w:szCs w:val="24"/>
        </w:rPr>
        <w:t>dochodowoś</w:t>
      </w:r>
      <w:r w:rsidR="00443446" w:rsidRPr="000B1397">
        <w:rPr>
          <w:rFonts w:ascii="Times New Roman" w:eastAsia="Times New Roman" w:hAnsi="Times New Roman"/>
          <w:color w:val="000000" w:themeColor="text1"/>
          <w:sz w:val="24"/>
          <w:szCs w:val="24"/>
        </w:rPr>
        <w:t>ć</w:t>
      </w:r>
      <w:r w:rsidR="00373FEC" w:rsidRPr="000B1397">
        <w:rPr>
          <w:rFonts w:ascii="Times New Roman" w:eastAsia="Times New Roman" w:hAnsi="Times New Roman"/>
          <w:color w:val="000000" w:themeColor="text1"/>
          <w:sz w:val="24"/>
          <w:szCs w:val="24"/>
        </w:rPr>
        <w:t xml:space="preserve"> pracy, </w:t>
      </w:r>
      <w:r w:rsidR="001B2266" w:rsidRPr="000B1397">
        <w:rPr>
          <w:rFonts w:ascii="Times New Roman" w:eastAsia="Times New Roman" w:hAnsi="Times New Roman"/>
          <w:color w:val="000000" w:themeColor="text1"/>
          <w:sz w:val="24"/>
          <w:szCs w:val="24"/>
        </w:rPr>
        <w:t>rentownoś</w:t>
      </w:r>
      <w:r w:rsidR="00443446" w:rsidRPr="000B1397">
        <w:rPr>
          <w:rFonts w:ascii="Times New Roman" w:eastAsia="Times New Roman" w:hAnsi="Times New Roman"/>
          <w:color w:val="000000" w:themeColor="text1"/>
          <w:sz w:val="24"/>
          <w:szCs w:val="24"/>
        </w:rPr>
        <w:t>ć</w:t>
      </w:r>
      <w:r w:rsidR="001B2266" w:rsidRPr="000B1397">
        <w:rPr>
          <w:rFonts w:ascii="Times New Roman" w:eastAsia="Times New Roman" w:hAnsi="Times New Roman"/>
          <w:color w:val="000000" w:themeColor="text1"/>
          <w:sz w:val="24"/>
          <w:szCs w:val="24"/>
        </w:rPr>
        <w:t xml:space="preserve"> </w:t>
      </w:r>
      <w:r w:rsidR="00373FEC" w:rsidRPr="000B1397">
        <w:rPr>
          <w:rFonts w:ascii="Times New Roman" w:eastAsia="Times New Roman" w:hAnsi="Times New Roman"/>
          <w:color w:val="000000" w:themeColor="text1"/>
          <w:sz w:val="24"/>
          <w:szCs w:val="24"/>
        </w:rPr>
        <w:t>działalności gospodarczej, wydajnoś</w:t>
      </w:r>
      <w:r w:rsidR="00443446" w:rsidRPr="000B1397">
        <w:rPr>
          <w:rFonts w:ascii="Times New Roman" w:eastAsia="Times New Roman" w:hAnsi="Times New Roman"/>
          <w:color w:val="000000" w:themeColor="text1"/>
          <w:sz w:val="24"/>
          <w:szCs w:val="24"/>
        </w:rPr>
        <w:t>ć</w:t>
      </w:r>
      <w:r w:rsidR="00E53F04" w:rsidRPr="000B1397">
        <w:rPr>
          <w:rFonts w:ascii="Times New Roman" w:eastAsia="Times New Roman" w:hAnsi="Times New Roman"/>
          <w:color w:val="000000" w:themeColor="text1"/>
          <w:sz w:val="24"/>
          <w:szCs w:val="24"/>
        </w:rPr>
        <w:t xml:space="preserve"> pracy, </w:t>
      </w:r>
      <w:r w:rsidR="00373FEC" w:rsidRPr="000B1397">
        <w:rPr>
          <w:rFonts w:ascii="Times New Roman" w:eastAsia="Times New Roman" w:hAnsi="Times New Roman"/>
          <w:color w:val="000000" w:themeColor="text1"/>
          <w:sz w:val="24"/>
          <w:szCs w:val="24"/>
        </w:rPr>
        <w:t>przychod</w:t>
      </w:r>
      <w:r w:rsidR="00443446" w:rsidRPr="000B1397">
        <w:rPr>
          <w:rFonts w:ascii="Times New Roman" w:eastAsia="Times New Roman" w:hAnsi="Times New Roman"/>
          <w:color w:val="000000" w:themeColor="text1"/>
          <w:sz w:val="24"/>
          <w:szCs w:val="24"/>
        </w:rPr>
        <w:t>y</w:t>
      </w:r>
      <w:r w:rsidR="001B2266" w:rsidRPr="000B1397">
        <w:rPr>
          <w:rFonts w:ascii="Times New Roman" w:eastAsia="Times New Roman" w:hAnsi="Times New Roman"/>
          <w:color w:val="000000" w:themeColor="text1"/>
          <w:sz w:val="24"/>
          <w:szCs w:val="24"/>
        </w:rPr>
        <w:t xml:space="preserve"> ogółem </w:t>
      </w:r>
      <w:r w:rsidR="00443446" w:rsidRPr="000B1397">
        <w:rPr>
          <w:rFonts w:ascii="Times New Roman" w:eastAsia="Times New Roman" w:hAnsi="Times New Roman"/>
          <w:color w:val="000000" w:themeColor="text1"/>
          <w:sz w:val="24"/>
          <w:szCs w:val="24"/>
        </w:rPr>
        <w:t xml:space="preserve">oraz </w:t>
      </w:r>
      <w:r w:rsidR="00373FEC" w:rsidRPr="000B1397">
        <w:rPr>
          <w:rFonts w:ascii="Times New Roman" w:eastAsia="Times New Roman" w:hAnsi="Times New Roman"/>
          <w:color w:val="000000" w:themeColor="text1"/>
          <w:sz w:val="24"/>
          <w:szCs w:val="24"/>
        </w:rPr>
        <w:t xml:space="preserve">indeks tworzenia wartości. </w:t>
      </w:r>
    </w:p>
    <w:p w:rsidR="00DC2BA4" w:rsidRPr="000B1397" w:rsidRDefault="00893892" w:rsidP="00EA7CA9">
      <w:pPr>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t>Ponieważ największe podziękowania należą się spółdzielniom</w:t>
      </w:r>
      <w:r w:rsidR="003E21AC" w:rsidRPr="000B1397">
        <w:rPr>
          <w:rFonts w:ascii="Times New Roman" w:hAnsi="Times New Roman"/>
          <w:color w:val="000000" w:themeColor="text1"/>
          <w:sz w:val="24"/>
          <w:szCs w:val="24"/>
        </w:rPr>
        <w:t>,</w:t>
      </w:r>
      <w:r w:rsidRPr="000B1397">
        <w:rPr>
          <w:rFonts w:ascii="Times New Roman" w:hAnsi="Times New Roman"/>
          <w:color w:val="000000" w:themeColor="text1"/>
          <w:sz w:val="24"/>
          <w:szCs w:val="24"/>
        </w:rPr>
        <w:t xml:space="preserve"> </w:t>
      </w:r>
      <w:r w:rsidR="000B1397" w:rsidRPr="000B1397">
        <w:rPr>
          <w:rFonts w:ascii="Times New Roman" w:hAnsi="Times New Roman"/>
          <w:color w:val="000000" w:themeColor="text1"/>
          <w:sz w:val="24"/>
          <w:szCs w:val="24"/>
        </w:rPr>
        <w:t>które nieprzerwanie</w:t>
      </w:r>
      <w:r w:rsidRPr="000B1397">
        <w:rPr>
          <w:rFonts w:ascii="Times New Roman" w:hAnsi="Times New Roman"/>
          <w:color w:val="000000" w:themeColor="text1"/>
          <w:sz w:val="24"/>
          <w:szCs w:val="24"/>
        </w:rPr>
        <w:t xml:space="preserve"> w tym przedsięwzięciu uczestniczą</w:t>
      </w:r>
      <w:r w:rsidR="00F65252" w:rsidRPr="000B1397">
        <w:rPr>
          <w:rFonts w:ascii="Times New Roman" w:hAnsi="Times New Roman"/>
          <w:color w:val="000000" w:themeColor="text1"/>
          <w:sz w:val="24"/>
          <w:szCs w:val="24"/>
        </w:rPr>
        <w:t>,</w:t>
      </w:r>
      <w:r w:rsidRPr="000B1397">
        <w:rPr>
          <w:rFonts w:ascii="Times New Roman" w:hAnsi="Times New Roman"/>
          <w:color w:val="000000" w:themeColor="text1"/>
          <w:sz w:val="24"/>
          <w:szCs w:val="24"/>
        </w:rPr>
        <w:t xml:space="preserve"> na samym początku </w:t>
      </w:r>
      <w:r w:rsidR="00252924" w:rsidRPr="000B1397">
        <w:rPr>
          <w:rFonts w:ascii="Times New Roman" w:hAnsi="Times New Roman"/>
          <w:color w:val="000000" w:themeColor="text1"/>
          <w:sz w:val="24"/>
          <w:szCs w:val="24"/>
        </w:rPr>
        <w:t>przedstawiamy czołówkę</w:t>
      </w:r>
      <w:r w:rsidRPr="000B1397">
        <w:rPr>
          <w:rFonts w:ascii="Times New Roman" w:hAnsi="Times New Roman"/>
          <w:color w:val="000000" w:themeColor="text1"/>
          <w:sz w:val="24"/>
          <w:szCs w:val="24"/>
        </w:rPr>
        <w:t xml:space="preserve"> rankingu z lat 2014-2016</w:t>
      </w:r>
      <w:r w:rsidR="003E21AC" w:rsidRPr="000B1397">
        <w:rPr>
          <w:rFonts w:ascii="Times New Roman" w:hAnsi="Times New Roman"/>
          <w:color w:val="000000" w:themeColor="text1"/>
          <w:sz w:val="24"/>
          <w:szCs w:val="24"/>
        </w:rPr>
        <w:t xml:space="preserve"> (tabela</w:t>
      </w:r>
      <w:r w:rsidR="00E30516" w:rsidRPr="000B1397">
        <w:rPr>
          <w:rFonts w:ascii="Times New Roman" w:hAnsi="Times New Roman"/>
          <w:color w:val="000000" w:themeColor="text1"/>
          <w:sz w:val="24"/>
          <w:szCs w:val="24"/>
        </w:rPr>
        <w:t xml:space="preserve"> </w:t>
      </w:r>
      <w:r w:rsidR="00252924" w:rsidRPr="000B1397">
        <w:rPr>
          <w:rFonts w:ascii="Times New Roman" w:hAnsi="Times New Roman"/>
          <w:color w:val="000000" w:themeColor="text1"/>
          <w:sz w:val="24"/>
          <w:szCs w:val="24"/>
        </w:rPr>
        <w:t>5)</w:t>
      </w:r>
      <w:r w:rsidRPr="000B1397">
        <w:rPr>
          <w:rFonts w:ascii="Times New Roman" w:hAnsi="Times New Roman"/>
          <w:color w:val="000000" w:themeColor="text1"/>
          <w:sz w:val="24"/>
          <w:szCs w:val="24"/>
        </w:rPr>
        <w:t xml:space="preserve">. </w:t>
      </w:r>
      <w:r w:rsidR="00DC2BA4" w:rsidRPr="000B1397">
        <w:rPr>
          <w:rFonts w:ascii="Times New Roman" w:hAnsi="Times New Roman"/>
          <w:color w:val="000000" w:themeColor="text1"/>
          <w:sz w:val="24"/>
          <w:szCs w:val="24"/>
        </w:rPr>
        <w:t>Tak jak w przypadku głównego zestawienia</w:t>
      </w:r>
      <w:r w:rsidR="0027315F" w:rsidRPr="000B1397">
        <w:rPr>
          <w:rFonts w:ascii="Times New Roman" w:hAnsi="Times New Roman"/>
          <w:color w:val="000000" w:themeColor="text1"/>
          <w:sz w:val="24"/>
          <w:szCs w:val="24"/>
        </w:rPr>
        <w:t>,</w:t>
      </w:r>
      <w:r w:rsidR="00DC2BA4" w:rsidRPr="000B1397">
        <w:rPr>
          <w:rFonts w:ascii="Times New Roman" w:hAnsi="Times New Roman"/>
          <w:color w:val="000000" w:themeColor="text1"/>
          <w:sz w:val="24"/>
          <w:szCs w:val="24"/>
        </w:rPr>
        <w:t xml:space="preserve"> o miejscu na tej liście decydowała suma mi</w:t>
      </w:r>
      <w:r w:rsidR="002466DD" w:rsidRPr="000B1397">
        <w:rPr>
          <w:rFonts w:ascii="Times New Roman" w:hAnsi="Times New Roman"/>
          <w:color w:val="000000" w:themeColor="text1"/>
          <w:sz w:val="24"/>
          <w:szCs w:val="24"/>
        </w:rPr>
        <w:t>e</w:t>
      </w:r>
      <w:r w:rsidR="00D40C12" w:rsidRPr="000B1397">
        <w:rPr>
          <w:rFonts w:ascii="Times New Roman" w:hAnsi="Times New Roman"/>
          <w:color w:val="000000" w:themeColor="text1"/>
          <w:sz w:val="24"/>
          <w:szCs w:val="24"/>
        </w:rPr>
        <w:t>rników syntetycznych</w:t>
      </w:r>
      <w:r w:rsidR="00DC2BA4" w:rsidRPr="000B1397">
        <w:rPr>
          <w:rFonts w:ascii="Times New Roman" w:hAnsi="Times New Roman"/>
          <w:color w:val="000000" w:themeColor="text1"/>
          <w:sz w:val="24"/>
          <w:szCs w:val="24"/>
        </w:rPr>
        <w:t>.</w:t>
      </w:r>
      <w:r w:rsidR="002466DD" w:rsidRPr="000B1397">
        <w:rPr>
          <w:rFonts w:ascii="Times New Roman" w:hAnsi="Times New Roman"/>
          <w:color w:val="000000" w:themeColor="text1"/>
          <w:sz w:val="24"/>
          <w:szCs w:val="24"/>
        </w:rPr>
        <w:t xml:space="preserve"> Im była ona niższa, tym wyższa</w:t>
      </w:r>
      <w:r w:rsidR="0027315F" w:rsidRPr="000B1397">
        <w:rPr>
          <w:rFonts w:ascii="Times New Roman" w:hAnsi="Times New Roman"/>
          <w:color w:val="000000" w:themeColor="text1"/>
          <w:sz w:val="24"/>
          <w:szCs w:val="24"/>
        </w:rPr>
        <w:t xml:space="preserve"> była</w:t>
      </w:r>
      <w:r w:rsidR="00901025" w:rsidRPr="000B1397">
        <w:rPr>
          <w:rFonts w:ascii="Times New Roman" w:hAnsi="Times New Roman"/>
          <w:color w:val="000000" w:themeColor="text1"/>
          <w:sz w:val="24"/>
          <w:szCs w:val="24"/>
        </w:rPr>
        <w:t xml:space="preserve"> lokata</w:t>
      </w:r>
      <w:r w:rsidR="002466DD" w:rsidRPr="000B1397">
        <w:rPr>
          <w:rFonts w:ascii="Times New Roman" w:hAnsi="Times New Roman"/>
          <w:color w:val="000000" w:themeColor="text1"/>
          <w:sz w:val="24"/>
          <w:szCs w:val="24"/>
        </w:rPr>
        <w:t xml:space="preserve"> spółdzielni. W </w:t>
      </w:r>
      <w:r w:rsidR="00207498" w:rsidRPr="000B1397">
        <w:rPr>
          <w:rFonts w:ascii="Times New Roman" w:hAnsi="Times New Roman"/>
          <w:color w:val="000000" w:themeColor="text1"/>
          <w:sz w:val="24"/>
          <w:szCs w:val="24"/>
        </w:rPr>
        <w:t>tegorocznym</w:t>
      </w:r>
      <w:r w:rsidR="002466DD" w:rsidRPr="000B1397">
        <w:rPr>
          <w:rFonts w:ascii="Times New Roman" w:hAnsi="Times New Roman"/>
          <w:color w:val="000000" w:themeColor="text1"/>
          <w:sz w:val="24"/>
          <w:szCs w:val="24"/>
        </w:rPr>
        <w:t xml:space="preserve"> rankingu </w:t>
      </w:r>
      <w:r w:rsidR="00207498" w:rsidRPr="000B1397">
        <w:rPr>
          <w:rFonts w:ascii="Times New Roman" w:hAnsi="Times New Roman"/>
          <w:color w:val="000000" w:themeColor="text1"/>
          <w:sz w:val="24"/>
          <w:szCs w:val="24"/>
        </w:rPr>
        <w:t>n</w:t>
      </w:r>
      <w:r w:rsidR="002466DD" w:rsidRPr="000B1397">
        <w:rPr>
          <w:rFonts w:ascii="Times New Roman" w:hAnsi="Times New Roman"/>
          <w:color w:val="000000" w:themeColor="text1"/>
          <w:sz w:val="24"/>
          <w:szCs w:val="24"/>
        </w:rPr>
        <w:t>iezmiennie</w:t>
      </w:r>
      <w:r w:rsidR="00901025" w:rsidRPr="000B1397">
        <w:rPr>
          <w:rFonts w:ascii="Times New Roman" w:hAnsi="Times New Roman"/>
          <w:color w:val="000000" w:themeColor="text1"/>
          <w:sz w:val="24"/>
          <w:szCs w:val="24"/>
        </w:rPr>
        <w:t>, mimo trzeciej lokaty w zestawieniu głównym</w:t>
      </w:r>
      <w:r w:rsidR="00895E37">
        <w:rPr>
          <w:rFonts w:ascii="Times New Roman" w:hAnsi="Times New Roman"/>
          <w:color w:val="000000" w:themeColor="text1"/>
          <w:sz w:val="24"/>
          <w:szCs w:val="24"/>
        </w:rPr>
        <w:t>, trzeci</w:t>
      </w:r>
      <w:r w:rsidR="00A702EC" w:rsidRPr="000B1397">
        <w:rPr>
          <w:rFonts w:ascii="Times New Roman" w:hAnsi="Times New Roman"/>
          <w:color w:val="000000" w:themeColor="text1"/>
          <w:sz w:val="24"/>
          <w:szCs w:val="24"/>
        </w:rPr>
        <w:t xml:space="preserve"> rok z rzędu </w:t>
      </w:r>
      <w:r w:rsidR="0027315F" w:rsidRPr="000B1397">
        <w:rPr>
          <w:rFonts w:ascii="Times New Roman" w:hAnsi="Times New Roman"/>
          <w:color w:val="000000" w:themeColor="text1"/>
          <w:sz w:val="24"/>
          <w:szCs w:val="24"/>
        </w:rPr>
        <w:t>pozycję</w:t>
      </w:r>
      <w:r w:rsidR="002466DD" w:rsidRPr="000B1397">
        <w:rPr>
          <w:rFonts w:ascii="Times New Roman" w:hAnsi="Times New Roman"/>
          <w:color w:val="000000" w:themeColor="text1"/>
          <w:sz w:val="24"/>
          <w:szCs w:val="24"/>
        </w:rPr>
        <w:t xml:space="preserve"> lidera </w:t>
      </w:r>
      <w:r w:rsidR="00901025" w:rsidRPr="000B1397">
        <w:rPr>
          <w:rFonts w:ascii="Times New Roman" w:hAnsi="Times New Roman"/>
          <w:color w:val="000000" w:themeColor="text1"/>
          <w:sz w:val="24"/>
          <w:szCs w:val="24"/>
        </w:rPr>
        <w:t>utrzymuje</w:t>
      </w:r>
      <w:r w:rsidR="002466DD" w:rsidRPr="000B1397">
        <w:rPr>
          <w:rFonts w:ascii="Times New Roman" w:hAnsi="Times New Roman"/>
          <w:color w:val="000000" w:themeColor="text1"/>
          <w:sz w:val="24"/>
          <w:szCs w:val="24"/>
        </w:rPr>
        <w:t xml:space="preserve"> RSP Hopkie</w:t>
      </w:r>
      <w:r w:rsidR="009500FE" w:rsidRPr="000B1397">
        <w:rPr>
          <w:rFonts w:ascii="Times New Roman" w:hAnsi="Times New Roman"/>
          <w:color w:val="000000" w:themeColor="text1"/>
          <w:sz w:val="24"/>
          <w:szCs w:val="24"/>
        </w:rPr>
        <w:t xml:space="preserve"> z woj. lubelskiego.</w:t>
      </w:r>
      <w:r w:rsidR="00207498" w:rsidRPr="000B1397">
        <w:rPr>
          <w:rFonts w:ascii="Times New Roman" w:hAnsi="Times New Roman"/>
          <w:color w:val="000000" w:themeColor="text1"/>
          <w:sz w:val="24"/>
          <w:szCs w:val="24"/>
        </w:rPr>
        <w:t xml:space="preserve"> </w:t>
      </w:r>
      <w:r w:rsidR="00895E37">
        <w:rPr>
          <w:rFonts w:ascii="Times New Roman" w:hAnsi="Times New Roman"/>
          <w:color w:val="000000" w:themeColor="text1"/>
          <w:sz w:val="24"/>
          <w:szCs w:val="24"/>
        </w:rPr>
        <w:t xml:space="preserve">Na drugiej pozycji pozostała RSP Krzywa z woj. podlaskiego, która zajęła czwarte miejsce w tegorocznym rankingu 100. </w:t>
      </w:r>
      <w:r w:rsidR="00E30516" w:rsidRPr="000B1397">
        <w:rPr>
          <w:rFonts w:ascii="Times New Roman" w:hAnsi="Times New Roman"/>
          <w:color w:val="000000" w:themeColor="text1"/>
          <w:sz w:val="24"/>
          <w:szCs w:val="24"/>
        </w:rPr>
        <w:t>Trzecie miejsce</w:t>
      </w:r>
      <w:r w:rsidR="005B61C8" w:rsidRPr="000B1397">
        <w:rPr>
          <w:rFonts w:ascii="Times New Roman" w:hAnsi="Times New Roman"/>
          <w:color w:val="000000" w:themeColor="text1"/>
          <w:sz w:val="24"/>
          <w:szCs w:val="24"/>
        </w:rPr>
        <w:t xml:space="preserve"> trzyletniego</w:t>
      </w:r>
      <w:r w:rsidR="00E53F04" w:rsidRPr="000B1397">
        <w:rPr>
          <w:rFonts w:ascii="Times New Roman" w:hAnsi="Times New Roman"/>
          <w:color w:val="000000" w:themeColor="text1"/>
          <w:sz w:val="24"/>
          <w:szCs w:val="24"/>
        </w:rPr>
        <w:t xml:space="preserve"> rankingu</w:t>
      </w:r>
      <w:r w:rsidR="00E30516" w:rsidRPr="000B1397">
        <w:rPr>
          <w:rFonts w:ascii="Times New Roman" w:hAnsi="Times New Roman"/>
          <w:color w:val="000000" w:themeColor="text1"/>
          <w:sz w:val="24"/>
          <w:szCs w:val="24"/>
        </w:rPr>
        <w:t xml:space="preserve"> przypadło</w:t>
      </w:r>
      <w:r w:rsidR="009500FE" w:rsidRPr="000B1397">
        <w:rPr>
          <w:rFonts w:ascii="Times New Roman" w:hAnsi="Times New Roman"/>
          <w:color w:val="000000" w:themeColor="text1"/>
          <w:sz w:val="24"/>
          <w:szCs w:val="24"/>
        </w:rPr>
        <w:t xml:space="preserve"> </w:t>
      </w:r>
      <w:r w:rsidR="00207498" w:rsidRPr="000B1397">
        <w:rPr>
          <w:rFonts w:ascii="Times New Roman" w:hAnsi="Times New Roman"/>
          <w:color w:val="000000" w:themeColor="text1"/>
          <w:sz w:val="24"/>
          <w:szCs w:val="24"/>
        </w:rPr>
        <w:t xml:space="preserve">RSP </w:t>
      </w:r>
      <w:r w:rsidR="006E6960" w:rsidRPr="000B1397">
        <w:rPr>
          <w:rFonts w:ascii="Times New Roman" w:hAnsi="Times New Roman"/>
          <w:color w:val="000000" w:themeColor="text1"/>
          <w:sz w:val="24"/>
          <w:szCs w:val="24"/>
        </w:rPr>
        <w:t>Gierałcice</w:t>
      </w:r>
      <w:r w:rsidR="00207498" w:rsidRPr="000B1397">
        <w:rPr>
          <w:rFonts w:ascii="Times New Roman" w:hAnsi="Times New Roman"/>
          <w:color w:val="000000" w:themeColor="text1"/>
          <w:sz w:val="24"/>
          <w:szCs w:val="24"/>
        </w:rPr>
        <w:t xml:space="preserve"> z woj. </w:t>
      </w:r>
      <w:r w:rsidR="006E6960" w:rsidRPr="000B1397">
        <w:rPr>
          <w:rFonts w:ascii="Times New Roman" w:hAnsi="Times New Roman"/>
          <w:color w:val="000000" w:themeColor="text1"/>
          <w:sz w:val="24"/>
          <w:szCs w:val="24"/>
        </w:rPr>
        <w:t>opolskiego</w:t>
      </w:r>
      <w:r w:rsidR="00207498" w:rsidRPr="000B1397">
        <w:rPr>
          <w:rFonts w:ascii="Times New Roman" w:hAnsi="Times New Roman"/>
          <w:color w:val="000000" w:themeColor="text1"/>
          <w:sz w:val="24"/>
          <w:szCs w:val="24"/>
        </w:rPr>
        <w:t>,</w:t>
      </w:r>
      <w:r w:rsidR="00DC2BA4" w:rsidRPr="000B1397">
        <w:rPr>
          <w:rFonts w:ascii="Times New Roman" w:hAnsi="Times New Roman"/>
          <w:color w:val="000000" w:themeColor="text1"/>
          <w:sz w:val="24"/>
          <w:szCs w:val="24"/>
        </w:rPr>
        <w:t xml:space="preserve"> </w:t>
      </w:r>
      <w:r w:rsidR="005B61C8" w:rsidRPr="000B1397">
        <w:rPr>
          <w:rFonts w:ascii="Times New Roman" w:hAnsi="Times New Roman"/>
          <w:color w:val="000000" w:themeColor="text1"/>
          <w:sz w:val="24"/>
          <w:szCs w:val="24"/>
        </w:rPr>
        <w:t xml:space="preserve">która zajmuje </w:t>
      </w:r>
      <w:r w:rsidR="006E6960" w:rsidRPr="000B1397">
        <w:rPr>
          <w:rFonts w:ascii="Times New Roman" w:hAnsi="Times New Roman"/>
          <w:color w:val="000000" w:themeColor="text1"/>
          <w:sz w:val="24"/>
          <w:szCs w:val="24"/>
        </w:rPr>
        <w:t>ósmą</w:t>
      </w:r>
      <w:r w:rsidR="005B61C8" w:rsidRPr="000B1397">
        <w:rPr>
          <w:rFonts w:ascii="Times New Roman" w:hAnsi="Times New Roman"/>
          <w:color w:val="000000" w:themeColor="text1"/>
          <w:sz w:val="24"/>
          <w:szCs w:val="24"/>
        </w:rPr>
        <w:t xml:space="preserve"> lokatę</w:t>
      </w:r>
      <w:r w:rsidR="009C7EA1" w:rsidRPr="000B1397">
        <w:rPr>
          <w:rFonts w:ascii="Times New Roman" w:hAnsi="Times New Roman"/>
          <w:color w:val="000000" w:themeColor="text1"/>
          <w:sz w:val="24"/>
          <w:szCs w:val="24"/>
        </w:rPr>
        <w:t xml:space="preserve"> w </w:t>
      </w:r>
      <w:r w:rsidR="00D40C12" w:rsidRPr="000B1397">
        <w:rPr>
          <w:rFonts w:ascii="Times New Roman" w:hAnsi="Times New Roman"/>
          <w:color w:val="000000" w:themeColor="text1"/>
          <w:sz w:val="24"/>
          <w:szCs w:val="24"/>
        </w:rPr>
        <w:t>głównym zestawieniu</w:t>
      </w:r>
      <w:r w:rsidR="00DC2BA4" w:rsidRPr="000B1397">
        <w:rPr>
          <w:rFonts w:ascii="Times New Roman" w:hAnsi="Times New Roman"/>
          <w:color w:val="000000" w:themeColor="text1"/>
          <w:sz w:val="24"/>
          <w:szCs w:val="24"/>
        </w:rPr>
        <w:t xml:space="preserve">. </w:t>
      </w:r>
      <w:r w:rsidR="00207498" w:rsidRPr="000B1397">
        <w:rPr>
          <w:rFonts w:ascii="Times New Roman" w:hAnsi="Times New Roman"/>
          <w:color w:val="000000" w:themeColor="text1"/>
          <w:sz w:val="24"/>
          <w:szCs w:val="24"/>
        </w:rPr>
        <w:t>Większa miarodajność</w:t>
      </w:r>
      <w:r w:rsidR="00877025" w:rsidRPr="000B1397">
        <w:rPr>
          <w:rFonts w:ascii="Times New Roman" w:hAnsi="Times New Roman"/>
          <w:color w:val="000000" w:themeColor="text1"/>
          <w:sz w:val="24"/>
          <w:szCs w:val="24"/>
        </w:rPr>
        <w:t xml:space="preserve"> trzyletniego</w:t>
      </w:r>
      <w:r w:rsidR="003F129D" w:rsidRPr="000B1397">
        <w:rPr>
          <w:rFonts w:ascii="Times New Roman" w:hAnsi="Times New Roman"/>
          <w:color w:val="000000" w:themeColor="text1"/>
          <w:sz w:val="24"/>
          <w:szCs w:val="24"/>
        </w:rPr>
        <w:t xml:space="preserve"> </w:t>
      </w:r>
      <w:r w:rsidR="00877025" w:rsidRPr="000B1397">
        <w:rPr>
          <w:rFonts w:ascii="Times New Roman" w:hAnsi="Times New Roman"/>
          <w:color w:val="000000" w:themeColor="text1"/>
          <w:sz w:val="24"/>
          <w:szCs w:val="24"/>
        </w:rPr>
        <w:t>rankingu</w:t>
      </w:r>
      <w:r w:rsidR="00415AB8" w:rsidRPr="000B1397">
        <w:rPr>
          <w:rFonts w:ascii="Times New Roman" w:hAnsi="Times New Roman"/>
          <w:color w:val="000000" w:themeColor="text1"/>
          <w:sz w:val="24"/>
          <w:szCs w:val="24"/>
        </w:rPr>
        <w:t xml:space="preserve"> </w:t>
      </w:r>
      <w:r w:rsidR="005B61C8" w:rsidRPr="000B1397">
        <w:rPr>
          <w:rFonts w:ascii="Times New Roman" w:hAnsi="Times New Roman"/>
          <w:color w:val="000000" w:themeColor="text1"/>
          <w:sz w:val="24"/>
          <w:szCs w:val="24"/>
        </w:rPr>
        <w:t xml:space="preserve">predysponuje wszystkie spółdzielnie </w:t>
      </w:r>
      <w:r w:rsidR="00EF6D1A" w:rsidRPr="000B1397">
        <w:rPr>
          <w:rFonts w:ascii="Times New Roman" w:hAnsi="Times New Roman"/>
          <w:color w:val="000000" w:themeColor="text1"/>
          <w:sz w:val="24"/>
          <w:szCs w:val="24"/>
        </w:rPr>
        <w:t>z tej listy do grona super</w:t>
      </w:r>
      <w:r w:rsidR="005B61C8" w:rsidRPr="000B1397">
        <w:rPr>
          <w:rFonts w:ascii="Times New Roman" w:hAnsi="Times New Roman"/>
          <w:color w:val="000000" w:themeColor="text1"/>
          <w:sz w:val="24"/>
          <w:szCs w:val="24"/>
        </w:rPr>
        <w:t>elit</w:t>
      </w:r>
      <w:r w:rsidR="00E53F04" w:rsidRPr="000B1397">
        <w:rPr>
          <w:rFonts w:ascii="Times New Roman" w:hAnsi="Times New Roman"/>
          <w:color w:val="000000" w:themeColor="text1"/>
          <w:sz w:val="24"/>
          <w:szCs w:val="24"/>
        </w:rPr>
        <w:t xml:space="preserve">y </w:t>
      </w:r>
      <w:r w:rsidR="00EE3EF9" w:rsidRPr="000B1397">
        <w:rPr>
          <w:rFonts w:ascii="Times New Roman" w:hAnsi="Times New Roman"/>
          <w:color w:val="000000" w:themeColor="text1"/>
          <w:sz w:val="24"/>
          <w:szCs w:val="24"/>
        </w:rPr>
        <w:t>wśród rolniczych spółdzielni produkcyjnych</w:t>
      </w:r>
      <w:r w:rsidR="00DC2BA4" w:rsidRPr="000B1397">
        <w:rPr>
          <w:rFonts w:ascii="Times New Roman" w:hAnsi="Times New Roman"/>
          <w:color w:val="000000" w:themeColor="text1"/>
          <w:sz w:val="24"/>
          <w:szCs w:val="24"/>
        </w:rPr>
        <w:t xml:space="preserve">. </w:t>
      </w:r>
    </w:p>
    <w:p w:rsidR="00040929" w:rsidRPr="000B1397" w:rsidRDefault="00040929" w:rsidP="00C134AC">
      <w:pPr>
        <w:pStyle w:val="Nagwek2"/>
        <w:rPr>
          <w:color w:val="000000" w:themeColor="text1"/>
        </w:rPr>
      </w:pPr>
      <w:r w:rsidRPr="000B1397">
        <w:rPr>
          <w:color w:val="000000" w:themeColor="text1"/>
        </w:rPr>
        <w:t>Uwarunkowania makroekonomiczne w 201</w:t>
      </w:r>
      <w:r w:rsidR="00893892" w:rsidRPr="000B1397">
        <w:rPr>
          <w:color w:val="000000" w:themeColor="text1"/>
        </w:rPr>
        <w:t>6</w:t>
      </w:r>
      <w:r w:rsidRPr="000B1397">
        <w:rPr>
          <w:color w:val="000000" w:themeColor="text1"/>
        </w:rPr>
        <w:t xml:space="preserve"> roku</w:t>
      </w:r>
    </w:p>
    <w:p w:rsidR="000A29F2" w:rsidRPr="000B1397" w:rsidRDefault="000A29F2"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W 2016</w:t>
      </w:r>
      <w:r w:rsidR="00D06355" w:rsidRPr="000B1397">
        <w:rPr>
          <w:rFonts w:ascii="Times New Roman" w:hAnsi="Times New Roman" w:cs="Times New Roman"/>
          <w:color w:val="000000" w:themeColor="text1"/>
          <w:sz w:val="24"/>
          <w:szCs w:val="24"/>
        </w:rPr>
        <w:t xml:space="preserve"> niekorzystne uwarunkowania w otoczeniu zewnętrznym w umiarkowanym stopniu przełożyły się na tempo wzrostu PKB w naszym kraju. W pierwszym półroczu utrzymywał się w Polsce stabilny wzro</w:t>
      </w:r>
      <w:r w:rsidR="002E5EBB" w:rsidRPr="000B1397">
        <w:rPr>
          <w:rFonts w:ascii="Times New Roman" w:hAnsi="Times New Roman" w:cs="Times New Roman"/>
          <w:color w:val="000000" w:themeColor="text1"/>
          <w:sz w:val="24"/>
          <w:szCs w:val="24"/>
        </w:rPr>
        <w:t xml:space="preserve">st gospodarczy, </w:t>
      </w:r>
      <w:r w:rsidR="000F6ABE" w:rsidRPr="000B1397">
        <w:rPr>
          <w:rFonts w:ascii="Times New Roman" w:hAnsi="Times New Roman" w:cs="Times New Roman"/>
          <w:color w:val="000000" w:themeColor="text1"/>
          <w:sz w:val="24"/>
          <w:szCs w:val="24"/>
        </w:rPr>
        <w:t>lecz jego dynamika była niższa niż w roku poprzednim</w:t>
      </w:r>
      <w:r w:rsidR="00D06355" w:rsidRPr="000B1397">
        <w:rPr>
          <w:rFonts w:ascii="Times New Roman" w:hAnsi="Times New Roman" w:cs="Times New Roman"/>
          <w:color w:val="000000" w:themeColor="text1"/>
          <w:sz w:val="24"/>
          <w:szCs w:val="24"/>
        </w:rPr>
        <w:t xml:space="preserve"> </w:t>
      </w:r>
      <w:r w:rsidR="000F6ABE" w:rsidRPr="000B1397">
        <w:rPr>
          <w:rFonts w:ascii="Times New Roman" w:hAnsi="Times New Roman" w:cs="Times New Roman"/>
          <w:color w:val="000000" w:themeColor="text1"/>
          <w:sz w:val="24"/>
          <w:szCs w:val="24"/>
        </w:rPr>
        <w:t>(3% wobec 3,7). Nagłe osłabienie tendencji wzrostowych w III (2,4%) i IV (2,5%) kwartale spowodowało, iż w skali całego roku wzrost gospodarczy wyniósł 2,7 %.</w:t>
      </w:r>
      <w:r w:rsidR="00890096" w:rsidRPr="000B1397">
        <w:rPr>
          <w:rFonts w:ascii="Times New Roman" w:hAnsi="Times New Roman" w:cs="Times New Roman"/>
          <w:color w:val="000000" w:themeColor="text1"/>
          <w:sz w:val="24"/>
          <w:szCs w:val="24"/>
        </w:rPr>
        <w:t xml:space="preserve"> W rezultacie pod względem dynamiki rozwoju wśród ogółu krajów Unii Europejskiej zajęliśmy dziesiąt</w:t>
      </w:r>
      <w:r w:rsidR="00E30733" w:rsidRPr="000B1397">
        <w:rPr>
          <w:rFonts w:ascii="Times New Roman" w:hAnsi="Times New Roman" w:cs="Times New Roman"/>
          <w:color w:val="000000" w:themeColor="text1"/>
          <w:sz w:val="24"/>
          <w:szCs w:val="24"/>
        </w:rPr>
        <w:t>ą pozycję</w:t>
      </w:r>
      <w:r w:rsidR="00890096" w:rsidRPr="000B1397">
        <w:rPr>
          <w:rFonts w:ascii="Times New Roman" w:hAnsi="Times New Roman" w:cs="Times New Roman"/>
          <w:color w:val="000000" w:themeColor="text1"/>
          <w:sz w:val="24"/>
          <w:szCs w:val="24"/>
        </w:rPr>
        <w:t xml:space="preserve"> wobec piątej w 2015 roku.</w:t>
      </w:r>
    </w:p>
    <w:p w:rsidR="000F6ABE" w:rsidRPr="000B1397" w:rsidRDefault="000F6ABE"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Przyczyną spowolnienia był spadek inwestycji związany z zakończeniem perspektywy finansowej Unii Europejskiej 2007-2013 i słabą absorbcj</w:t>
      </w:r>
      <w:r w:rsidR="00E30516" w:rsidRPr="000B1397">
        <w:rPr>
          <w:rFonts w:ascii="Times New Roman" w:hAnsi="Times New Roman" w:cs="Times New Roman"/>
          <w:color w:val="000000" w:themeColor="text1"/>
          <w:sz w:val="24"/>
          <w:szCs w:val="24"/>
        </w:rPr>
        <w:t>ą</w:t>
      </w:r>
      <w:r w:rsidRPr="000B1397">
        <w:rPr>
          <w:rFonts w:ascii="Times New Roman" w:hAnsi="Times New Roman" w:cs="Times New Roman"/>
          <w:color w:val="000000" w:themeColor="text1"/>
          <w:sz w:val="24"/>
          <w:szCs w:val="24"/>
        </w:rPr>
        <w:t xml:space="preserve"> funduszy z perspektywy</w:t>
      </w:r>
      <w:r w:rsidR="00686FF1" w:rsidRPr="000B1397">
        <w:rPr>
          <w:rFonts w:ascii="Times New Roman" w:hAnsi="Times New Roman" w:cs="Times New Roman"/>
          <w:color w:val="000000" w:themeColor="text1"/>
          <w:sz w:val="24"/>
          <w:szCs w:val="24"/>
        </w:rPr>
        <w:t xml:space="preserve"> 2014-2020. Wyraźnie osłabła dynamika produkcji przemysłowej</w:t>
      </w:r>
      <w:r w:rsidR="00890096" w:rsidRPr="000B1397">
        <w:rPr>
          <w:rFonts w:ascii="Times New Roman" w:hAnsi="Times New Roman" w:cs="Times New Roman"/>
          <w:color w:val="000000" w:themeColor="text1"/>
          <w:sz w:val="24"/>
          <w:szCs w:val="24"/>
        </w:rPr>
        <w:t xml:space="preserve">, a eksport tylko nieznacznie przekroczył poziom </w:t>
      </w:r>
      <w:r w:rsidR="00DF4ED6" w:rsidRPr="000B1397">
        <w:rPr>
          <w:rFonts w:ascii="Times New Roman" w:hAnsi="Times New Roman" w:cs="Times New Roman"/>
          <w:color w:val="000000" w:themeColor="text1"/>
          <w:sz w:val="24"/>
          <w:szCs w:val="24"/>
        </w:rPr>
        <w:t xml:space="preserve">z </w:t>
      </w:r>
      <w:r w:rsidR="00890096" w:rsidRPr="000B1397">
        <w:rPr>
          <w:rFonts w:ascii="Times New Roman" w:hAnsi="Times New Roman" w:cs="Times New Roman"/>
          <w:color w:val="000000" w:themeColor="text1"/>
          <w:sz w:val="24"/>
          <w:szCs w:val="24"/>
        </w:rPr>
        <w:t xml:space="preserve">poprzedniego roku. </w:t>
      </w:r>
      <w:r w:rsidRPr="000B1397">
        <w:rPr>
          <w:rFonts w:ascii="Times New Roman" w:hAnsi="Times New Roman" w:cs="Times New Roman"/>
          <w:color w:val="000000" w:themeColor="text1"/>
          <w:sz w:val="24"/>
          <w:szCs w:val="24"/>
        </w:rPr>
        <w:t xml:space="preserve">Głównym motorem wzrostu gospodarczego pozostawał popyt </w:t>
      </w:r>
      <w:r w:rsidR="0007555E" w:rsidRPr="000B1397">
        <w:rPr>
          <w:rFonts w:ascii="Times New Roman" w:hAnsi="Times New Roman" w:cs="Times New Roman"/>
          <w:color w:val="000000" w:themeColor="text1"/>
          <w:sz w:val="24"/>
          <w:szCs w:val="24"/>
        </w:rPr>
        <w:t>konsumpcyjny wspierany przez wzrost wynagrodzeń, dobre nastroje konsumentów oraz wypłaty świadczeń wychowawczych.</w:t>
      </w:r>
    </w:p>
    <w:p w:rsidR="008F5BB7" w:rsidRPr="000B1397" w:rsidRDefault="00FD39A7"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Tempo wzrostu spożycia w sektorze gospodarst</w:t>
      </w:r>
      <w:r w:rsidR="008F5BB7" w:rsidRPr="000B1397">
        <w:rPr>
          <w:rFonts w:ascii="Times New Roman" w:hAnsi="Times New Roman" w:cs="Times New Roman"/>
          <w:color w:val="000000" w:themeColor="text1"/>
          <w:sz w:val="24"/>
          <w:szCs w:val="24"/>
        </w:rPr>
        <w:t>w domowych wyniosło 3,6</w:t>
      </w:r>
      <w:r w:rsidR="00A3006E" w:rsidRPr="000B1397">
        <w:rPr>
          <w:rFonts w:ascii="Times New Roman" w:hAnsi="Times New Roman" w:cs="Times New Roman"/>
          <w:color w:val="000000" w:themeColor="text1"/>
          <w:sz w:val="24"/>
          <w:szCs w:val="24"/>
        </w:rPr>
        <w:t>%</w:t>
      </w:r>
      <w:r w:rsidR="00E53F04"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podczas gdy w 201</w:t>
      </w:r>
      <w:r w:rsidR="008F5BB7" w:rsidRPr="000B1397">
        <w:rPr>
          <w:rFonts w:ascii="Times New Roman" w:hAnsi="Times New Roman" w:cs="Times New Roman"/>
          <w:color w:val="000000" w:themeColor="text1"/>
          <w:sz w:val="24"/>
          <w:szCs w:val="24"/>
        </w:rPr>
        <w:t>5</w:t>
      </w:r>
      <w:r w:rsidRPr="000B1397">
        <w:rPr>
          <w:rFonts w:ascii="Times New Roman" w:hAnsi="Times New Roman" w:cs="Times New Roman"/>
          <w:color w:val="000000" w:themeColor="text1"/>
          <w:sz w:val="24"/>
          <w:szCs w:val="24"/>
        </w:rPr>
        <w:t xml:space="preserve"> r. </w:t>
      </w:r>
      <w:r w:rsidR="008F5BB7" w:rsidRPr="000B1397">
        <w:rPr>
          <w:rFonts w:ascii="Times New Roman" w:hAnsi="Times New Roman" w:cs="Times New Roman"/>
          <w:color w:val="000000" w:themeColor="text1"/>
          <w:sz w:val="24"/>
          <w:szCs w:val="24"/>
        </w:rPr>
        <w:t>3,1</w:t>
      </w:r>
      <w:r w:rsidRPr="000B1397">
        <w:rPr>
          <w:rFonts w:ascii="Times New Roman" w:hAnsi="Times New Roman" w:cs="Times New Roman"/>
          <w:color w:val="000000" w:themeColor="text1"/>
          <w:sz w:val="24"/>
          <w:szCs w:val="24"/>
        </w:rPr>
        <w:t xml:space="preserve">%. </w:t>
      </w:r>
      <w:r w:rsidR="008F5BB7" w:rsidRPr="000B1397">
        <w:rPr>
          <w:rFonts w:ascii="Times New Roman" w:hAnsi="Times New Roman" w:cs="Times New Roman"/>
          <w:color w:val="000000" w:themeColor="text1"/>
          <w:sz w:val="24"/>
          <w:szCs w:val="24"/>
        </w:rPr>
        <w:t xml:space="preserve">Zatrudnienie w gospodarce narodowej </w:t>
      </w:r>
      <w:r w:rsidR="003B18F7" w:rsidRPr="000B1397">
        <w:rPr>
          <w:rFonts w:ascii="Times New Roman" w:hAnsi="Times New Roman" w:cs="Times New Roman"/>
          <w:color w:val="000000" w:themeColor="text1"/>
          <w:sz w:val="24"/>
          <w:szCs w:val="24"/>
        </w:rPr>
        <w:t>osiągnęło</w:t>
      </w:r>
      <w:r w:rsidR="008F5BB7" w:rsidRPr="000B1397">
        <w:rPr>
          <w:rFonts w:ascii="Times New Roman" w:hAnsi="Times New Roman" w:cs="Times New Roman"/>
          <w:color w:val="000000" w:themeColor="text1"/>
          <w:sz w:val="24"/>
          <w:szCs w:val="24"/>
        </w:rPr>
        <w:t xml:space="preserve"> historyczne maksimum, a </w:t>
      </w:r>
      <w:r w:rsidR="00E30733" w:rsidRPr="000B1397">
        <w:rPr>
          <w:rFonts w:ascii="Times New Roman" w:hAnsi="Times New Roman" w:cs="Times New Roman"/>
          <w:color w:val="000000" w:themeColor="text1"/>
          <w:sz w:val="24"/>
          <w:szCs w:val="24"/>
        </w:rPr>
        <w:t xml:space="preserve">stopa rejestrowanego </w:t>
      </w:r>
      <w:r w:rsidR="000B1397" w:rsidRPr="000B1397">
        <w:rPr>
          <w:rFonts w:ascii="Times New Roman" w:hAnsi="Times New Roman" w:cs="Times New Roman"/>
          <w:color w:val="000000" w:themeColor="text1"/>
          <w:sz w:val="24"/>
          <w:szCs w:val="24"/>
        </w:rPr>
        <w:t>bezrobocia obniżyła</w:t>
      </w:r>
      <w:r w:rsidR="008F5BB7" w:rsidRPr="000B1397">
        <w:rPr>
          <w:rFonts w:ascii="Times New Roman" w:hAnsi="Times New Roman" w:cs="Times New Roman"/>
          <w:color w:val="000000" w:themeColor="text1"/>
          <w:sz w:val="24"/>
          <w:szCs w:val="24"/>
        </w:rPr>
        <w:t xml:space="preserve"> się do 8,3%, wobec 9,7% przed rokiem. Przeciętne płace w sektorze przedsiębiorstw wzrosły realnie o 4,4% wobec 4,5%</w:t>
      </w:r>
      <w:r w:rsidR="00DF4ED6" w:rsidRPr="000B1397">
        <w:rPr>
          <w:rFonts w:ascii="Times New Roman" w:hAnsi="Times New Roman" w:cs="Times New Roman"/>
          <w:color w:val="000000" w:themeColor="text1"/>
          <w:sz w:val="24"/>
          <w:szCs w:val="24"/>
        </w:rPr>
        <w:t xml:space="preserve"> w</w:t>
      </w:r>
      <w:r w:rsidR="008F5BB7" w:rsidRPr="000B1397">
        <w:rPr>
          <w:rFonts w:ascii="Times New Roman" w:hAnsi="Times New Roman" w:cs="Times New Roman"/>
          <w:color w:val="000000" w:themeColor="text1"/>
          <w:sz w:val="24"/>
          <w:szCs w:val="24"/>
        </w:rPr>
        <w:t xml:space="preserve"> 2015</w:t>
      </w:r>
      <w:r w:rsidR="00E430CD" w:rsidRPr="000B1397">
        <w:rPr>
          <w:rFonts w:ascii="Times New Roman" w:hAnsi="Times New Roman" w:cs="Times New Roman"/>
          <w:color w:val="000000" w:themeColor="text1"/>
          <w:sz w:val="24"/>
          <w:szCs w:val="24"/>
        </w:rPr>
        <w:t xml:space="preserve"> </w:t>
      </w:r>
      <w:r w:rsidR="00DF4ED6" w:rsidRPr="000B1397">
        <w:rPr>
          <w:rFonts w:ascii="Times New Roman" w:hAnsi="Times New Roman" w:cs="Times New Roman"/>
          <w:color w:val="000000" w:themeColor="text1"/>
          <w:sz w:val="24"/>
          <w:szCs w:val="24"/>
        </w:rPr>
        <w:t>r.</w:t>
      </w:r>
      <w:r w:rsidR="008F5BB7" w:rsidRPr="000B1397">
        <w:rPr>
          <w:rFonts w:ascii="Times New Roman" w:hAnsi="Times New Roman" w:cs="Times New Roman"/>
          <w:color w:val="000000" w:themeColor="text1"/>
          <w:sz w:val="24"/>
          <w:szCs w:val="24"/>
        </w:rPr>
        <w:t>, a siła nabywcza emerytur i rent pracowniczych o</w:t>
      </w:r>
      <w:r w:rsidR="00DF4ED6" w:rsidRPr="000B1397">
        <w:rPr>
          <w:rFonts w:ascii="Times New Roman" w:hAnsi="Times New Roman" w:cs="Times New Roman"/>
          <w:color w:val="000000" w:themeColor="text1"/>
          <w:sz w:val="24"/>
          <w:szCs w:val="24"/>
        </w:rPr>
        <w:t xml:space="preserve"> 2,2% wobec</w:t>
      </w:r>
      <w:r w:rsidR="008F5BB7" w:rsidRPr="000B1397">
        <w:rPr>
          <w:rFonts w:ascii="Times New Roman" w:hAnsi="Times New Roman" w:cs="Times New Roman"/>
          <w:color w:val="000000" w:themeColor="text1"/>
          <w:sz w:val="24"/>
          <w:szCs w:val="24"/>
        </w:rPr>
        <w:t xml:space="preserve"> 3,5% w 2015</w:t>
      </w:r>
      <w:r w:rsidR="00DF4ED6" w:rsidRPr="000B1397">
        <w:rPr>
          <w:rFonts w:ascii="Times New Roman" w:hAnsi="Times New Roman" w:cs="Times New Roman"/>
          <w:color w:val="000000" w:themeColor="text1"/>
          <w:sz w:val="24"/>
          <w:szCs w:val="24"/>
        </w:rPr>
        <w:t xml:space="preserve"> </w:t>
      </w:r>
      <w:r w:rsidR="000B1397" w:rsidRPr="000B1397">
        <w:rPr>
          <w:rFonts w:ascii="Times New Roman" w:hAnsi="Times New Roman" w:cs="Times New Roman"/>
          <w:color w:val="000000" w:themeColor="text1"/>
          <w:sz w:val="24"/>
          <w:szCs w:val="24"/>
        </w:rPr>
        <w:t>r.</w:t>
      </w:r>
    </w:p>
    <w:p w:rsidR="008F5BB7" w:rsidRPr="000B1397" w:rsidRDefault="008F5BB7"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lastRenderedPageBreak/>
        <w:t>Tendencje deflacyjne zapoczątkowane w II połowie 2014</w:t>
      </w:r>
      <w:r w:rsidR="00E30516" w:rsidRPr="000B1397">
        <w:rPr>
          <w:rFonts w:ascii="Times New Roman" w:hAnsi="Times New Roman" w:cs="Times New Roman"/>
          <w:color w:val="000000" w:themeColor="text1"/>
          <w:sz w:val="24"/>
          <w:szCs w:val="24"/>
        </w:rPr>
        <w:t xml:space="preserve"> </w:t>
      </w:r>
      <w:r w:rsidRPr="000B1397">
        <w:rPr>
          <w:rFonts w:ascii="Times New Roman" w:hAnsi="Times New Roman" w:cs="Times New Roman"/>
          <w:color w:val="000000" w:themeColor="text1"/>
          <w:sz w:val="24"/>
          <w:szCs w:val="24"/>
        </w:rPr>
        <w:t>r. utrzymały się do końca listopada 2016</w:t>
      </w:r>
      <w:r w:rsidR="00E30516" w:rsidRPr="000B1397">
        <w:rPr>
          <w:rFonts w:ascii="Times New Roman" w:hAnsi="Times New Roman" w:cs="Times New Roman"/>
          <w:color w:val="000000" w:themeColor="text1"/>
          <w:sz w:val="24"/>
          <w:szCs w:val="24"/>
        </w:rPr>
        <w:t xml:space="preserve"> </w:t>
      </w:r>
      <w:r w:rsidR="000B1397" w:rsidRPr="000B1397">
        <w:rPr>
          <w:rFonts w:ascii="Times New Roman" w:hAnsi="Times New Roman" w:cs="Times New Roman"/>
          <w:color w:val="000000" w:themeColor="text1"/>
          <w:sz w:val="24"/>
          <w:szCs w:val="24"/>
        </w:rPr>
        <w:t>r.</w:t>
      </w:r>
      <w:r w:rsidRPr="000B1397">
        <w:rPr>
          <w:rFonts w:ascii="Times New Roman" w:hAnsi="Times New Roman" w:cs="Times New Roman"/>
          <w:color w:val="000000" w:themeColor="text1"/>
          <w:sz w:val="24"/>
          <w:szCs w:val="24"/>
        </w:rPr>
        <w:t xml:space="preserve"> Do spadku cen przyczyniły się głównie czynniki zewnętrzne</w:t>
      </w:r>
      <w:r w:rsidR="00E30733" w:rsidRPr="000B1397">
        <w:rPr>
          <w:rFonts w:ascii="Times New Roman" w:hAnsi="Times New Roman" w:cs="Times New Roman"/>
          <w:color w:val="000000" w:themeColor="text1"/>
          <w:sz w:val="24"/>
          <w:szCs w:val="24"/>
        </w:rPr>
        <w:t>,</w:t>
      </w:r>
      <w:r w:rsidR="00E430CD" w:rsidRPr="000B1397">
        <w:rPr>
          <w:rFonts w:ascii="Times New Roman" w:hAnsi="Times New Roman" w:cs="Times New Roman"/>
          <w:color w:val="000000" w:themeColor="text1"/>
          <w:sz w:val="24"/>
          <w:szCs w:val="24"/>
        </w:rPr>
        <w:t xml:space="preserve"> </w:t>
      </w:r>
      <w:r w:rsidRPr="000B1397">
        <w:rPr>
          <w:rFonts w:ascii="Times New Roman" w:hAnsi="Times New Roman" w:cs="Times New Roman"/>
          <w:color w:val="000000" w:themeColor="text1"/>
          <w:sz w:val="24"/>
          <w:szCs w:val="24"/>
        </w:rPr>
        <w:t>szczególnie spadek cen surowców energetycznych na rynkach światowych</w:t>
      </w:r>
      <w:r w:rsidR="00E430CD"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oraz o</w:t>
      </w:r>
      <w:r w:rsidRPr="000B1397">
        <w:rPr>
          <w:rFonts w:ascii="Times New Roman" w:hAnsi="Times New Roman" w:cs="Times New Roman"/>
          <w:color w:val="000000" w:themeColor="text1"/>
          <w:sz w:val="24"/>
          <w:szCs w:val="24"/>
        </w:rPr>
        <w:t xml:space="preserve">graniczona dynamika cen w krajach naszych głównych partnerów handlowych. Średnie ceny towarów i usług konsumpcyjnych </w:t>
      </w:r>
      <w:r w:rsidR="003B18F7" w:rsidRPr="000B1397">
        <w:rPr>
          <w:rFonts w:ascii="Times New Roman" w:hAnsi="Times New Roman" w:cs="Times New Roman"/>
          <w:color w:val="000000" w:themeColor="text1"/>
          <w:sz w:val="24"/>
          <w:szCs w:val="24"/>
        </w:rPr>
        <w:t>po spadku w 2015</w:t>
      </w:r>
      <w:r w:rsidR="00E430CD"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r. o 0,9%, w 2016</w:t>
      </w:r>
      <w:r w:rsidR="00E430CD"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r. obniżyły się o dalsze 0,6%.</w:t>
      </w:r>
    </w:p>
    <w:p w:rsidR="003B18F7" w:rsidRPr="000B1397" w:rsidRDefault="00FD39A7"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M</w:t>
      </w:r>
      <w:r w:rsidR="00E53F04" w:rsidRPr="000B1397">
        <w:rPr>
          <w:rFonts w:ascii="Times New Roman" w:hAnsi="Times New Roman" w:cs="Times New Roman"/>
          <w:color w:val="000000" w:themeColor="text1"/>
          <w:sz w:val="24"/>
          <w:szCs w:val="24"/>
        </w:rPr>
        <w:t>imo rosyjskiego embarga</w:t>
      </w:r>
      <w:r w:rsidRPr="000B1397">
        <w:rPr>
          <w:rFonts w:ascii="Times New Roman" w:hAnsi="Times New Roman" w:cs="Times New Roman"/>
          <w:color w:val="000000" w:themeColor="text1"/>
          <w:sz w:val="24"/>
          <w:szCs w:val="24"/>
        </w:rPr>
        <w:t xml:space="preserve"> ograniczającego import produktów rolno-spożywczych do </w:t>
      </w:r>
      <w:r w:rsidR="00E53F04" w:rsidRPr="000B1397">
        <w:rPr>
          <w:rFonts w:ascii="Times New Roman" w:hAnsi="Times New Roman" w:cs="Times New Roman"/>
          <w:color w:val="000000" w:themeColor="text1"/>
          <w:sz w:val="24"/>
          <w:szCs w:val="24"/>
        </w:rPr>
        <w:t>tego kraju, ogólny nasz eksport</w:t>
      </w:r>
      <w:r w:rsidR="003D0CD0"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wyrażony w euro wzrósł w</w:t>
      </w:r>
      <w:r w:rsidR="003B18F7" w:rsidRPr="000B1397">
        <w:rPr>
          <w:rFonts w:ascii="Times New Roman" w:hAnsi="Times New Roman" w:cs="Times New Roman"/>
          <w:color w:val="000000" w:themeColor="text1"/>
          <w:sz w:val="24"/>
          <w:szCs w:val="24"/>
        </w:rPr>
        <w:t xml:space="preserve"> 2016</w:t>
      </w:r>
      <w:r w:rsidR="00E430CD"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r</w:t>
      </w:r>
      <w:r w:rsidR="00E430CD" w:rsidRPr="000B1397">
        <w:rPr>
          <w:rFonts w:ascii="Times New Roman" w:hAnsi="Times New Roman" w:cs="Times New Roman"/>
          <w:color w:val="000000" w:themeColor="text1"/>
          <w:sz w:val="24"/>
          <w:szCs w:val="24"/>
        </w:rPr>
        <w:t>.</w:t>
      </w:r>
      <w:r w:rsidR="003B18F7" w:rsidRPr="000B1397">
        <w:rPr>
          <w:rFonts w:ascii="Times New Roman" w:hAnsi="Times New Roman" w:cs="Times New Roman"/>
          <w:color w:val="000000" w:themeColor="text1"/>
          <w:sz w:val="24"/>
          <w:szCs w:val="24"/>
        </w:rPr>
        <w:t xml:space="preserve"> o 2,3%</w:t>
      </w:r>
      <w:r w:rsidRPr="000B1397">
        <w:rPr>
          <w:rFonts w:ascii="Times New Roman" w:hAnsi="Times New Roman" w:cs="Times New Roman"/>
          <w:color w:val="000000" w:themeColor="text1"/>
          <w:sz w:val="24"/>
          <w:szCs w:val="24"/>
        </w:rPr>
        <w:t xml:space="preserve"> </w:t>
      </w:r>
      <w:r w:rsidR="00DF4ED6" w:rsidRPr="000B1397">
        <w:rPr>
          <w:rFonts w:ascii="Times New Roman" w:hAnsi="Times New Roman" w:cs="Times New Roman"/>
          <w:color w:val="000000" w:themeColor="text1"/>
          <w:sz w:val="24"/>
          <w:szCs w:val="24"/>
        </w:rPr>
        <w:t>(</w:t>
      </w:r>
      <w:r w:rsidR="003B18F7" w:rsidRPr="000B1397">
        <w:rPr>
          <w:rFonts w:ascii="Times New Roman" w:hAnsi="Times New Roman" w:cs="Times New Roman"/>
          <w:color w:val="000000" w:themeColor="text1"/>
          <w:sz w:val="24"/>
          <w:szCs w:val="24"/>
        </w:rPr>
        <w:t xml:space="preserve">w </w:t>
      </w:r>
      <w:r w:rsidRPr="000B1397">
        <w:rPr>
          <w:rFonts w:ascii="Times New Roman" w:hAnsi="Times New Roman" w:cs="Times New Roman"/>
          <w:color w:val="000000" w:themeColor="text1"/>
          <w:sz w:val="24"/>
          <w:szCs w:val="24"/>
        </w:rPr>
        <w:t>2015 r. o 7,8%</w:t>
      </w:r>
      <w:r w:rsidR="003B18F7"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w:t>
      </w:r>
      <w:r w:rsidR="00E53F04" w:rsidRPr="000B1397">
        <w:rPr>
          <w:rFonts w:ascii="Times New Roman" w:hAnsi="Times New Roman" w:cs="Times New Roman"/>
          <w:color w:val="000000" w:themeColor="text1"/>
          <w:sz w:val="24"/>
          <w:szCs w:val="24"/>
        </w:rPr>
        <w:t xml:space="preserve"> </w:t>
      </w:r>
      <w:r w:rsidRPr="000B1397">
        <w:rPr>
          <w:rFonts w:ascii="Times New Roman" w:hAnsi="Times New Roman" w:cs="Times New Roman"/>
          <w:color w:val="000000" w:themeColor="text1"/>
          <w:sz w:val="24"/>
          <w:szCs w:val="24"/>
        </w:rPr>
        <w:t xml:space="preserve">a import </w:t>
      </w:r>
      <w:r w:rsidR="003D0CD0" w:rsidRPr="000B1397">
        <w:rPr>
          <w:rFonts w:ascii="Times New Roman" w:hAnsi="Times New Roman" w:cs="Times New Roman"/>
          <w:color w:val="000000" w:themeColor="text1"/>
          <w:sz w:val="24"/>
          <w:szCs w:val="24"/>
        </w:rPr>
        <w:t xml:space="preserve">o </w:t>
      </w:r>
      <w:r w:rsidR="003B18F7" w:rsidRPr="000B1397">
        <w:rPr>
          <w:rFonts w:ascii="Times New Roman" w:hAnsi="Times New Roman" w:cs="Times New Roman"/>
          <w:color w:val="000000" w:themeColor="text1"/>
          <w:sz w:val="24"/>
          <w:szCs w:val="24"/>
        </w:rPr>
        <w:t xml:space="preserve">0,9% (wobec </w:t>
      </w:r>
      <w:r w:rsidRPr="000B1397">
        <w:rPr>
          <w:rFonts w:ascii="Times New Roman" w:hAnsi="Times New Roman" w:cs="Times New Roman"/>
          <w:color w:val="000000" w:themeColor="text1"/>
          <w:sz w:val="24"/>
          <w:szCs w:val="24"/>
        </w:rPr>
        <w:t>3,9%</w:t>
      </w:r>
      <w:r w:rsidR="003B18F7" w:rsidRPr="000B1397">
        <w:rPr>
          <w:rFonts w:ascii="Times New Roman" w:hAnsi="Times New Roman" w:cs="Times New Roman"/>
          <w:color w:val="000000" w:themeColor="text1"/>
          <w:sz w:val="24"/>
          <w:szCs w:val="24"/>
        </w:rPr>
        <w:t xml:space="preserve"> w 2015</w:t>
      </w:r>
      <w:r w:rsidR="00E30516"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r.)</w:t>
      </w:r>
      <w:r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Drugi kolejny rok odnotowano dodatnie saldo wymiany handlowej</w:t>
      </w:r>
      <w:r w:rsidR="00DF4ED6"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(4,8</w:t>
      </w:r>
      <w:r w:rsidR="00E30516" w:rsidRPr="000B1397">
        <w:rPr>
          <w:rFonts w:ascii="Times New Roman" w:hAnsi="Times New Roman" w:cs="Times New Roman"/>
          <w:color w:val="000000" w:themeColor="text1"/>
          <w:sz w:val="24"/>
          <w:szCs w:val="24"/>
        </w:rPr>
        <w:t xml:space="preserve"> </w:t>
      </w:r>
      <w:r w:rsidR="003B18F7" w:rsidRPr="000B1397">
        <w:rPr>
          <w:rFonts w:ascii="Times New Roman" w:hAnsi="Times New Roman" w:cs="Times New Roman"/>
          <w:color w:val="000000" w:themeColor="text1"/>
          <w:sz w:val="24"/>
          <w:szCs w:val="24"/>
        </w:rPr>
        <w:t>mld EUR), jak i obrotów w ram</w:t>
      </w:r>
      <w:r w:rsidR="00625C89" w:rsidRPr="000B1397">
        <w:rPr>
          <w:rFonts w:ascii="Times New Roman" w:hAnsi="Times New Roman" w:cs="Times New Roman"/>
          <w:color w:val="000000" w:themeColor="text1"/>
          <w:sz w:val="24"/>
          <w:szCs w:val="24"/>
        </w:rPr>
        <w:t>a</w:t>
      </w:r>
      <w:r w:rsidR="003B18F7" w:rsidRPr="000B1397">
        <w:rPr>
          <w:rFonts w:ascii="Times New Roman" w:hAnsi="Times New Roman" w:cs="Times New Roman"/>
          <w:color w:val="000000" w:themeColor="text1"/>
          <w:sz w:val="24"/>
          <w:szCs w:val="24"/>
        </w:rPr>
        <w:t>ch bilansu płatniczego. Zadecydowało o tym zarówno zwiększenie sp</w:t>
      </w:r>
      <w:r w:rsidR="00625C89" w:rsidRPr="000B1397">
        <w:rPr>
          <w:rFonts w:ascii="Times New Roman" w:hAnsi="Times New Roman" w:cs="Times New Roman"/>
          <w:color w:val="000000" w:themeColor="text1"/>
          <w:sz w:val="24"/>
          <w:szCs w:val="24"/>
        </w:rPr>
        <w:t>rzedaż</w:t>
      </w:r>
      <w:r w:rsidR="003B18F7" w:rsidRPr="000B1397">
        <w:rPr>
          <w:rFonts w:ascii="Times New Roman" w:hAnsi="Times New Roman" w:cs="Times New Roman"/>
          <w:color w:val="000000" w:themeColor="text1"/>
          <w:sz w:val="24"/>
          <w:szCs w:val="24"/>
        </w:rPr>
        <w:t>y do</w:t>
      </w:r>
      <w:r w:rsidR="00625C89" w:rsidRPr="000B1397">
        <w:rPr>
          <w:rFonts w:ascii="Times New Roman" w:hAnsi="Times New Roman" w:cs="Times New Roman"/>
          <w:color w:val="000000" w:themeColor="text1"/>
          <w:sz w:val="24"/>
          <w:szCs w:val="24"/>
        </w:rPr>
        <w:t xml:space="preserve"> krajów</w:t>
      </w:r>
      <w:r w:rsidR="003B18F7" w:rsidRPr="000B1397">
        <w:rPr>
          <w:rFonts w:ascii="Times New Roman" w:hAnsi="Times New Roman" w:cs="Times New Roman"/>
          <w:color w:val="000000" w:themeColor="text1"/>
          <w:sz w:val="24"/>
          <w:szCs w:val="24"/>
        </w:rPr>
        <w:t xml:space="preserve"> UE, do których skierowano o 2,6% więcej </w:t>
      </w:r>
      <w:r w:rsidR="00625C89" w:rsidRPr="000B1397">
        <w:rPr>
          <w:rFonts w:ascii="Times New Roman" w:hAnsi="Times New Roman" w:cs="Times New Roman"/>
          <w:color w:val="000000" w:themeColor="text1"/>
          <w:sz w:val="24"/>
          <w:szCs w:val="24"/>
        </w:rPr>
        <w:t>towarów niż rok wcześ</w:t>
      </w:r>
      <w:r w:rsidR="003B18F7" w:rsidRPr="000B1397">
        <w:rPr>
          <w:rFonts w:ascii="Times New Roman" w:hAnsi="Times New Roman" w:cs="Times New Roman"/>
          <w:color w:val="000000" w:themeColor="text1"/>
          <w:sz w:val="24"/>
          <w:szCs w:val="24"/>
        </w:rPr>
        <w:t>nie</w:t>
      </w:r>
      <w:r w:rsidR="00625C89" w:rsidRPr="000B1397">
        <w:rPr>
          <w:rFonts w:ascii="Times New Roman" w:hAnsi="Times New Roman" w:cs="Times New Roman"/>
          <w:color w:val="000000" w:themeColor="text1"/>
          <w:sz w:val="24"/>
          <w:szCs w:val="24"/>
        </w:rPr>
        <w:t>j, jak i do krajów Europy Środkowo-Wschodniej (wzrost o 6,5%). Eksport produktów rolno-spożywczych wzrósł o 1,2% przy wzroście importu o 6,2%. Dodatnie saldo</w:t>
      </w:r>
      <w:r w:rsidR="00E30516" w:rsidRPr="000B1397">
        <w:rPr>
          <w:rFonts w:ascii="Times New Roman" w:hAnsi="Times New Roman" w:cs="Times New Roman"/>
          <w:color w:val="000000" w:themeColor="text1"/>
          <w:sz w:val="24"/>
          <w:szCs w:val="24"/>
        </w:rPr>
        <w:t xml:space="preserve"> w</w:t>
      </w:r>
      <w:r w:rsidR="00625C89" w:rsidRPr="000B1397">
        <w:rPr>
          <w:rFonts w:ascii="Times New Roman" w:hAnsi="Times New Roman" w:cs="Times New Roman"/>
          <w:color w:val="000000" w:themeColor="text1"/>
          <w:sz w:val="24"/>
          <w:szCs w:val="24"/>
        </w:rPr>
        <w:t xml:space="preserve"> tej dziedzinie wnosiło 7,1 mld EUR, dwukrotnie przewyższając ogólne saldo zagranicznej wymiany towarowej.</w:t>
      </w:r>
    </w:p>
    <w:p w:rsidR="00F017A4" w:rsidRPr="000B1397" w:rsidRDefault="00040929" w:rsidP="006B1910">
      <w:pPr>
        <w:pStyle w:val="Nagwek2"/>
        <w:rPr>
          <w:rFonts w:eastAsia="Times New Roman"/>
          <w:color w:val="000000" w:themeColor="text1"/>
        </w:rPr>
      </w:pPr>
      <w:r w:rsidRPr="000B1397">
        <w:rPr>
          <w:rFonts w:eastAsia="Times New Roman"/>
          <w:color w:val="000000" w:themeColor="text1"/>
        </w:rPr>
        <w:t>Koniunktura w rolnictwie</w:t>
      </w:r>
    </w:p>
    <w:p w:rsidR="00F66F98" w:rsidRPr="000B1397" w:rsidRDefault="00D327D2"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Globalna produkcja rolnicza</w:t>
      </w:r>
      <w:r w:rsidR="001704CA" w:rsidRPr="000B1397">
        <w:rPr>
          <w:rFonts w:ascii="Times New Roman" w:hAnsi="Times New Roman" w:cs="Times New Roman"/>
          <w:color w:val="000000" w:themeColor="text1"/>
          <w:sz w:val="24"/>
          <w:szCs w:val="24"/>
        </w:rPr>
        <w:t xml:space="preserve"> </w:t>
      </w:r>
      <w:r w:rsidR="00F66F98" w:rsidRPr="000B1397">
        <w:rPr>
          <w:rFonts w:ascii="Times New Roman" w:hAnsi="Times New Roman" w:cs="Times New Roman"/>
          <w:color w:val="000000" w:themeColor="text1"/>
          <w:sz w:val="24"/>
          <w:szCs w:val="24"/>
        </w:rPr>
        <w:t>wzrosła w 2016</w:t>
      </w:r>
      <w:r w:rsidRPr="000B1397">
        <w:rPr>
          <w:rFonts w:ascii="Times New Roman" w:hAnsi="Times New Roman" w:cs="Times New Roman"/>
          <w:color w:val="000000" w:themeColor="text1"/>
          <w:sz w:val="24"/>
          <w:szCs w:val="24"/>
        </w:rPr>
        <w:t xml:space="preserve"> r.</w:t>
      </w:r>
      <w:r w:rsidR="00F66F98" w:rsidRPr="000B1397">
        <w:rPr>
          <w:rFonts w:ascii="Times New Roman" w:hAnsi="Times New Roman" w:cs="Times New Roman"/>
          <w:color w:val="000000" w:themeColor="text1"/>
          <w:sz w:val="24"/>
          <w:szCs w:val="24"/>
        </w:rPr>
        <w:t xml:space="preserve"> o 6,7</w:t>
      </w:r>
      <w:r w:rsidR="001704CA" w:rsidRPr="000B1397">
        <w:rPr>
          <w:rFonts w:ascii="Times New Roman" w:hAnsi="Times New Roman" w:cs="Times New Roman"/>
          <w:color w:val="000000" w:themeColor="text1"/>
          <w:sz w:val="24"/>
          <w:szCs w:val="24"/>
        </w:rPr>
        <w:t>%. Wpły</w:t>
      </w:r>
      <w:r w:rsidR="00F66F98" w:rsidRPr="000B1397">
        <w:rPr>
          <w:rFonts w:ascii="Times New Roman" w:hAnsi="Times New Roman" w:cs="Times New Roman"/>
          <w:color w:val="000000" w:themeColor="text1"/>
          <w:sz w:val="24"/>
          <w:szCs w:val="24"/>
        </w:rPr>
        <w:t xml:space="preserve">nął </w:t>
      </w:r>
      <w:r w:rsidR="001704CA" w:rsidRPr="000B1397">
        <w:rPr>
          <w:rFonts w:ascii="Times New Roman" w:hAnsi="Times New Roman" w:cs="Times New Roman"/>
          <w:color w:val="000000" w:themeColor="text1"/>
          <w:sz w:val="24"/>
          <w:szCs w:val="24"/>
        </w:rPr>
        <w:t xml:space="preserve">na to </w:t>
      </w:r>
      <w:r w:rsidR="00F66F98" w:rsidRPr="000B1397">
        <w:rPr>
          <w:rFonts w:ascii="Times New Roman" w:hAnsi="Times New Roman" w:cs="Times New Roman"/>
          <w:color w:val="000000" w:themeColor="text1"/>
          <w:sz w:val="24"/>
          <w:szCs w:val="24"/>
        </w:rPr>
        <w:t xml:space="preserve">zarówno wzrost </w:t>
      </w:r>
      <w:r w:rsidR="001704CA" w:rsidRPr="000B1397">
        <w:rPr>
          <w:rFonts w:ascii="Times New Roman" w:hAnsi="Times New Roman" w:cs="Times New Roman"/>
          <w:color w:val="000000" w:themeColor="text1"/>
          <w:sz w:val="24"/>
          <w:szCs w:val="24"/>
        </w:rPr>
        <w:t xml:space="preserve">produkcji roślinnej o </w:t>
      </w:r>
      <w:r w:rsidR="00F66F98" w:rsidRPr="000B1397">
        <w:rPr>
          <w:rFonts w:ascii="Times New Roman" w:hAnsi="Times New Roman" w:cs="Times New Roman"/>
          <w:color w:val="000000" w:themeColor="text1"/>
          <w:sz w:val="24"/>
          <w:szCs w:val="24"/>
        </w:rPr>
        <w:t xml:space="preserve">9,6%, jak i </w:t>
      </w:r>
      <w:r w:rsidR="001704CA" w:rsidRPr="000B1397">
        <w:rPr>
          <w:rFonts w:ascii="Times New Roman" w:hAnsi="Times New Roman" w:cs="Times New Roman"/>
          <w:color w:val="000000" w:themeColor="text1"/>
          <w:sz w:val="24"/>
          <w:szCs w:val="24"/>
        </w:rPr>
        <w:t>wzro</w:t>
      </w:r>
      <w:r w:rsidR="00F66F98" w:rsidRPr="000B1397">
        <w:rPr>
          <w:rFonts w:ascii="Times New Roman" w:hAnsi="Times New Roman" w:cs="Times New Roman"/>
          <w:color w:val="000000" w:themeColor="text1"/>
          <w:sz w:val="24"/>
          <w:szCs w:val="24"/>
        </w:rPr>
        <w:t>st</w:t>
      </w:r>
      <w:r w:rsidR="001704CA" w:rsidRPr="000B1397">
        <w:rPr>
          <w:rFonts w:ascii="Times New Roman" w:hAnsi="Times New Roman" w:cs="Times New Roman"/>
          <w:color w:val="000000" w:themeColor="text1"/>
          <w:sz w:val="24"/>
          <w:szCs w:val="24"/>
        </w:rPr>
        <w:t xml:space="preserve"> produkcji zwierzęcej o 3,1%. </w:t>
      </w:r>
      <w:r w:rsidR="00E430CD" w:rsidRPr="000B1397">
        <w:rPr>
          <w:rFonts w:ascii="Times New Roman" w:hAnsi="Times New Roman" w:cs="Times New Roman"/>
          <w:color w:val="000000" w:themeColor="text1"/>
          <w:sz w:val="24"/>
          <w:szCs w:val="24"/>
        </w:rPr>
        <w:t>W 2016 r.</w:t>
      </w:r>
      <w:r w:rsidR="00F66F98" w:rsidRPr="000B1397">
        <w:rPr>
          <w:rFonts w:ascii="Times New Roman" w:hAnsi="Times New Roman" w:cs="Times New Roman"/>
          <w:color w:val="000000" w:themeColor="text1"/>
          <w:sz w:val="24"/>
          <w:szCs w:val="24"/>
        </w:rPr>
        <w:t xml:space="preserve"> rynkowe uwarunkowania produkcji rolniczej wyraźnie poprawiły się w porównaniu z niekorzystnymi pod tym względem latami 2014-2015. Średni ważony wzrost cen skupu podstawowych surowców rolniczych w okresie od grudnia 2015 r. do grudnia 2016 r. wyniósł 4,3% i był znacznie wyższy niż w dwóch poprzednich latach i zbliżony do wzrostu cen w 2013 r. W rezultacie skumulowany wskaźnik nożyc cen wyniósł 104,7 punktu, wobec 95,3 punktu w roku poprzednim i 89,7 punktu przed dwoma laty.</w:t>
      </w:r>
    </w:p>
    <w:p w:rsidR="00E06447" w:rsidRPr="000B1397" w:rsidRDefault="00E06447"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Środki produkcji taniały czwarty rok z rzędu</w:t>
      </w:r>
      <w:r w:rsidR="00E30516"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przede wszystkim pod wpływem spadków cen nawozów mineralnych, a w mniejszym stopniu także maszyn. Ograniczony popyt oraz niższe koszty produkcji, zwłaszcza w pie</w:t>
      </w:r>
      <w:r w:rsidR="00E953E1" w:rsidRPr="000B1397">
        <w:rPr>
          <w:rFonts w:ascii="Times New Roman" w:hAnsi="Times New Roman" w:cs="Times New Roman"/>
          <w:color w:val="000000" w:themeColor="text1"/>
          <w:sz w:val="24"/>
          <w:szCs w:val="24"/>
        </w:rPr>
        <w:t>rwszym półroczu, były przyczyną</w:t>
      </w:r>
      <w:r w:rsidRPr="000B1397">
        <w:rPr>
          <w:rFonts w:ascii="Times New Roman" w:hAnsi="Times New Roman" w:cs="Times New Roman"/>
          <w:color w:val="000000" w:themeColor="text1"/>
          <w:sz w:val="24"/>
          <w:szCs w:val="24"/>
        </w:rPr>
        <w:t xml:space="preserve"> obniżek cen nawozów mineralnych o 7,6%, w tym przede wszystkim nawozów azotowych oraz potasowych, podczas gdy nawozy fosforowe i wieloskładnikowe zdrożały. Maszyny</w:t>
      </w:r>
      <w:r w:rsidR="000D2E50"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po znaczących podwyżkach w poprzednich 4 latach</w:t>
      </w:r>
      <w:r w:rsidR="000D2E50"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staniały o 0,6%, głównie pod wpływem opóźnienia programów wspierających inwestycje w ramach PROW 2014</w:t>
      </w:r>
      <w:r w:rsidRPr="000B1397">
        <w:rPr>
          <w:rFonts w:ascii="Times New Roman" w:hAnsi="Times New Roman" w:cs="Times New Roman"/>
          <w:color w:val="000000" w:themeColor="text1"/>
          <w:sz w:val="24"/>
          <w:szCs w:val="24"/>
        </w:rPr>
        <w:noBreakHyphen/>
        <w:t>2020. Bezpośrednie nośniki energii po trzech latach obniżek zdrożały w 2016 r. o 2,7%, pod wpływem wzrostów cen na światowych rynkach, głównie ropy naftowej. W porównaniu z rokiem poprzednim zdrożały także materiały budowlane (o 2,2%) oraz środki ochrony roślin (o 1,1%). W efekcie ceny środków produkcji w latach 2012-2016 praktycznie nie zmieniły się, a realnie (po uwzględnieniu inflacji) spadły o 2,8%. Spadek cen środków produkcji w tym okresie był jednak znacznie mniejszy niż cen skupu podstawowych surowców rolniczych,</w:t>
      </w:r>
      <w:r w:rsidR="00F438E9">
        <w:rPr>
          <w:rFonts w:ascii="Times New Roman" w:hAnsi="Times New Roman" w:cs="Times New Roman"/>
          <w:color w:val="000000" w:themeColor="text1"/>
          <w:sz w:val="24"/>
          <w:szCs w:val="24"/>
        </w:rPr>
        <w:t xml:space="preserve"> które nominalnie spadły o 9,4%</w:t>
      </w:r>
      <w:r w:rsidRPr="000B1397">
        <w:rPr>
          <w:rFonts w:ascii="Times New Roman" w:hAnsi="Times New Roman" w:cs="Times New Roman"/>
          <w:color w:val="000000" w:themeColor="text1"/>
          <w:sz w:val="24"/>
          <w:szCs w:val="24"/>
        </w:rPr>
        <w:t xml:space="preserve">, a realnie o 11,9%. </w:t>
      </w:r>
    </w:p>
    <w:p w:rsidR="00E06447" w:rsidRPr="000B1397" w:rsidRDefault="00E06447" w:rsidP="00EA7CA9">
      <w:pPr>
        <w:spacing w:before="80" w:after="0" w:line="264" w:lineRule="auto"/>
        <w:ind w:firstLine="425"/>
        <w:jc w:val="both"/>
        <w:rPr>
          <w:rFonts w:ascii="Times New Roman" w:eastAsia="Times New Roman" w:hAnsi="Times New Roman" w:cs="Times New Roman"/>
          <w:color w:val="000000" w:themeColor="text1"/>
          <w:sz w:val="24"/>
          <w:szCs w:val="24"/>
        </w:rPr>
      </w:pPr>
      <w:r w:rsidRPr="000B1397">
        <w:rPr>
          <w:rFonts w:ascii="Times New Roman" w:eastAsia="Times New Roman" w:hAnsi="Times New Roman" w:cs="Times New Roman"/>
          <w:color w:val="000000" w:themeColor="text1"/>
          <w:sz w:val="24"/>
          <w:szCs w:val="24"/>
        </w:rPr>
        <w:t>W zależności od kierunku specjalizacji gospodarstw wpływ sytuacji rynkowej na ich kondycję finansową był zróżnicowany. Uwarunkowania rynkowe były najbardziej korzystne dla gospodarstw specjalizujących się w produkcji mleka oraz żywca wieprzowego. Nie poprawiła się natomiast lub nawet uległa pogorszeniu sytuacja producentów drobiu, zb</w:t>
      </w:r>
      <w:r w:rsidR="00E953E1" w:rsidRPr="000B1397">
        <w:rPr>
          <w:rFonts w:ascii="Times New Roman" w:eastAsia="Times New Roman" w:hAnsi="Times New Roman" w:cs="Times New Roman"/>
          <w:color w:val="000000" w:themeColor="text1"/>
          <w:sz w:val="24"/>
          <w:szCs w:val="24"/>
        </w:rPr>
        <w:t xml:space="preserve">óż oraz zwierząt trawożernych. </w:t>
      </w:r>
    </w:p>
    <w:p w:rsidR="00E06447" w:rsidRPr="000B1397" w:rsidRDefault="00E06447" w:rsidP="00EA7CA9">
      <w:pPr>
        <w:spacing w:before="80" w:after="0" w:line="264" w:lineRule="auto"/>
        <w:ind w:firstLine="425"/>
        <w:jc w:val="both"/>
        <w:rPr>
          <w:rFonts w:ascii="Times New Roman" w:eastAsia="Times New Roman" w:hAnsi="Times New Roman" w:cs="Times New Roman"/>
          <w:color w:val="000000" w:themeColor="text1"/>
          <w:sz w:val="24"/>
          <w:szCs w:val="24"/>
        </w:rPr>
      </w:pPr>
      <w:r w:rsidRPr="000B1397">
        <w:rPr>
          <w:rFonts w:ascii="Times New Roman" w:eastAsia="Times New Roman" w:hAnsi="Times New Roman" w:cs="Times New Roman"/>
          <w:color w:val="000000" w:themeColor="text1"/>
          <w:sz w:val="24"/>
          <w:szCs w:val="24"/>
        </w:rPr>
        <w:t xml:space="preserve">W ciągu 12 miesięcy 2016 r. ceny zbóż podstawowych spadły nominalnie o 2,2% (żyto) do 7,6-9,8% (pszenica, jęczmień) i o prawie 26% (kukurydza). O spadku cen zbóż na rynku </w:t>
      </w:r>
      <w:r w:rsidRPr="000B1397">
        <w:rPr>
          <w:rFonts w:ascii="Times New Roman" w:eastAsia="Times New Roman" w:hAnsi="Times New Roman" w:cs="Times New Roman"/>
          <w:color w:val="000000" w:themeColor="text1"/>
          <w:sz w:val="24"/>
          <w:szCs w:val="24"/>
        </w:rPr>
        <w:lastRenderedPageBreak/>
        <w:t xml:space="preserve">krajowym zadecydowały relatywnie dobre zbiory oraz niskie ceny światowe przy ograniczonym popycie krajowym oraz importowym. </w:t>
      </w:r>
    </w:p>
    <w:p w:rsidR="00F66F98" w:rsidRPr="000B1397" w:rsidRDefault="00347A11" w:rsidP="00EA7CA9">
      <w:pPr>
        <w:spacing w:before="80" w:after="0" w:line="264" w:lineRule="auto"/>
        <w:ind w:firstLine="425"/>
        <w:jc w:val="both"/>
        <w:rPr>
          <w:rFonts w:ascii="Times New Roman" w:eastAsia="Times New Roman" w:hAnsi="Times New Roman" w:cs="Times New Roman"/>
          <w:color w:val="000000" w:themeColor="text1"/>
          <w:sz w:val="24"/>
          <w:szCs w:val="24"/>
        </w:rPr>
      </w:pPr>
      <w:r w:rsidRPr="000B1397">
        <w:rPr>
          <w:rFonts w:ascii="Times New Roman" w:eastAsia="Times New Roman" w:hAnsi="Times New Roman" w:cs="Times New Roman"/>
          <w:color w:val="000000" w:themeColor="text1"/>
          <w:sz w:val="24"/>
          <w:szCs w:val="24"/>
        </w:rPr>
        <w:t xml:space="preserve">Wyraźnie więc poprawiła się w tym czasie relacja cen żywca wieprzowego do zbóż. Pogłowie świń i produkcja żywca znacząco spadły, mimo poprawy relacji cen, w wyniku wycofywania się najmniejszych gospodarstw z chowu trzody chlewnej. Rośnie natomiast pogłowie i produkcja żywca wieprzowego w spółkach, co może zapowiadać przyspieszenie przemian strukturalnych w sektorze </w:t>
      </w:r>
      <w:r w:rsidR="00E953E1" w:rsidRPr="000B1397">
        <w:rPr>
          <w:rFonts w:ascii="Times New Roman" w:eastAsia="Times New Roman" w:hAnsi="Times New Roman" w:cs="Times New Roman"/>
          <w:color w:val="000000" w:themeColor="text1"/>
          <w:sz w:val="24"/>
          <w:szCs w:val="24"/>
        </w:rPr>
        <w:t>t</w:t>
      </w:r>
      <w:r w:rsidRPr="000B1397">
        <w:rPr>
          <w:rFonts w:ascii="Times New Roman" w:eastAsia="Times New Roman" w:hAnsi="Times New Roman" w:cs="Times New Roman"/>
          <w:color w:val="000000" w:themeColor="text1"/>
          <w:sz w:val="24"/>
          <w:szCs w:val="24"/>
        </w:rPr>
        <w:t>rzod</w:t>
      </w:r>
      <w:r w:rsidR="000B1397" w:rsidRPr="000B1397">
        <w:rPr>
          <w:rFonts w:ascii="Times New Roman" w:eastAsia="Times New Roman" w:hAnsi="Times New Roman" w:cs="Times New Roman"/>
          <w:color w:val="000000" w:themeColor="text1"/>
          <w:sz w:val="24"/>
          <w:szCs w:val="24"/>
        </w:rPr>
        <w:t>y chlewnej</w:t>
      </w:r>
      <w:r w:rsidRPr="000B1397">
        <w:rPr>
          <w:rFonts w:ascii="Times New Roman" w:eastAsia="Times New Roman" w:hAnsi="Times New Roman" w:cs="Times New Roman"/>
          <w:color w:val="000000" w:themeColor="text1"/>
          <w:sz w:val="24"/>
          <w:szCs w:val="24"/>
        </w:rPr>
        <w:t>.</w:t>
      </w:r>
    </w:p>
    <w:p w:rsidR="001F40CA" w:rsidRPr="000B1397" w:rsidRDefault="001F40CA" w:rsidP="00EA7CA9">
      <w:pPr>
        <w:spacing w:before="80" w:after="0" w:line="264" w:lineRule="auto"/>
        <w:ind w:firstLine="425"/>
        <w:jc w:val="both"/>
        <w:rPr>
          <w:rFonts w:ascii="Times New Roman" w:eastAsia="Times New Roman" w:hAnsi="Times New Roman" w:cs="Times New Roman"/>
          <w:color w:val="000000" w:themeColor="text1"/>
          <w:sz w:val="24"/>
          <w:szCs w:val="24"/>
        </w:rPr>
      </w:pPr>
      <w:r w:rsidRPr="000B1397">
        <w:rPr>
          <w:rFonts w:ascii="Times New Roman" w:eastAsia="Times New Roman" w:hAnsi="Times New Roman" w:cs="Times New Roman"/>
          <w:color w:val="000000" w:themeColor="text1"/>
          <w:sz w:val="24"/>
          <w:szCs w:val="24"/>
        </w:rPr>
        <w:t>Praktycznie nie pogorszyła się opłacalność produkcji drobiarskiej w ciągu 12 miesięcy 2016 r. mierzona relacjami cen żywca drobiowego do zbóż i pasz. Spadek cen zbóż podstawowych był zbliżony do obniżek cen skupu drobiu, a w przypadku kukurydzy był nawet wyraźnie głębszy. Przy relatywnie niewielkich wzrostach</w:t>
      </w:r>
      <w:r w:rsidR="00E30516" w:rsidRPr="000B1397">
        <w:rPr>
          <w:rFonts w:ascii="Times New Roman" w:eastAsia="Times New Roman" w:hAnsi="Times New Roman" w:cs="Times New Roman"/>
          <w:color w:val="000000" w:themeColor="text1"/>
          <w:sz w:val="24"/>
          <w:szCs w:val="24"/>
        </w:rPr>
        <w:t xml:space="preserve"> cen</w:t>
      </w:r>
      <w:r w:rsidRPr="000B1397">
        <w:rPr>
          <w:rFonts w:ascii="Times New Roman" w:eastAsia="Times New Roman" w:hAnsi="Times New Roman" w:cs="Times New Roman"/>
          <w:color w:val="000000" w:themeColor="text1"/>
          <w:sz w:val="24"/>
          <w:szCs w:val="24"/>
        </w:rPr>
        <w:t xml:space="preserve"> pasz wysokobiałkowych relacje cen skupu drobiu do mieszanki DKA (podstawowej mieszanki pełnoporcjowej stosowanej w żywieniu kurcząt rzeźnych) były zbliżone do roku poprzedniego.</w:t>
      </w:r>
    </w:p>
    <w:p w:rsidR="001F40CA" w:rsidRPr="000B1397" w:rsidRDefault="001F40CA" w:rsidP="00EA7CA9">
      <w:pPr>
        <w:spacing w:before="80" w:after="0" w:line="264" w:lineRule="auto"/>
        <w:ind w:firstLine="425"/>
        <w:jc w:val="both"/>
        <w:rPr>
          <w:rFonts w:ascii="Times New Roman" w:eastAsia="Times New Roman" w:hAnsi="Times New Roman" w:cs="Times New Roman"/>
          <w:color w:val="000000" w:themeColor="text1"/>
          <w:sz w:val="24"/>
          <w:szCs w:val="24"/>
        </w:rPr>
      </w:pPr>
      <w:r w:rsidRPr="000B1397">
        <w:rPr>
          <w:rFonts w:ascii="Times New Roman" w:eastAsia="Times New Roman" w:hAnsi="Times New Roman" w:cs="Times New Roman"/>
          <w:color w:val="000000" w:themeColor="text1"/>
          <w:sz w:val="24"/>
          <w:szCs w:val="24"/>
        </w:rPr>
        <w:t xml:space="preserve">W ciągu 12 miesięcy 2016 r. bydło staniało w skupie o 2,9%, a więc w stopniu zbliżonym do spadku cen cieląt (o 3,0%). Przy niższych cenach pasz było to równoznaczne z niewielką poprawą opłacalności produkcji żywca wołowego. Uzasadnia to stopniowy </w:t>
      </w:r>
      <w:r w:rsidR="000D2E50" w:rsidRPr="000B1397">
        <w:rPr>
          <w:rFonts w:ascii="Times New Roman" w:eastAsia="Times New Roman" w:hAnsi="Times New Roman" w:cs="Times New Roman"/>
          <w:color w:val="000000" w:themeColor="text1"/>
          <w:sz w:val="24"/>
          <w:szCs w:val="24"/>
        </w:rPr>
        <w:t>wzrost produkcji żywca wołowego wspomagany</w:t>
      </w:r>
      <w:r w:rsidRPr="000B1397">
        <w:rPr>
          <w:rFonts w:ascii="Times New Roman" w:eastAsia="Times New Roman" w:hAnsi="Times New Roman" w:cs="Times New Roman"/>
          <w:color w:val="000000" w:themeColor="text1"/>
          <w:sz w:val="24"/>
          <w:szCs w:val="24"/>
        </w:rPr>
        <w:t xml:space="preserve"> coraz bardziej </w:t>
      </w:r>
      <w:r w:rsidR="00E30516" w:rsidRPr="000B1397">
        <w:rPr>
          <w:rFonts w:ascii="Times New Roman" w:eastAsia="Times New Roman" w:hAnsi="Times New Roman" w:cs="Times New Roman"/>
          <w:color w:val="000000" w:themeColor="text1"/>
          <w:sz w:val="24"/>
          <w:szCs w:val="24"/>
        </w:rPr>
        <w:t>znaczącym</w:t>
      </w:r>
      <w:r w:rsidRPr="000B1397">
        <w:rPr>
          <w:rFonts w:ascii="Times New Roman" w:eastAsia="Times New Roman" w:hAnsi="Times New Roman" w:cs="Times New Roman"/>
          <w:color w:val="000000" w:themeColor="text1"/>
          <w:sz w:val="24"/>
          <w:szCs w:val="24"/>
        </w:rPr>
        <w:t xml:space="preserve"> importem młodego bydła. Poprawa opłacalności żywca wołowego była zdecydowanie mniejsza niż w przypadku mleka, którego ceny podniosły się w ciągu 12 miesięcy 2016 r. o prawie 18%, po głębokich spadkach w latach 2014-2015.</w:t>
      </w:r>
    </w:p>
    <w:p w:rsidR="00040929" w:rsidRPr="000B1397" w:rsidRDefault="006F10BF" w:rsidP="006050E4">
      <w:pPr>
        <w:spacing w:after="0" w:line="240" w:lineRule="auto"/>
        <w:ind w:firstLine="709"/>
        <w:jc w:val="right"/>
        <w:rPr>
          <w:rFonts w:ascii="Times New Roman" w:eastAsia="Times New Roman" w:hAnsi="Times New Roman" w:cs="Times New Roman"/>
          <w:color w:val="000000" w:themeColor="text1"/>
          <w:sz w:val="24"/>
          <w:szCs w:val="24"/>
        </w:rPr>
      </w:pPr>
      <w:r w:rsidRPr="000B1397">
        <w:rPr>
          <w:rFonts w:ascii="Times New Roman" w:eastAsia="Times New Roman" w:hAnsi="Times New Roman" w:cs="Times New Roman"/>
          <w:color w:val="000000" w:themeColor="text1"/>
          <w:sz w:val="24"/>
          <w:szCs w:val="24"/>
        </w:rPr>
        <w:t>Tabela 1</w:t>
      </w:r>
    </w:p>
    <w:p w:rsidR="00040929" w:rsidRPr="00EA7CA9" w:rsidRDefault="00040929" w:rsidP="00040929">
      <w:pPr>
        <w:spacing w:after="60" w:line="240" w:lineRule="auto"/>
        <w:jc w:val="center"/>
        <w:rPr>
          <w:rFonts w:ascii="Times New Roman" w:eastAsia="Times New Roman" w:hAnsi="Times New Roman" w:cs="Times New Roman"/>
          <w:color w:val="000000" w:themeColor="text1"/>
        </w:rPr>
      </w:pPr>
      <w:r w:rsidRPr="00EA7CA9">
        <w:rPr>
          <w:rFonts w:ascii="Times New Roman" w:eastAsia="Times New Roman" w:hAnsi="Times New Roman" w:cs="Times New Roman"/>
          <w:color w:val="000000" w:themeColor="text1"/>
        </w:rPr>
        <w:t>Skumulowane wskaźniki zmian cen</w:t>
      </w:r>
      <w:r w:rsidR="008351E6" w:rsidRPr="00EA7CA9">
        <w:rPr>
          <w:rFonts w:ascii="Times New Roman" w:eastAsia="Times New Roman" w:hAnsi="Times New Roman" w:cs="Times New Roman"/>
          <w:color w:val="000000" w:themeColor="text1"/>
        </w:rPr>
        <w:t xml:space="preserve"> w latach 201</w:t>
      </w:r>
      <w:r w:rsidR="001F40CA" w:rsidRPr="00EA7CA9">
        <w:rPr>
          <w:rFonts w:ascii="Times New Roman" w:eastAsia="Times New Roman" w:hAnsi="Times New Roman" w:cs="Times New Roman"/>
          <w:color w:val="000000" w:themeColor="text1"/>
        </w:rPr>
        <w:t>3-2016</w:t>
      </w:r>
      <w:r w:rsidRPr="00EA7CA9">
        <w:rPr>
          <w:rFonts w:ascii="Times New Roman" w:eastAsia="Times New Roman" w:hAnsi="Times New Roman" w:cs="Times New Roman"/>
          <w:color w:val="000000" w:themeColor="text1"/>
        </w:rPr>
        <w:t xml:space="preserve"> (grudzień roku poprzedniego =100)</w:t>
      </w:r>
    </w:p>
    <w:tbl>
      <w:tblPr>
        <w:tblStyle w:val="Tabela-Siatka"/>
        <w:tblW w:w="4552" w:type="pct"/>
        <w:jc w:val="center"/>
        <w:tblLook w:val="01E0" w:firstRow="1" w:lastRow="1" w:firstColumn="1" w:lastColumn="1" w:noHBand="0" w:noVBand="0"/>
      </w:tblPr>
      <w:tblGrid>
        <w:gridCol w:w="2884"/>
        <w:gridCol w:w="1062"/>
        <w:gridCol w:w="1062"/>
        <w:gridCol w:w="930"/>
        <w:gridCol w:w="1260"/>
        <w:gridCol w:w="1256"/>
      </w:tblGrid>
      <w:tr w:rsidR="00FF37C4" w:rsidRPr="000B1397" w:rsidTr="00346776">
        <w:trPr>
          <w:jc w:val="center"/>
        </w:trPr>
        <w:tc>
          <w:tcPr>
            <w:tcW w:w="1706" w:type="pct"/>
          </w:tcPr>
          <w:p w:rsidR="00FF37C4" w:rsidRPr="000B1397" w:rsidRDefault="00FF37C4" w:rsidP="00040929">
            <w:pPr>
              <w:jc w:val="both"/>
              <w:rPr>
                <w:rFonts w:ascii="Times New Roman" w:eastAsia="Times New Roman" w:hAnsi="Times New Roman" w:cs="Times New Roman"/>
                <w:b/>
                <w:color w:val="000000" w:themeColor="text1"/>
                <w:sz w:val="20"/>
                <w:szCs w:val="20"/>
              </w:rPr>
            </w:pPr>
          </w:p>
          <w:p w:rsidR="00FF37C4" w:rsidRPr="000B1397" w:rsidRDefault="00FF37C4" w:rsidP="00040929">
            <w:pPr>
              <w:jc w:val="both"/>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Wyszczególnienie</w:t>
            </w:r>
          </w:p>
        </w:tc>
        <w:tc>
          <w:tcPr>
            <w:tcW w:w="628" w:type="pct"/>
            <w:vAlign w:val="bottom"/>
          </w:tcPr>
          <w:p w:rsidR="00FF37C4" w:rsidRPr="000B1397" w:rsidRDefault="00A66D97" w:rsidP="00256140">
            <w:pPr>
              <w:jc w:val="cente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201</w:t>
            </w:r>
            <w:r w:rsidR="00256140" w:rsidRPr="000B1397">
              <w:rPr>
                <w:rFonts w:ascii="Times New Roman" w:eastAsia="Times New Roman" w:hAnsi="Times New Roman" w:cs="Times New Roman"/>
                <w:b/>
                <w:color w:val="000000" w:themeColor="text1"/>
                <w:sz w:val="20"/>
                <w:szCs w:val="20"/>
              </w:rPr>
              <w:t>6</w:t>
            </w:r>
          </w:p>
        </w:tc>
        <w:tc>
          <w:tcPr>
            <w:tcW w:w="628" w:type="pct"/>
            <w:vAlign w:val="bottom"/>
          </w:tcPr>
          <w:p w:rsidR="00FF37C4" w:rsidRPr="000B1397" w:rsidRDefault="00FF37C4" w:rsidP="00256140">
            <w:pPr>
              <w:jc w:val="cente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201</w:t>
            </w:r>
            <w:r w:rsidR="00256140" w:rsidRPr="000B1397">
              <w:rPr>
                <w:rFonts w:ascii="Times New Roman" w:eastAsia="Times New Roman" w:hAnsi="Times New Roman" w:cs="Times New Roman"/>
                <w:b/>
                <w:color w:val="000000" w:themeColor="text1"/>
                <w:sz w:val="20"/>
                <w:szCs w:val="20"/>
              </w:rPr>
              <w:t>5</w:t>
            </w:r>
          </w:p>
        </w:tc>
        <w:tc>
          <w:tcPr>
            <w:tcW w:w="550" w:type="pct"/>
          </w:tcPr>
          <w:p w:rsidR="00FF37C4" w:rsidRPr="000B1397" w:rsidRDefault="00FF37C4" w:rsidP="00346776">
            <w:pPr>
              <w:jc w:val="center"/>
              <w:rPr>
                <w:rFonts w:ascii="Times New Roman" w:eastAsia="Times New Roman" w:hAnsi="Times New Roman" w:cs="Times New Roman"/>
                <w:b/>
                <w:color w:val="000000" w:themeColor="text1"/>
                <w:sz w:val="20"/>
                <w:szCs w:val="20"/>
              </w:rPr>
            </w:pPr>
          </w:p>
          <w:p w:rsidR="00FF37C4" w:rsidRPr="000B1397" w:rsidRDefault="00FF37C4" w:rsidP="00256140">
            <w:pPr>
              <w:jc w:val="cente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201</w:t>
            </w:r>
            <w:r w:rsidR="00256140" w:rsidRPr="000B1397">
              <w:rPr>
                <w:rFonts w:ascii="Times New Roman" w:eastAsia="Times New Roman" w:hAnsi="Times New Roman" w:cs="Times New Roman"/>
                <w:b/>
                <w:color w:val="000000" w:themeColor="text1"/>
                <w:sz w:val="20"/>
                <w:szCs w:val="20"/>
              </w:rPr>
              <w:t>4</w:t>
            </w:r>
          </w:p>
        </w:tc>
        <w:tc>
          <w:tcPr>
            <w:tcW w:w="745" w:type="pct"/>
          </w:tcPr>
          <w:p w:rsidR="00FF37C4" w:rsidRPr="000B1397" w:rsidRDefault="00FF37C4" w:rsidP="00346776">
            <w:pPr>
              <w:jc w:val="center"/>
              <w:rPr>
                <w:rFonts w:ascii="Times New Roman" w:eastAsia="Times New Roman" w:hAnsi="Times New Roman" w:cs="Times New Roman"/>
                <w:b/>
                <w:color w:val="000000" w:themeColor="text1"/>
                <w:sz w:val="20"/>
                <w:szCs w:val="20"/>
              </w:rPr>
            </w:pPr>
          </w:p>
          <w:p w:rsidR="00FF37C4" w:rsidRPr="000B1397" w:rsidRDefault="00FF37C4" w:rsidP="00256140">
            <w:pPr>
              <w:jc w:val="cente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201</w:t>
            </w:r>
            <w:r w:rsidR="00256140" w:rsidRPr="000B1397">
              <w:rPr>
                <w:rFonts w:ascii="Times New Roman" w:eastAsia="Times New Roman" w:hAnsi="Times New Roman" w:cs="Times New Roman"/>
                <w:b/>
                <w:color w:val="000000" w:themeColor="text1"/>
                <w:sz w:val="20"/>
                <w:szCs w:val="20"/>
              </w:rPr>
              <w:t>3</w:t>
            </w:r>
          </w:p>
        </w:tc>
        <w:tc>
          <w:tcPr>
            <w:tcW w:w="743" w:type="pct"/>
            <w:tcBorders>
              <w:right w:val="single" w:sz="4" w:space="0" w:color="auto"/>
            </w:tcBorders>
          </w:tcPr>
          <w:p w:rsidR="00FF37C4" w:rsidRPr="000B1397" w:rsidRDefault="00FF37C4" w:rsidP="00040929">
            <w:pPr>
              <w:jc w:val="cente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XII</w:t>
            </w:r>
          </w:p>
          <w:p w:rsidR="00FF37C4" w:rsidRPr="000B1397" w:rsidRDefault="00FF37C4" w:rsidP="00040929">
            <w:pPr>
              <w:jc w:val="cente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201</w:t>
            </w:r>
            <w:r w:rsidR="00F66F98" w:rsidRPr="000B1397">
              <w:rPr>
                <w:rFonts w:ascii="Times New Roman" w:eastAsia="Times New Roman" w:hAnsi="Times New Roman" w:cs="Times New Roman"/>
                <w:b/>
                <w:color w:val="000000" w:themeColor="text1"/>
                <w:sz w:val="20"/>
                <w:szCs w:val="20"/>
              </w:rPr>
              <w:t>2</w:t>
            </w:r>
            <w:r w:rsidRPr="000B1397">
              <w:rPr>
                <w:rFonts w:ascii="Times New Roman" w:eastAsia="Times New Roman" w:hAnsi="Times New Roman" w:cs="Times New Roman"/>
                <w:b/>
                <w:color w:val="000000" w:themeColor="text1"/>
                <w:sz w:val="20"/>
                <w:szCs w:val="20"/>
              </w:rPr>
              <w:t>=100%</w:t>
            </w:r>
          </w:p>
        </w:tc>
      </w:tr>
      <w:tr w:rsidR="006F6950" w:rsidRPr="000B1397" w:rsidTr="000A29F2">
        <w:trPr>
          <w:jc w:val="center"/>
        </w:trPr>
        <w:tc>
          <w:tcPr>
            <w:tcW w:w="1706" w:type="pct"/>
          </w:tcPr>
          <w:p w:rsidR="006F6950" w:rsidRPr="000B1397" w:rsidRDefault="006F6950" w:rsidP="00040929">
            <w:pP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Środki produkcji</w:t>
            </w:r>
          </w:p>
        </w:tc>
        <w:tc>
          <w:tcPr>
            <w:tcW w:w="628"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99,6</w:t>
            </w:r>
          </w:p>
        </w:tc>
        <w:tc>
          <w:tcPr>
            <w:tcW w:w="628"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99,5</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98,2</w:t>
            </w:r>
          </w:p>
        </w:tc>
        <w:tc>
          <w:tcPr>
            <w:tcW w:w="745"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99,7</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99,9</w:t>
            </w:r>
          </w:p>
        </w:tc>
      </w:tr>
      <w:tr w:rsidR="006F6950" w:rsidRPr="000B1397" w:rsidTr="000A29F2">
        <w:trPr>
          <w:jc w:val="center"/>
        </w:trPr>
        <w:tc>
          <w:tcPr>
            <w:tcW w:w="1706" w:type="pct"/>
          </w:tcPr>
          <w:p w:rsidR="006F6950" w:rsidRPr="000B1397" w:rsidRDefault="006F6950" w:rsidP="00040929">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w tym</w:t>
            </w:r>
            <w:r w:rsidR="00E953E1" w:rsidRPr="000B1397">
              <w:rPr>
                <w:rFonts w:ascii="Times New Roman" w:eastAsia="Times New Roman" w:hAnsi="Times New Roman" w:cs="Times New Roman"/>
                <w:color w:val="000000" w:themeColor="text1"/>
                <w:sz w:val="20"/>
                <w:szCs w:val="20"/>
              </w:rPr>
              <w:t>:</w:t>
            </w:r>
            <w:r w:rsidRPr="000B1397">
              <w:rPr>
                <w:rFonts w:ascii="Times New Roman" w:eastAsia="Times New Roman" w:hAnsi="Times New Roman" w:cs="Times New Roman"/>
                <w:color w:val="000000" w:themeColor="text1"/>
                <w:sz w:val="20"/>
                <w:szCs w:val="20"/>
              </w:rPr>
              <w:t xml:space="preserve"> nawozy mineralne</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92,4</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100,7</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93,2</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94,6</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86,1</w:t>
            </w:r>
          </w:p>
        </w:tc>
      </w:tr>
      <w:tr w:rsidR="006F6950" w:rsidRPr="000B1397" w:rsidTr="000A29F2">
        <w:trPr>
          <w:jc w:val="center"/>
        </w:trPr>
        <w:tc>
          <w:tcPr>
            <w:tcW w:w="1706" w:type="pct"/>
          </w:tcPr>
          <w:p w:rsidR="006F6950" w:rsidRPr="000B1397" w:rsidRDefault="006F6950" w:rsidP="00E953E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p</w:t>
            </w:r>
            <w:r w:rsidRPr="000B1397">
              <w:rPr>
                <w:rFonts w:ascii="Times New Roman" w:eastAsia="Times New Roman" w:hAnsi="Times New Roman" w:cs="Times New Roman"/>
                <w:color w:val="000000" w:themeColor="text1"/>
                <w:sz w:val="20"/>
                <w:szCs w:val="20"/>
              </w:rPr>
              <w:t>estycydy</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101,1</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101,6</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101,5</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102,2</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109,7</w:t>
            </w:r>
          </w:p>
        </w:tc>
      </w:tr>
      <w:tr w:rsidR="006F6950" w:rsidRPr="000B1397" w:rsidTr="000A29F2">
        <w:trPr>
          <w:jc w:val="center"/>
        </w:trPr>
        <w:tc>
          <w:tcPr>
            <w:tcW w:w="1706" w:type="pct"/>
          </w:tcPr>
          <w:p w:rsidR="006F6950" w:rsidRPr="000B1397" w:rsidRDefault="006F6950" w:rsidP="00040929">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w:t>
            </w:r>
            <w:r w:rsidRPr="000B1397">
              <w:rPr>
                <w:rFonts w:ascii="Times New Roman" w:eastAsia="Times New Roman" w:hAnsi="Times New Roman" w:cs="Times New Roman"/>
                <w:color w:val="000000" w:themeColor="text1"/>
                <w:sz w:val="20"/>
                <w:szCs w:val="20"/>
              </w:rPr>
              <w:t>bezp. nośniki energii</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102,7</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94,4</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95,1</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98,6</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91,7</w:t>
            </w:r>
          </w:p>
        </w:tc>
      </w:tr>
      <w:tr w:rsidR="006F6950" w:rsidRPr="000B1397" w:rsidTr="000A29F2">
        <w:trPr>
          <w:jc w:val="center"/>
        </w:trPr>
        <w:tc>
          <w:tcPr>
            <w:tcW w:w="1706" w:type="pct"/>
          </w:tcPr>
          <w:p w:rsidR="006F6950" w:rsidRPr="000B1397" w:rsidRDefault="006F6950" w:rsidP="00E953E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m</w:t>
            </w:r>
            <w:r w:rsidRPr="000B1397">
              <w:rPr>
                <w:rFonts w:ascii="Times New Roman" w:eastAsia="Times New Roman" w:hAnsi="Times New Roman" w:cs="Times New Roman"/>
                <w:color w:val="000000" w:themeColor="text1"/>
                <w:sz w:val="20"/>
                <w:szCs w:val="20"/>
              </w:rPr>
              <w:t>aszyny</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99,4</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103,5</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102,2</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103,5</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114,3</w:t>
            </w:r>
          </w:p>
        </w:tc>
      </w:tr>
      <w:tr w:rsidR="006F6950" w:rsidRPr="000B1397" w:rsidTr="000A29F2">
        <w:trPr>
          <w:jc w:val="center"/>
        </w:trPr>
        <w:tc>
          <w:tcPr>
            <w:tcW w:w="1706" w:type="pct"/>
          </w:tcPr>
          <w:p w:rsidR="006F6950" w:rsidRPr="000B1397" w:rsidRDefault="006F6950" w:rsidP="00040929">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w:t>
            </w:r>
            <w:r w:rsidRPr="000B1397">
              <w:rPr>
                <w:rFonts w:ascii="Times New Roman" w:eastAsia="Times New Roman" w:hAnsi="Times New Roman" w:cs="Times New Roman"/>
                <w:color w:val="000000" w:themeColor="text1"/>
                <w:sz w:val="20"/>
                <w:szCs w:val="20"/>
              </w:rPr>
              <w:t>materiały budowlane</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102,2</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97,7</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99,3</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99,7</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100,1</w:t>
            </w:r>
          </w:p>
        </w:tc>
      </w:tr>
      <w:tr w:rsidR="006F6950" w:rsidRPr="000B1397" w:rsidTr="000A29F2">
        <w:trPr>
          <w:jc w:val="center"/>
        </w:trPr>
        <w:tc>
          <w:tcPr>
            <w:tcW w:w="1706" w:type="pct"/>
          </w:tcPr>
          <w:p w:rsidR="006F6950" w:rsidRPr="000B1397" w:rsidRDefault="006F6950" w:rsidP="00040929">
            <w:pP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Nożyce cen koszyka skupu</w:t>
            </w:r>
          </w:p>
        </w:tc>
        <w:tc>
          <w:tcPr>
            <w:tcW w:w="628"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104,7</w:t>
            </w:r>
          </w:p>
        </w:tc>
        <w:tc>
          <w:tcPr>
            <w:tcW w:w="628"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95,3</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89,7</w:t>
            </w:r>
          </w:p>
        </w:tc>
        <w:tc>
          <w:tcPr>
            <w:tcW w:w="745"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104,8</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90,6</w:t>
            </w:r>
          </w:p>
        </w:tc>
      </w:tr>
      <w:tr w:rsidR="006F6950" w:rsidRPr="000B1397" w:rsidTr="000A29F2">
        <w:trPr>
          <w:jc w:val="center"/>
        </w:trPr>
        <w:tc>
          <w:tcPr>
            <w:tcW w:w="1706" w:type="pct"/>
          </w:tcPr>
          <w:p w:rsidR="006F6950" w:rsidRPr="000B1397" w:rsidRDefault="006F6950" w:rsidP="00040929">
            <w:pPr>
              <w:rPr>
                <w:rFonts w:ascii="Times New Roman" w:eastAsia="Times New Roman" w:hAnsi="Times New Roman" w:cs="Times New Roman"/>
                <w:b/>
                <w:color w:val="000000" w:themeColor="text1"/>
                <w:sz w:val="20"/>
                <w:szCs w:val="20"/>
              </w:rPr>
            </w:pPr>
            <w:r w:rsidRPr="000B1397">
              <w:rPr>
                <w:rFonts w:ascii="Times New Roman" w:eastAsia="Times New Roman" w:hAnsi="Times New Roman" w:cs="Times New Roman"/>
                <w:b/>
                <w:color w:val="000000" w:themeColor="text1"/>
                <w:sz w:val="20"/>
                <w:szCs w:val="20"/>
              </w:rPr>
              <w:t>Koszyk skupu</w:t>
            </w:r>
          </w:p>
        </w:tc>
        <w:tc>
          <w:tcPr>
            <w:tcW w:w="628"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104,3</w:t>
            </w:r>
          </w:p>
        </w:tc>
        <w:tc>
          <w:tcPr>
            <w:tcW w:w="628"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94,8</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88,1</w:t>
            </w:r>
          </w:p>
        </w:tc>
        <w:tc>
          <w:tcPr>
            <w:tcW w:w="745" w:type="pct"/>
            <w:vAlign w:val="bottom"/>
          </w:tcPr>
          <w:p w:rsidR="006F6950" w:rsidRPr="000B1397" w:rsidRDefault="006F6950" w:rsidP="000A29F2">
            <w:pPr>
              <w:ind w:right="113"/>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104,5</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b/>
                <w:bCs/>
                <w:color w:val="000000" w:themeColor="text1"/>
                <w:sz w:val="20"/>
                <w:szCs w:val="20"/>
              </w:rPr>
            </w:pPr>
            <w:r w:rsidRPr="000B1397">
              <w:rPr>
                <w:rFonts w:ascii="Times New Roman" w:eastAsia="Times New Roman" w:hAnsi="Times New Roman" w:cs="Times New Roman"/>
                <w:b/>
                <w:bCs/>
                <w:color w:val="000000" w:themeColor="text1"/>
                <w:sz w:val="20"/>
                <w:szCs w:val="20"/>
              </w:rPr>
              <w:t>90,6</w:t>
            </w:r>
          </w:p>
        </w:tc>
      </w:tr>
      <w:tr w:rsidR="006F6950" w:rsidRPr="000B1397" w:rsidTr="000A29F2">
        <w:trPr>
          <w:jc w:val="center"/>
        </w:trPr>
        <w:tc>
          <w:tcPr>
            <w:tcW w:w="1706" w:type="pct"/>
          </w:tcPr>
          <w:p w:rsidR="006F6950" w:rsidRPr="000B1397" w:rsidRDefault="006F6950" w:rsidP="00040929">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w tym</w:t>
            </w:r>
            <w:r w:rsidR="00E953E1" w:rsidRPr="000B1397">
              <w:rPr>
                <w:rFonts w:ascii="Times New Roman" w:eastAsia="Times New Roman" w:hAnsi="Times New Roman" w:cs="Times New Roman"/>
                <w:color w:val="000000" w:themeColor="text1"/>
                <w:sz w:val="20"/>
                <w:szCs w:val="20"/>
              </w:rPr>
              <w:t>:</w:t>
            </w:r>
            <w:r w:rsidRPr="000B1397">
              <w:rPr>
                <w:rFonts w:ascii="Times New Roman" w:eastAsia="Times New Roman" w:hAnsi="Times New Roman" w:cs="Times New Roman"/>
                <w:color w:val="000000" w:themeColor="text1"/>
                <w:sz w:val="20"/>
                <w:szCs w:val="20"/>
              </w:rPr>
              <w:t xml:space="preserve"> pszenica</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90,2</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100,9</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88,4</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74,8</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80,6</w:t>
            </w:r>
          </w:p>
        </w:tc>
      </w:tr>
      <w:tr w:rsidR="006F6950" w:rsidRPr="000B1397" w:rsidTr="000A29F2">
        <w:trPr>
          <w:jc w:val="center"/>
        </w:trPr>
        <w:tc>
          <w:tcPr>
            <w:tcW w:w="1706" w:type="pct"/>
          </w:tcPr>
          <w:p w:rsidR="006F6950" w:rsidRPr="000B1397" w:rsidRDefault="006F6950" w:rsidP="00E953E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ż</w:t>
            </w:r>
            <w:r w:rsidRPr="000B1397">
              <w:rPr>
                <w:rFonts w:ascii="Times New Roman" w:eastAsia="Times New Roman" w:hAnsi="Times New Roman" w:cs="Times New Roman"/>
                <w:color w:val="000000" w:themeColor="text1"/>
                <w:sz w:val="20"/>
                <w:szCs w:val="20"/>
              </w:rPr>
              <w:t>yto</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97,8</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105,3</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92,1</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76,0</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67,4</w:t>
            </w:r>
          </w:p>
        </w:tc>
      </w:tr>
      <w:tr w:rsidR="006F6950" w:rsidRPr="000B1397" w:rsidTr="000A29F2">
        <w:trPr>
          <w:jc w:val="center"/>
        </w:trPr>
        <w:tc>
          <w:tcPr>
            <w:tcW w:w="1706" w:type="pct"/>
          </w:tcPr>
          <w:p w:rsidR="006F6950" w:rsidRPr="000B1397" w:rsidRDefault="006F6950" w:rsidP="00E953E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j</w:t>
            </w:r>
            <w:r w:rsidRPr="000B1397">
              <w:rPr>
                <w:rFonts w:ascii="Times New Roman" w:eastAsia="Times New Roman" w:hAnsi="Times New Roman" w:cs="Times New Roman"/>
                <w:color w:val="000000" w:themeColor="text1"/>
                <w:sz w:val="20"/>
                <w:szCs w:val="20"/>
              </w:rPr>
              <w:t>ęczmień</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92,4</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104,3</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79,4</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88,8</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77,6</w:t>
            </w:r>
          </w:p>
        </w:tc>
      </w:tr>
      <w:tr w:rsidR="006F6950" w:rsidRPr="000B1397" w:rsidTr="000A29F2">
        <w:trPr>
          <w:jc w:val="center"/>
        </w:trPr>
        <w:tc>
          <w:tcPr>
            <w:tcW w:w="1706" w:type="pct"/>
          </w:tcPr>
          <w:p w:rsidR="006F6950" w:rsidRPr="000B1397" w:rsidRDefault="006F6950" w:rsidP="00E953E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w:t>
            </w: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k</w:t>
            </w:r>
            <w:r w:rsidRPr="000B1397">
              <w:rPr>
                <w:rFonts w:ascii="Times New Roman" w:eastAsia="Times New Roman" w:hAnsi="Times New Roman" w:cs="Times New Roman"/>
                <w:color w:val="000000" w:themeColor="text1"/>
                <w:sz w:val="20"/>
                <w:szCs w:val="20"/>
              </w:rPr>
              <w:t>ukurydza</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74,1</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127,2</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80,6</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79,2</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71,2</w:t>
            </w:r>
          </w:p>
        </w:tc>
      </w:tr>
      <w:tr w:rsidR="006F6950" w:rsidRPr="000B1397" w:rsidTr="000A29F2">
        <w:trPr>
          <w:jc w:val="center"/>
        </w:trPr>
        <w:tc>
          <w:tcPr>
            <w:tcW w:w="1706" w:type="pct"/>
          </w:tcPr>
          <w:p w:rsidR="006F6950" w:rsidRPr="000B1397" w:rsidRDefault="006F6950" w:rsidP="00E953E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z</w:t>
            </w:r>
            <w:r w:rsidRPr="000B1397">
              <w:rPr>
                <w:rFonts w:ascii="Times New Roman" w:eastAsia="Times New Roman" w:hAnsi="Times New Roman" w:cs="Times New Roman"/>
                <w:color w:val="000000" w:themeColor="text1"/>
                <w:sz w:val="20"/>
                <w:szCs w:val="20"/>
              </w:rPr>
              <w:t>iemniaki</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80,5</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131,0</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70,9</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125,6</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114,8</w:t>
            </w:r>
          </w:p>
        </w:tc>
      </w:tr>
      <w:tr w:rsidR="006F6950" w:rsidRPr="000B1397" w:rsidTr="000A29F2">
        <w:trPr>
          <w:jc w:val="center"/>
        </w:trPr>
        <w:tc>
          <w:tcPr>
            <w:tcW w:w="1706" w:type="pct"/>
          </w:tcPr>
          <w:p w:rsidR="006F6950" w:rsidRPr="000B1397" w:rsidRDefault="006F6950" w:rsidP="00E953E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E953E1" w:rsidRPr="000B1397">
              <w:rPr>
                <w:rFonts w:ascii="Times New Roman" w:eastAsia="Times New Roman" w:hAnsi="Times New Roman" w:cs="Times New Roman"/>
                <w:color w:val="000000" w:themeColor="text1"/>
                <w:sz w:val="20"/>
                <w:szCs w:val="20"/>
              </w:rPr>
              <w:t xml:space="preserve"> b</w:t>
            </w:r>
            <w:r w:rsidRPr="000B1397">
              <w:rPr>
                <w:rFonts w:ascii="Times New Roman" w:eastAsia="Times New Roman" w:hAnsi="Times New Roman" w:cs="Times New Roman"/>
                <w:color w:val="000000" w:themeColor="text1"/>
                <w:sz w:val="20"/>
                <w:szCs w:val="20"/>
              </w:rPr>
              <w:t>ydło</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97,1</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107,2</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94,3</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92,7</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94,3</w:t>
            </w:r>
          </w:p>
        </w:tc>
      </w:tr>
      <w:tr w:rsidR="006F6950" w:rsidRPr="000B1397" w:rsidTr="000A29F2">
        <w:trPr>
          <w:jc w:val="center"/>
        </w:trPr>
        <w:tc>
          <w:tcPr>
            <w:tcW w:w="1706" w:type="pct"/>
          </w:tcPr>
          <w:p w:rsidR="006F6950" w:rsidRPr="000B1397" w:rsidRDefault="006F6950" w:rsidP="002B2AC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2B2AC1" w:rsidRPr="000B1397">
              <w:rPr>
                <w:rFonts w:ascii="Times New Roman" w:eastAsia="Times New Roman" w:hAnsi="Times New Roman" w:cs="Times New Roman"/>
                <w:color w:val="000000" w:themeColor="text1"/>
                <w:sz w:val="20"/>
                <w:szCs w:val="20"/>
              </w:rPr>
              <w:t xml:space="preserve"> t</w:t>
            </w:r>
            <w:r w:rsidRPr="000B1397">
              <w:rPr>
                <w:rFonts w:ascii="Times New Roman" w:eastAsia="Times New Roman" w:hAnsi="Times New Roman" w:cs="Times New Roman"/>
                <w:color w:val="000000" w:themeColor="text1"/>
                <w:sz w:val="20"/>
                <w:szCs w:val="20"/>
              </w:rPr>
              <w:t>rzoda chlewna</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133,3</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92,3</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78,8</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98,5</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91,8</w:t>
            </w:r>
          </w:p>
        </w:tc>
      </w:tr>
      <w:tr w:rsidR="006F6950" w:rsidRPr="000B1397" w:rsidTr="000A29F2">
        <w:trPr>
          <w:jc w:val="center"/>
        </w:trPr>
        <w:tc>
          <w:tcPr>
            <w:tcW w:w="1706" w:type="pct"/>
          </w:tcPr>
          <w:p w:rsidR="006F6950" w:rsidRPr="000B1397" w:rsidRDefault="006F6950" w:rsidP="002B2AC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2B2AC1" w:rsidRPr="000B1397">
              <w:rPr>
                <w:rFonts w:ascii="Times New Roman" w:eastAsia="Times New Roman" w:hAnsi="Times New Roman" w:cs="Times New Roman"/>
                <w:color w:val="000000" w:themeColor="text1"/>
                <w:sz w:val="20"/>
                <w:szCs w:val="20"/>
              </w:rPr>
              <w:t xml:space="preserve"> d</w:t>
            </w:r>
            <w:r w:rsidRPr="000B1397">
              <w:rPr>
                <w:rFonts w:ascii="Times New Roman" w:eastAsia="Times New Roman" w:hAnsi="Times New Roman" w:cs="Times New Roman"/>
                <w:color w:val="000000" w:themeColor="text1"/>
                <w:sz w:val="20"/>
                <w:szCs w:val="20"/>
              </w:rPr>
              <w:t>rób</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91,9</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93,0</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100,0</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98,3</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78,6</w:t>
            </w:r>
          </w:p>
        </w:tc>
      </w:tr>
      <w:tr w:rsidR="006F6950" w:rsidRPr="000B1397" w:rsidTr="000A29F2">
        <w:trPr>
          <w:jc w:val="center"/>
        </w:trPr>
        <w:tc>
          <w:tcPr>
            <w:tcW w:w="1706" w:type="pct"/>
          </w:tcPr>
          <w:p w:rsidR="006F6950" w:rsidRPr="000B1397" w:rsidRDefault="006F6950" w:rsidP="002B2AC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2B2AC1" w:rsidRPr="000B1397">
              <w:rPr>
                <w:rFonts w:ascii="Times New Roman" w:eastAsia="Times New Roman" w:hAnsi="Times New Roman" w:cs="Times New Roman"/>
                <w:color w:val="000000" w:themeColor="text1"/>
                <w:sz w:val="20"/>
                <w:szCs w:val="20"/>
              </w:rPr>
              <w:t xml:space="preserve"> c</w:t>
            </w:r>
            <w:r w:rsidRPr="000B1397">
              <w:rPr>
                <w:rFonts w:ascii="Times New Roman" w:eastAsia="Times New Roman" w:hAnsi="Times New Roman" w:cs="Times New Roman"/>
                <w:color w:val="000000" w:themeColor="text1"/>
                <w:sz w:val="20"/>
                <w:szCs w:val="20"/>
              </w:rPr>
              <w:t>ielęta</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93,0</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100,7</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101,0</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89,7</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92,1</w:t>
            </w:r>
          </w:p>
        </w:tc>
      </w:tr>
      <w:tr w:rsidR="006F6950" w:rsidRPr="000B1397" w:rsidTr="000A29F2">
        <w:trPr>
          <w:jc w:val="center"/>
        </w:trPr>
        <w:tc>
          <w:tcPr>
            <w:tcW w:w="1706" w:type="pct"/>
          </w:tcPr>
          <w:p w:rsidR="006F6950" w:rsidRPr="000B1397" w:rsidRDefault="006F6950" w:rsidP="002B2AC1">
            <w:pPr>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 xml:space="preserve">           </w:t>
            </w:r>
            <w:r w:rsidR="002B2AC1" w:rsidRPr="000B1397">
              <w:rPr>
                <w:rFonts w:ascii="Times New Roman" w:eastAsia="Times New Roman" w:hAnsi="Times New Roman" w:cs="Times New Roman"/>
                <w:color w:val="000000" w:themeColor="text1"/>
                <w:sz w:val="20"/>
                <w:szCs w:val="20"/>
              </w:rPr>
              <w:t xml:space="preserve"> m</w:t>
            </w:r>
            <w:r w:rsidRPr="000B1397">
              <w:rPr>
                <w:rFonts w:ascii="Times New Roman" w:eastAsia="Times New Roman" w:hAnsi="Times New Roman" w:cs="Times New Roman"/>
                <w:color w:val="000000" w:themeColor="text1"/>
                <w:sz w:val="20"/>
                <w:szCs w:val="20"/>
              </w:rPr>
              <w:t>leko</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117,9</w:t>
            </w:r>
          </w:p>
        </w:tc>
        <w:tc>
          <w:tcPr>
            <w:tcW w:w="628"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91,4</w:t>
            </w:r>
          </w:p>
        </w:tc>
        <w:tc>
          <w:tcPr>
            <w:tcW w:w="550" w:type="pct"/>
            <w:tcBorders>
              <w:right w:val="single" w:sz="4" w:space="0" w:color="auto"/>
            </w:tcBorders>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80,2</w:t>
            </w:r>
          </w:p>
        </w:tc>
        <w:tc>
          <w:tcPr>
            <w:tcW w:w="745" w:type="pct"/>
            <w:vAlign w:val="bottom"/>
          </w:tcPr>
          <w:p w:rsidR="006F6950" w:rsidRPr="000B1397" w:rsidRDefault="006F6950" w:rsidP="000A29F2">
            <w:pPr>
              <w:ind w:right="113"/>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122,4</w:t>
            </w:r>
          </w:p>
        </w:tc>
        <w:tc>
          <w:tcPr>
            <w:tcW w:w="743" w:type="pct"/>
            <w:tcBorders>
              <w:right w:val="single" w:sz="4" w:space="0" w:color="auto"/>
            </w:tcBorders>
            <w:vAlign w:val="bottom"/>
          </w:tcPr>
          <w:p w:rsidR="006F6950" w:rsidRPr="000B1397" w:rsidRDefault="006F6950" w:rsidP="000A29F2">
            <w:pPr>
              <w:ind w:right="170"/>
              <w:jc w:val="right"/>
              <w:rPr>
                <w:rFonts w:ascii="Times New Roman" w:eastAsia="Times New Roman" w:hAnsi="Times New Roman" w:cs="Times New Roman"/>
                <w:color w:val="000000" w:themeColor="text1"/>
                <w:sz w:val="20"/>
                <w:szCs w:val="20"/>
              </w:rPr>
            </w:pPr>
            <w:r w:rsidRPr="000B1397">
              <w:rPr>
                <w:rFonts w:ascii="Times New Roman" w:eastAsia="Times New Roman" w:hAnsi="Times New Roman" w:cs="Times New Roman"/>
                <w:color w:val="000000" w:themeColor="text1"/>
                <w:sz w:val="20"/>
                <w:szCs w:val="20"/>
              </w:rPr>
              <w:t>102,8</w:t>
            </w:r>
          </w:p>
        </w:tc>
      </w:tr>
    </w:tbl>
    <w:p w:rsidR="00040929" w:rsidRPr="000B1397" w:rsidRDefault="00040929" w:rsidP="00040929">
      <w:pPr>
        <w:spacing w:before="40" w:after="0" w:line="240" w:lineRule="auto"/>
        <w:ind w:left="45"/>
        <w:jc w:val="both"/>
        <w:rPr>
          <w:rFonts w:ascii="Times New Roman" w:eastAsia="Times New Roman" w:hAnsi="Times New Roman" w:cs="Times New Roman"/>
          <w:i/>
          <w:iCs/>
          <w:color w:val="000000" w:themeColor="text1"/>
          <w:sz w:val="20"/>
          <w:szCs w:val="20"/>
        </w:rPr>
      </w:pPr>
      <w:r w:rsidRPr="000B1397">
        <w:rPr>
          <w:rFonts w:ascii="Times New Roman" w:eastAsia="Times New Roman" w:hAnsi="Times New Roman" w:cs="Times New Roman"/>
          <w:b/>
          <w:iCs/>
          <w:color w:val="000000" w:themeColor="text1"/>
          <w:sz w:val="20"/>
          <w:szCs w:val="20"/>
        </w:rPr>
        <w:t>Źród</w:t>
      </w:r>
      <w:r w:rsidR="006050E4" w:rsidRPr="000B1397">
        <w:rPr>
          <w:rFonts w:ascii="Times New Roman" w:eastAsia="Times New Roman" w:hAnsi="Times New Roman" w:cs="Times New Roman"/>
          <w:b/>
          <w:iCs/>
          <w:color w:val="000000" w:themeColor="text1"/>
          <w:sz w:val="20"/>
          <w:szCs w:val="20"/>
        </w:rPr>
        <w:t>ło</w:t>
      </w:r>
      <w:r w:rsidR="00E803F6" w:rsidRPr="000B1397">
        <w:rPr>
          <w:rFonts w:ascii="Times New Roman" w:eastAsia="Times New Roman" w:hAnsi="Times New Roman" w:cs="Times New Roman"/>
          <w:i/>
          <w:iCs/>
          <w:color w:val="000000" w:themeColor="text1"/>
          <w:sz w:val="20"/>
          <w:szCs w:val="20"/>
        </w:rPr>
        <w:t>: Rynek Rolny nr 2</w:t>
      </w:r>
      <w:r w:rsidR="00415AB8" w:rsidRPr="000B1397">
        <w:rPr>
          <w:rFonts w:ascii="Times New Roman" w:eastAsia="Times New Roman" w:hAnsi="Times New Roman" w:cs="Times New Roman"/>
          <w:i/>
          <w:iCs/>
          <w:color w:val="000000" w:themeColor="text1"/>
          <w:sz w:val="20"/>
          <w:szCs w:val="20"/>
        </w:rPr>
        <w:t>/</w:t>
      </w:r>
      <w:r w:rsidR="00347A11" w:rsidRPr="000B1397">
        <w:rPr>
          <w:rFonts w:ascii="Times New Roman" w:eastAsia="Times New Roman" w:hAnsi="Times New Roman" w:cs="Times New Roman"/>
          <w:i/>
          <w:iCs/>
          <w:color w:val="000000" w:themeColor="text1"/>
          <w:sz w:val="20"/>
          <w:szCs w:val="20"/>
        </w:rPr>
        <w:t>2017</w:t>
      </w:r>
      <w:r w:rsidR="00EA7CA9">
        <w:rPr>
          <w:rFonts w:ascii="Times New Roman" w:eastAsia="Times New Roman" w:hAnsi="Times New Roman" w:cs="Times New Roman"/>
          <w:i/>
          <w:iCs/>
          <w:color w:val="000000" w:themeColor="text1"/>
          <w:sz w:val="20"/>
          <w:szCs w:val="20"/>
        </w:rPr>
        <w:t xml:space="preserve"> </w:t>
      </w:r>
      <w:r w:rsidR="006050E4" w:rsidRPr="000B1397">
        <w:rPr>
          <w:rFonts w:ascii="Times New Roman" w:eastAsia="Times New Roman" w:hAnsi="Times New Roman" w:cs="Times New Roman"/>
          <w:i/>
          <w:iCs/>
          <w:color w:val="000000" w:themeColor="text1"/>
          <w:sz w:val="20"/>
          <w:szCs w:val="20"/>
        </w:rPr>
        <w:t>r.</w:t>
      </w:r>
    </w:p>
    <w:p w:rsidR="00040929" w:rsidRPr="000B1397" w:rsidRDefault="00040929" w:rsidP="006B66D2">
      <w:pPr>
        <w:spacing w:after="0" w:line="264" w:lineRule="auto"/>
        <w:jc w:val="both"/>
        <w:rPr>
          <w:rFonts w:ascii="Times New Roman" w:eastAsia="Times New Roman" w:hAnsi="Times New Roman" w:cs="Times New Roman"/>
          <w:color w:val="000000" w:themeColor="text1"/>
          <w:sz w:val="24"/>
          <w:szCs w:val="24"/>
        </w:rPr>
      </w:pPr>
    </w:p>
    <w:p w:rsidR="001F40CA" w:rsidRPr="000B1397" w:rsidRDefault="001F40CA" w:rsidP="006B66D2">
      <w:pPr>
        <w:spacing w:after="0" w:line="264" w:lineRule="auto"/>
        <w:jc w:val="both"/>
        <w:rPr>
          <w:rFonts w:ascii="Times New Roman" w:eastAsia="Times New Roman" w:hAnsi="Times New Roman" w:cs="Times New Roman"/>
          <w:color w:val="000000" w:themeColor="text1"/>
          <w:sz w:val="24"/>
          <w:szCs w:val="24"/>
        </w:rPr>
      </w:pPr>
    </w:p>
    <w:p w:rsidR="001F40CA" w:rsidRPr="000B1397" w:rsidRDefault="001F40CA" w:rsidP="006B66D2">
      <w:pPr>
        <w:spacing w:after="0" w:line="264" w:lineRule="auto"/>
        <w:jc w:val="both"/>
        <w:rPr>
          <w:rFonts w:ascii="Times New Roman" w:eastAsia="Times New Roman" w:hAnsi="Times New Roman" w:cs="Times New Roman"/>
          <w:color w:val="000000" w:themeColor="text1"/>
          <w:sz w:val="24"/>
          <w:szCs w:val="24"/>
        </w:rPr>
      </w:pPr>
    </w:p>
    <w:p w:rsidR="001F40CA" w:rsidRPr="000B1397" w:rsidRDefault="001F40CA" w:rsidP="006B66D2">
      <w:pPr>
        <w:spacing w:after="0" w:line="264" w:lineRule="auto"/>
        <w:jc w:val="both"/>
        <w:rPr>
          <w:rFonts w:ascii="Times New Roman" w:eastAsia="Times New Roman" w:hAnsi="Times New Roman" w:cs="Times New Roman"/>
          <w:color w:val="000000" w:themeColor="text1"/>
          <w:sz w:val="24"/>
          <w:szCs w:val="24"/>
        </w:rPr>
      </w:pPr>
    </w:p>
    <w:p w:rsidR="001F40CA" w:rsidRPr="000B1397" w:rsidRDefault="001F40CA" w:rsidP="006B66D2">
      <w:pPr>
        <w:spacing w:after="0" w:line="264" w:lineRule="auto"/>
        <w:jc w:val="both"/>
        <w:rPr>
          <w:rFonts w:ascii="Times New Roman" w:eastAsia="Times New Roman" w:hAnsi="Times New Roman" w:cs="Times New Roman"/>
          <w:color w:val="000000" w:themeColor="text1"/>
          <w:sz w:val="24"/>
          <w:szCs w:val="24"/>
        </w:rPr>
      </w:pPr>
    </w:p>
    <w:p w:rsidR="001F40CA" w:rsidRPr="000B1397" w:rsidRDefault="001F40CA" w:rsidP="006B66D2">
      <w:pPr>
        <w:spacing w:after="0" w:line="264" w:lineRule="auto"/>
        <w:jc w:val="both"/>
        <w:rPr>
          <w:rFonts w:ascii="Times New Roman" w:eastAsia="Times New Roman" w:hAnsi="Times New Roman" w:cs="Times New Roman"/>
          <w:color w:val="000000" w:themeColor="text1"/>
          <w:sz w:val="24"/>
          <w:szCs w:val="24"/>
        </w:rPr>
      </w:pPr>
    </w:p>
    <w:p w:rsidR="001F40CA" w:rsidRPr="000B1397" w:rsidRDefault="001F40CA" w:rsidP="006B66D2">
      <w:pPr>
        <w:spacing w:after="0" w:line="264" w:lineRule="auto"/>
        <w:jc w:val="both"/>
        <w:rPr>
          <w:rFonts w:ascii="Times New Roman" w:eastAsia="Times New Roman" w:hAnsi="Times New Roman" w:cs="Times New Roman"/>
          <w:color w:val="000000" w:themeColor="text1"/>
          <w:sz w:val="24"/>
          <w:szCs w:val="24"/>
        </w:rPr>
      </w:pPr>
    </w:p>
    <w:p w:rsidR="001F40CA" w:rsidRPr="000B1397" w:rsidRDefault="001F40CA" w:rsidP="006B66D2">
      <w:pPr>
        <w:spacing w:after="0" w:line="264" w:lineRule="auto"/>
        <w:jc w:val="both"/>
        <w:rPr>
          <w:rFonts w:ascii="Times New Roman" w:eastAsia="Times New Roman" w:hAnsi="Times New Roman" w:cs="Times New Roman"/>
          <w:color w:val="000000" w:themeColor="text1"/>
          <w:sz w:val="24"/>
          <w:szCs w:val="24"/>
        </w:rPr>
      </w:pPr>
    </w:p>
    <w:p w:rsidR="00040929" w:rsidRPr="00EA7CA9" w:rsidRDefault="008351E6" w:rsidP="008351E6">
      <w:pPr>
        <w:spacing w:after="60" w:line="240" w:lineRule="auto"/>
        <w:jc w:val="center"/>
        <w:rPr>
          <w:rFonts w:ascii="Times New Roman" w:eastAsia="Times New Roman" w:hAnsi="Times New Roman" w:cs="Times New Roman"/>
          <w:color w:val="000000" w:themeColor="text1"/>
        </w:rPr>
      </w:pPr>
      <w:r w:rsidRPr="00EA7CA9">
        <w:rPr>
          <w:rFonts w:ascii="Times New Roman" w:eastAsia="Times New Roman" w:hAnsi="Times New Roman" w:cs="Times New Roman"/>
          <w:color w:val="000000" w:themeColor="text1"/>
        </w:rPr>
        <w:t>Wskaźniki obrazujące zmiany rynkowych uwarunkowań prod</w:t>
      </w:r>
      <w:r w:rsidR="00657F2B" w:rsidRPr="00EA7CA9">
        <w:rPr>
          <w:rFonts w:ascii="Times New Roman" w:eastAsia="Times New Roman" w:hAnsi="Times New Roman" w:cs="Times New Roman"/>
          <w:color w:val="000000" w:themeColor="text1"/>
        </w:rPr>
        <w:t xml:space="preserve">ukcji w rolnictwie </w:t>
      </w:r>
    </w:p>
    <w:tbl>
      <w:tblPr>
        <w:tblW w:w="2082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5199"/>
        <w:gridCol w:w="5207"/>
        <w:gridCol w:w="5208"/>
      </w:tblGrid>
      <w:tr w:rsidR="00347A11" w:rsidRPr="00347A11" w:rsidTr="00A2059C">
        <w:trPr>
          <w:trHeight w:val="3846"/>
        </w:trPr>
        <w:tc>
          <w:tcPr>
            <w:tcW w:w="5215" w:type="dxa"/>
          </w:tcPr>
          <w:p w:rsidR="00347A11" w:rsidRPr="00347A11" w:rsidRDefault="00347A11"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sz w:val="20"/>
                <w:szCs w:val="20"/>
              </w:rPr>
              <w:t>Rys. 1. Wyrównane wskaźniki koniunktury w rolnictwie</w:t>
            </w:r>
          </w:p>
          <w:p w:rsidR="00347A11" w:rsidRPr="00347A11" w:rsidRDefault="001A5283"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noProof/>
                <w:sz w:val="20"/>
                <w:szCs w:val="20"/>
              </w:rPr>
              <w:drawing>
                <wp:inline distT="0" distB="0" distL="0" distR="0">
                  <wp:extent cx="3162300" cy="2352675"/>
                  <wp:effectExtent l="0" t="0" r="0" b="0"/>
                  <wp:docPr id="1"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199" w:type="dxa"/>
          </w:tcPr>
          <w:p w:rsidR="00347A11" w:rsidRPr="00347A11" w:rsidRDefault="00347A11"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sz w:val="20"/>
                <w:szCs w:val="20"/>
              </w:rPr>
              <w:t>Rys. 2. Wyrównane wskaźniki zmian cen</w:t>
            </w:r>
          </w:p>
          <w:p w:rsidR="00347A11" w:rsidRPr="00347A11" w:rsidRDefault="001A5283"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noProof/>
                <w:sz w:val="20"/>
                <w:szCs w:val="20"/>
              </w:rPr>
              <w:drawing>
                <wp:inline distT="0" distB="0" distL="0" distR="0">
                  <wp:extent cx="3171825" cy="2343150"/>
                  <wp:effectExtent l="0" t="0" r="0" b="0"/>
                  <wp:docPr id="2" name="Obi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07" w:type="dxa"/>
            <w:tcBorders>
              <w:top w:val="nil"/>
              <w:bottom w:val="nil"/>
              <w:right w:val="nil"/>
            </w:tcBorders>
          </w:tcPr>
          <w:p w:rsidR="00347A11" w:rsidRPr="00347A11" w:rsidRDefault="00347A11" w:rsidP="00347A11">
            <w:pPr>
              <w:spacing w:after="0" w:line="240" w:lineRule="auto"/>
              <w:rPr>
                <w:rFonts w:ascii="Times New Roman" w:eastAsia="Times New Roman" w:hAnsi="Times New Roman" w:cs="Times New Roman"/>
                <w:b/>
                <w:bCs/>
                <w:sz w:val="20"/>
                <w:szCs w:val="20"/>
              </w:rPr>
            </w:pPr>
          </w:p>
        </w:tc>
        <w:tc>
          <w:tcPr>
            <w:tcW w:w="5208" w:type="dxa"/>
            <w:tcBorders>
              <w:left w:val="nil"/>
            </w:tcBorders>
          </w:tcPr>
          <w:p w:rsidR="00347A11" w:rsidRPr="00347A11" w:rsidRDefault="00347A11" w:rsidP="00347A11">
            <w:pPr>
              <w:spacing w:after="0" w:line="240" w:lineRule="auto"/>
              <w:rPr>
                <w:rFonts w:ascii="Times New Roman" w:eastAsia="Times New Roman" w:hAnsi="Times New Roman" w:cs="Times New Roman"/>
                <w:b/>
                <w:bCs/>
                <w:sz w:val="20"/>
                <w:szCs w:val="20"/>
              </w:rPr>
            </w:pPr>
          </w:p>
        </w:tc>
      </w:tr>
      <w:tr w:rsidR="00347A11" w:rsidRPr="00347A11" w:rsidTr="00A2059C">
        <w:trPr>
          <w:trHeight w:val="3832"/>
        </w:trPr>
        <w:tc>
          <w:tcPr>
            <w:tcW w:w="5215" w:type="dxa"/>
          </w:tcPr>
          <w:p w:rsidR="00347A11" w:rsidRPr="00347A11" w:rsidRDefault="00347A11"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sz w:val="20"/>
                <w:szCs w:val="20"/>
              </w:rPr>
              <w:t>Rys. 3. Wyrównane wskaźniki zmian cen</w:t>
            </w:r>
          </w:p>
          <w:p w:rsidR="00347A11" w:rsidRPr="00347A11" w:rsidRDefault="001A5283"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noProof/>
                <w:sz w:val="20"/>
                <w:szCs w:val="20"/>
              </w:rPr>
              <w:drawing>
                <wp:inline distT="0" distB="0" distL="0" distR="0">
                  <wp:extent cx="3143250" cy="2190750"/>
                  <wp:effectExtent l="0" t="0" r="0" b="0"/>
                  <wp:docPr id="3" name="Obi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99" w:type="dxa"/>
          </w:tcPr>
          <w:p w:rsidR="00347A11" w:rsidRPr="00347A11" w:rsidRDefault="00347A11"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sz w:val="20"/>
                <w:szCs w:val="20"/>
              </w:rPr>
              <w:t>Rys. 4. Skumulowany wskaźnik nożyc cen</w:t>
            </w:r>
          </w:p>
          <w:p w:rsidR="00347A11" w:rsidRPr="00347A11" w:rsidRDefault="001A5283" w:rsidP="00347A11">
            <w:pPr>
              <w:spacing w:after="0" w:line="240" w:lineRule="auto"/>
              <w:jc w:val="both"/>
              <w:rPr>
                <w:rFonts w:ascii="Times New Roman" w:eastAsia="Times New Roman" w:hAnsi="Times New Roman" w:cs="Times New Roman"/>
                <w:b/>
                <w:bCs/>
                <w:sz w:val="20"/>
                <w:szCs w:val="20"/>
              </w:rPr>
            </w:pPr>
            <w:r w:rsidRPr="00347A11">
              <w:rPr>
                <w:rFonts w:ascii="Times New Roman" w:eastAsia="Times New Roman" w:hAnsi="Times New Roman" w:cs="Times New Roman"/>
                <w:b/>
                <w:bCs/>
                <w:noProof/>
                <w:sz w:val="20"/>
                <w:szCs w:val="20"/>
              </w:rPr>
              <w:drawing>
                <wp:inline distT="0" distB="0" distL="0" distR="0">
                  <wp:extent cx="3162300" cy="2085975"/>
                  <wp:effectExtent l="0" t="0" r="0" b="0"/>
                  <wp:docPr id="4" name="Obi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207" w:type="dxa"/>
            <w:tcBorders>
              <w:top w:val="nil"/>
              <w:bottom w:val="nil"/>
              <w:right w:val="nil"/>
            </w:tcBorders>
          </w:tcPr>
          <w:p w:rsidR="00347A11" w:rsidRPr="00347A11" w:rsidRDefault="00347A11" w:rsidP="00347A11">
            <w:pPr>
              <w:spacing w:after="0" w:line="240" w:lineRule="auto"/>
              <w:rPr>
                <w:rFonts w:ascii="Times New Roman" w:eastAsia="Times New Roman" w:hAnsi="Times New Roman" w:cs="Times New Roman"/>
                <w:b/>
                <w:bCs/>
                <w:sz w:val="20"/>
                <w:szCs w:val="20"/>
              </w:rPr>
            </w:pPr>
          </w:p>
        </w:tc>
        <w:tc>
          <w:tcPr>
            <w:tcW w:w="5208" w:type="dxa"/>
            <w:tcBorders>
              <w:left w:val="nil"/>
            </w:tcBorders>
          </w:tcPr>
          <w:p w:rsidR="00347A11" w:rsidRPr="00347A11" w:rsidRDefault="00347A11" w:rsidP="00347A11">
            <w:pPr>
              <w:spacing w:after="0" w:line="240" w:lineRule="auto"/>
              <w:rPr>
                <w:rFonts w:ascii="Times New Roman" w:eastAsia="Times New Roman" w:hAnsi="Times New Roman" w:cs="Times New Roman"/>
                <w:b/>
                <w:bCs/>
                <w:sz w:val="20"/>
                <w:szCs w:val="20"/>
              </w:rPr>
            </w:pPr>
          </w:p>
        </w:tc>
      </w:tr>
    </w:tbl>
    <w:p w:rsidR="00CD5CEA" w:rsidRPr="000B1397" w:rsidRDefault="00CD5CEA" w:rsidP="000B1397">
      <w:pPr>
        <w:spacing w:after="0" w:line="240" w:lineRule="auto"/>
        <w:jc w:val="both"/>
        <w:rPr>
          <w:rFonts w:ascii="Times New Roman" w:eastAsia="Times New Roman" w:hAnsi="Times New Roman" w:cs="Times New Roman"/>
          <w:b/>
          <w:bCs/>
          <w:color w:val="000000" w:themeColor="text1"/>
          <w:sz w:val="24"/>
          <w:szCs w:val="24"/>
        </w:rPr>
      </w:pPr>
    </w:p>
    <w:p w:rsidR="008351E6" w:rsidRPr="000B1397" w:rsidRDefault="006F10BF" w:rsidP="000B1397">
      <w:pPr>
        <w:spacing w:after="0" w:line="240" w:lineRule="auto"/>
        <w:jc w:val="right"/>
        <w:rPr>
          <w:rFonts w:ascii="Times New Roman" w:hAnsi="Times New Roman"/>
          <w:color w:val="000000" w:themeColor="text1"/>
          <w:sz w:val="24"/>
          <w:szCs w:val="24"/>
        </w:rPr>
      </w:pPr>
      <w:r w:rsidRPr="000B1397">
        <w:rPr>
          <w:rFonts w:ascii="Times New Roman" w:hAnsi="Times New Roman"/>
          <w:color w:val="000000" w:themeColor="text1"/>
          <w:sz w:val="24"/>
          <w:szCs w:val="24"/>
        </w:rPr>
        <w:t>Tabela 2</w:t>
      </w:r>
    </w:p>
    <w:p w:rsidR="00040929" w:rsidRPr="00EA7CA9" w:rsidRDefault="00040929" w:rsidP="000B1397">
      <w:pPr>
        <w:spacing w:after="120" w:line="240" w:lineRule="auto"/>
        <w:jc w:val="both"/>
        <w:rPr>
          <w:rFonts w:ascii="Times New Roman" w:hAnsi="Times New Roman"/>
          <w:color w:val="000000" w:themeColor="text1"/>
        </w:rPr>
      </w:pPr>
      <w:r w:rsidRPr="00EA7CA9">
        <w:rPr>
          <w:rFonts w:ascii="Times New Roman" w:hAnsi="Times New Roman"/>
          <w:color w:val="000000" w:themeColor="text1"/>
        </w:rPr>
        <w:t>Ceny skupu p</w:t>
      </w:r>
      <w:r w:rsidR="00E57464" w:rsidRPr="00EA7CA9">
        <w:rPr>
          <w:rFonts w:ascii="Times New Roman" w:hAnsi="Times New Roman"/>
          <w:color w:val="000000" w:themeColor="text1"/>
        </w:rPr>
        <w:t>łodów rolnych w latach 201</w:t>
      </w:r>
      <w:r w:rsidR="004F149E" w:rsidRPr="00EA7CA9">
        <w:rPr>
          <w:rFonts w:ascii="Times New Roman" w:hAnsi="Times New Roman"/>
          <w:color w:val="000000" w:themeColor="text1"/>
        </w:rPr>
        <w:t>3-2016</w:t>
      </w:r>
      <w:r w:rsidRPr="00EA7CA9">
        <w:rPr>
          <w:rFonts w:ascii="Times New Roman" w:hAnsi="Times New Roman"/>
          <w:color w:val="000000" w:themeColor="text1"/>
        </w:rPr>
        <w:t xml:space="preserve"> (dane z miesiąca grudnia w zł) </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51"/>
        <w:gridCol w:w="590"/>
        <w:gridCol w:w="885"/>
        <w:gridCol w:w="1076"/>
        <w:gridCol w:w="993"/>
        <w:gridCol w:w="708"/>
        <w:gridCol w:w="851"/>
        <w:gridCol w:w="567"/>
        <w:gridCol w:w="709"/>
        <w:gridCol w:w="708"/>
      </w:tblGrid>
      <w:tr w:rsidR="00040929" w:rsidRPr="000B1397" w:rsidTr="002A2404">
        <w:trPr>
          <w:trHeight w:val="285"/>
          <w:jc w:val="center"/>
        </w:trPr>
        <w:tc>
          <w:tcPr>
            <w:tcW w:w="715"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Lata</w:t>
            </w:r>
          </w:p>
        </w:tc>
        <w:tc>
          <w:tcPr>
            <w:tcW w:w="851"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Pszenica </w:t>
            </w:r>
            <w:r w:rsidRPr="000B1397">
              <w:rPr>
                <w:rFonts w:ascii="Times New Roman" w:hAnsi="Times New Roman"/>
                <w:color w:val="000000" w:themeColor="text1"/>
                <w:sz w:val="16"/>
                <w:szCs w:val="16"/>
              </w:rPr>
              <w:t>(dt)</w:t>
            </w:r>
          </w:p>
        </w:tc>
        <w:tc>
          <w:tcPr>
            <w:tcW w:w="590"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Żyto </w:t>
            </w:r>
            <w:r w:rsidRPr="000B1397">
              <w:rPr>
                <w:rFonts w:ascii="Times New Roman" w:hAnsi="Times New Roman"/>
                <w:color w:val="000000" w:themeColor="text1"/>
                <w:sz w:val="16"/>
                <w:szCs w:val="16"/>
              </w:rPr>
              <w:t>(dt)</w:t>
            </w:r>
          </w:p>
        </w:tc>
        <w:tc>
          <w:tcPr>
            <w:tcW w:w="885"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Jęczmień </w:t>
            </w:r>
            <w:r w:rsidRPr="000B1397">
              <w:rPr>
                <w:rFonts w:ascii="Times New Roman" w:hAnsi="Times New Roman"/>
                <w:color w:val="000000" w:themeColor="text1"/>
                <w:sz w:val="16"/>
                <w:szCs w:val="16"/>
              </w:rPr>
              <w:t>(dt)</w:t>
            </w:r>
          </w:p>
        </w:tc>
        <w:tc>
          <w:tcPr>
            <w:tcW w:w="1076"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Kukurydza </w:t>
            </w:r>
            <w:r w:rsidRPr="000B1397">
              <w:rPr>
                <w:rFonts w:ascii="Times New Roman" w:hAnsi="Times New Roman"/>
                <w:color w:val="000000" w:themeColor="text1"/>
                <w:sz w:val="16"/>
                <w:szCs w:val="16"/>
              </w:rPr>
              <w:t>(dt)</w:t>
            </w:r>
          </w:p>
        </w:tc>
        <w:tc>
          <w:tcPr>
            <w:tcW w:w="993" w:type="dxa"/>
            <w:shd w:val="clear" w:color="auto" w:fill="auto"/>
            <w:noWrap/>
            <w:vAlign w:val="center"/>
            <w:hideMark/>
          </w:tcPr>
          <w:p w:rsidR="00040929" w:rsidRPr="000B1397" w:rsidRDefault="00344F0F"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Rzepak</w:t>
            </w:r>
            <w:r w:rsidR="00040929" w:rsidRPr="000B1397">
              <w:rPr>
                <w:rFonts w:ascii="Times New Roman" w:hAnsi="Times New Roman"/>
                <w:color w:val="000000" w:themeColor="text1"/>
                <w:sz w:val="20"/>
                <w:szCs w:val="20"/>
              </w:rPr>
              <w:t xml:space="preserve"> </w:t>
            </w:r>
            <w:r w:rsidR="00040929" w:rsidRPr="000B1397">
              <w:rPr>
                <w:rFonts w:ascii="Times New Roman" w:hAnsi="Times New Roman"/>
                <w:color w:val="000000" w:themeColor="text1"/>
                <w:sz w:val="16"/>
                <w:szCs w:val="16"/>
              </w:rPr>
              <w:t>(dt)</w:t>
            </w:r>
          </w:p>
        </w:tc>
        <w:tc>
          <w:tcPr>
            <w:tcW w:w="708"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Bydło </w:t>
            </w:r>
            <w:r w:rsidRPr="000B1397">
              <w:rPr>
                <w:rFonts w:ascii="Times New Roman" w:hAnsi="Times New Roman"/>
                <w:color w:val="000000" w:themeColor="text1"/>
                <w:sz w:val="16"/>
                <w:szCs w:val="16"/>
              </w:rPr>
              <w:t>(kg)</w:t>
            </w:r>
          </w:p>
        </w:tc>
        <w:tc>
          <w:tcPr>
            <w:tcW w:w="851" w:type="dxa"/>
            <w:shd w:val="clear" w:color="auto" w:fill="auto"/>
            <w:noWrap/>
            <w:vAlign w:val="center"/>
            <w:hideMark/>
          </w:tcPr>
          <w:p w:rsidR="00040929" w:rsidRPr="000B1397" w:rsidRDefault="00040929" w:rsidP="000B1397">
            <w:pPr>
              <w:spacing w:after="120" w:line="240" w:lineRule="auto"/>
              <w:ind w:right="-70"/>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Trzoda chlewna </w:t>
            </w:r>
            <w:r w:rsidRPr="000B1397">
              <w:rPr>
                <w:rFonts w:ascii="Times New Roman" w:hAnsi="Times New Roman"/>
                <w:color w:val="000000" w:themeColor="text1"/>
                <w:sz w:val="16"/>
                <w:szCs w:val="16"/>
              </w:rPr>
              <w:t>(kg)</w:t>
            </w:r>
          </w:p>
        </w:tc>
        <w:tc>
          <w:tcPr>
            <w:tcW w:w="567"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Drób </w:t>
            </w:r>
            <w:r w:rsidRPr="000B1397">
              <w:rPr>
                <w:rFonts w:ascii="Times New Roman" w:hAnsi="Times New Roman"/>
                <w:color w:val="000000" w:themeColor="text1"/>
                <w:sz w:val="16"/>
                <w:szCs w:val="16"/>
              </w:rPr>
              <w:t>(kg)</w:t>
            </w:r>
          </w:p>
        </w:tc>
        <w:tc>
          <w:tcPr>
            <w:tcW w:w="709"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Cielęta </w:t>
            </w:r>
            <w:r w:rsidRPr="000B1397">
              <w:rPr>
                <w:rFonts w:ascii="Times New Roman" w:hAnsi="Times New Roman"/>
                <w:color w:val="000000" w:themeColor="text1"/>
                <w:sz w:val="16"/>
                <w:szCs w:val="16"/>
              </w:rPr>
              <w:t>(kg)</w:t>
            </w:r>
          </w:p>
        </w:tc>
        <w:tc>
          <w:tcPr>
            <w:tcW w:w="708" w:type="dxa"/>
            <w:shd w:val="clear" w:color="auto" w:fill="auto"/>
            <w:noWrap/>
            <w:vAlign w:val="center"/>
            <w:hideMark/>
          </w:tcPr>
          <w:p w:rsidR="00040929" w:rsidRPr="000B1397" w:rsidRDefault="00040929" w:rsidP="000B1397">
            <w:pPr>
              <w:spacing w:after="120" w:line="240" w:lineRule="auto"/>
              <w:jc w:val="center"/>
              <w:rPr>
                <w:rFonts w:ascii="Times New Roman" w:hAnsi="Times New Roman"/>
                <w:color w:val="000000" w:themeColor="text1"/>
                <w:sz w:val="20"/>
                <w:szCs w:val="20"/>
              </w:rPr>
            </w:pPr>
            <w:r w:rsidRPr="000B1397">
              <w:rPr>
                <w:rFonts w:ascii="Times New Roman" w:hAnsi="Times New Roman"/>
                <w:color w:val="000000" w:themeColor="text1"/>
                <w:sz w:val="20"/>
                <w:szCs w:val="20"/>
              </w:rPr>
              <w:t xml:space="preserve">Mleko </w:t>
            </w:r>
            <w:r w:rsidR="00B03946" w:rsidRPr="000B1397">
              <w:rPr>
                <w:rFonts w:ascii="Times New Roman" w:hAnsi="Times New Roman"/>
                <w:color w:val="000000" w:themeColor="text1"/>
                <w:sz w:val="16"/>
                <w:szCs w:val="16"/>
              </w:rPr>
              <w:t>(l</w:t>
            </w:r>
            <w:r w:rsidRPr="000B1397">
              <w:rPr>
                <w:rFonts w:ascii="Times New Roman" w:hAnsi="Times New Roman"/>
                <w:color w:val="000000" w:themeColor="text1"/>
                <w:sz w:val="16"/>
                <w:szCs w:val="16"/>
              </w:rPr>
              <w:t>)</w:t>
            </w:r>
          </w:p>
        </w:tc>
      </w:tr>
      <w:tr w:rsidR="00ED3492" w:rsidRPr="000B1397" w:rsidTr="002A2404">
        <w:trPr>
          <w:trHeight w:val="285"/>
          <w:jc w:val="center"/>
        </w:trPr>
        <w:tc>
          <w:tcPr>
            <w:tcW w:w="715" w:type="dxa"/>
            <w:shd w:val="clear" w:color="auto" w:fill="auto"/>
            <w:noWrap/>
            <w:vAlign w:val="bottom"/>
          </w:tcPr>
          <w:p w:rsidR="00ED3492" w:rsidRPr="000B1397" w:rsidRDefault="005C3A1C" w:rsidP="000B1397">
            <w:pPr>
              <w:spacing w:after="120" w:line="240" w:lineRule="auto"/>
              <w:jc w:val="both"/>
              <w:rPr>
                <w:rFonts w:ascii="Times New Roman" w:hAnsi="Times New Roman"/>
                <w:color w:val="000000" w:themeColor="text1"/>
                <w:sz w:val="20"/>
                <w:szCs w:val="20"/>
              </w:rPr>
            </w:pPr>
            <w:r w:rsidRPr="000B1397">
              <w:rPr>
                <w:rFonts w:ascii="Times New Roman" w:hAnsi="Times New Roman"/>
                <w:color w:val="000000" w:themeColor="text1"/>
                <w:sz w:val="20"/>
                <w:szCs w:val="20"/>
              </w:rPr>
              <w:t>2016</w:t>
            </w:r>
          </w:p>
        </w:tc>
        <w:tc>
          <w:tcPr>
            <w:tcW w:w="851" w:type="dxa"/>
            <w:shd w:val="clear" w:color="auto" w:fill="auto"/>
            <w:noWrap/>
            <w:vAlign w:val="bottom"/>
          </w:tcPr>
          <w:p w:rsidR="00ED3492"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63,88</w:t>
            </w:r>
          </w:p>
        </w:tc>
        <w:tc>
          <w:tcPr>
            <w:tcW w:w="590" w:type="dxa"/>
            <w:shd w:val="clear" w:color="auto" w:fill="auto"/>
            <w:noWrap/>
            <w:vAlign w:val="bottom"/>
          </w:tcPr>
          <w:p w:rsidR="00ED3492" w:rsidRPr="000B1397" w:rsidRDefault="003300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54,31</w:t>
            </w:r>
          </w:p>
        </w:tc>
        <w:tc>
          <w:tcPr>
            <w:tcW w:w="885"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59,50</w:t>
            </w:r>
          </w:p>
        </w:tc>
        <w:tc>
          <w:tcPr>
            <w:tcW w:w="1076"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55,80</w:t>
            </w:r>
          </w:p>
        </w:tc>
        <w:tc>
          <w:tcPr>
            <w:tcW w:w="993"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183,50</w:t>
            </w:r>
          </w:p>
        </w:tc>
        <w:tc>
          <w:tcPr>
            <w:tcW w:w="708"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6,22</w:t>
            </w:r>
          </w:p>
        </w:tc>
        <w:tc>
          <w:tcPr>
            <w:tcW w:w="851"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5,03</w:t>
            </w:r>
          </w:p>
        </w:tc>
        <w:tc>
          <w:tcPr>
            <w:tcW w:w="567"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3,53</w:t>
            </w:r>
          </w:p>
        </w:tc>
        <w:tc>
          <w:tcPr>
            <w:tcW w:w="709"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9,60</w:t>
            </w:r>
          </w:p>
        </w:tc>
        <w:tc>
          <w:tcPr>
            <w:tcW w:w="708" w:type="dxa"/>
            <w:shd w:val="clear" w:color="auto" w:fill="auto"/>
            <w:noWrap/>
            <w:vAlign w:val="bottom"/>
          </w:tcPr>
          <w:p w:rsidR="00ED3492" w:rsidRPr="000B1397" w:rsidRDefault="004F149E"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1,36</w:t>
            </w:r>
          </w:p>
        </w:tc>
      </w:tr>
      <w:tr w:rsidR="005C3A1C" w:rsidRPr="000B1397" w:rsidTr="002A2404">
        <w:trPr>
          <w:trHeight w:val="285"/>
          <w:jc w:val="center"/>
        </w:trPr>
        <w:tc>
          <w:tcPr>
            <w:tcW w:w="715" w:type="dxa"/>
            <w:shd w:val="clear" w:color="auto" w:fill="auto"/>
            <w:noWrap/>
            <w:vAlign w:val="bottom"/>
          </w:tcPr>
          <w:p w:rsidR="005C3A1C" w:rsidRPr="000B1397" w:rsidRDefault="005C3A1C" w:rsidP="000B1397">
            <w:pPr>
              <w:spacing w:after="120" w:line="240" w:lineRule="auto"/>
              <w:jc w:val="both"/>
              <w:rPr>
                <w:rFonts w:ascii="Times New Roman" w:hAnsi="Times New Roman"/>
                <w:color w:val="000000" w:themeColor="text1"/>
                <w:sz w:val="20"/>
                <w:szCs w:val="20"/>
              </w:rPr>
            </w:pPr>
            <w:r w:rsidRPr="000B1397">
              <w:rPr>
                <w:rFonts w:ascii="Times New Roman" w:hAnsi="Times New Roman"/>
                <w:color w:val="000000" w:themeColor="text1"/>
                <w:sz w:val="20"/>
                <w:szCs w:val="20"/>
              </w:rPr>
              <w:t>2015</w:t>
            </w:r>
          </w:p>
        </w:tc>
        <w:tc>
          <w:tcPr>
            <w:tcW w:w="851"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67,82</w:t>
            </w:r>
          </w:p>
        </w:tc>
        <w:tc>
          <w:tcPr>
            <w:tcW w:w="590"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55,12</w:t>
            </w:r>
          </w:p>
        </w:tc>
        <w:tc>
          <w:tcPr>
            <w:tcW w:w="885"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62,88</w:t>
            </w:r>
          </w:p>
        </w:tc>
        <w:tc>
          <w:tcPr>
            <w:tcW w:w="1076"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64,85</w:t>
            </w:r>
          </w:p>
        </w:tc>
        <w:tc>
          <w:tcPr>
            <w:tcW w:w="993"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166,70</w:t>
            </w:r>
          </w:p>
        </w:tc>
        <w:tc>
          <w:tcPr>
            <w:tcW w:w="708"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6,16</w:t>
            </w:r>
          </w:p>
        </w:tc>
        <w:tc>
          <w:tcPr>
            <w:tcW w:w="851"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3,84</w:t>
            </w:r>
          </w:p>
        </w:tc>
        <w:tc>
          <w:tcPr>
            <w:tcW w:w="567"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3,7</w:t>
            </w:r>
          </w:p>
        </w:tc>
        <w:tc>
          <w:tcPr>
            <w:tcW w:w="709"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9,84</w:t>
            </w:r>
          </w:p>
        </w:tc>
        <w:tc>
          <w:tcPr>
            <w:tcW w:w="708"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1,13</w:t>
            </w:r>
          </w:p>
        </w:tc>
      </w:tr>
      <w:tr w:rsidR="005C3A1C" w:rsidRPr="000B1397" w:rsidTr="00ED3492">
        <w:trPr>
          <w:trHeight w:val="285"/>
          <w:jc w:val="center"/>
        </w:trPr>
        <w:tc>
          <w:tcPr>
            <w:tcW w:w="715" w:type="dxa"/>
            <w:shd w:val="clear" w:color="auto" w:fill="auto"/>
            <w:noWrap/>
            <w:vAlign w:val="bottom"/>
          </w:tcPr>
          <w:p w:rsidR="005C3A1C" w:rsidRPr="000B1397" w:rsidRDefault="005C3A1C" w:rsidP="000B1397">
            <w:pPr>
              <w:spacing w:after="120" w:line="240" w:lineRule="auto"/>
              <w:jc w:val="both"/>
              <w:rPr>
                <w:rFonts w:ascii="Times New Roman" w:hAnsi="Times New Roman"/>
                <w:color w:val="000000" w:themeColor="text1"/>
                <w:sz w:val="20"/>
                <w:szCs w:val="20"/>
              </w:rPr>
            </w:pPr>
            <w:r w:rsidRPr="000B1397">
              <w:rPr>
                <w:rFonts w:ascii="Times New Roman" w:hAnsi="Times New Roman"/>
                <w:color w:val="000000" w:themeColor="text1"/>
                <w:sz w:val="20"/>
                <w:szCs w:val="20"/>
              </w:rPr>
              <w:t>2014</w:t>
            </w:r>
          </w:p>
        </w:tc>
        <w:tc>
          <w:tcPr>
            <w:tcW w:w="851"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67,23</w:t>
            </w:r>
          </w:p>
        </w:tc>
        <w:tc>
          <w:tcPr>
            <w:tcW w:w="590"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52,36</w:t>
            </w:r>
          </w:p>
        </w:tc>
        <w:tc>
          <w:tcPr>
            <w:tcW w:w="885"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60,31</w:t>
            </w:r>
          </w:p>
        </w:tc>
        <w:tc>
          <w:tcPr>
            <w:tcW w:w="1076"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50,99</w:t>
            </w:r>
          </w:p>
        </w:tc>
        <w:tc>
          <w:tcPr>
            <w:tcW w:w="993"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140,40</w:t>
            </w:r>
          </w:p>
        </w:tc>
        <w:tc>
          <w:tcPr>
            <w:tcW w:w="708"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5,75</w:t>
            </w:r>
          </w:p>
        </w:tc>
        <w:tc>
          <w:tcPr>
            <w:tcW w:w="851"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4,16</w:t>
            </w:r>
          </w:p>
        </w:tc>
        <w:tc>
          <w:tcPr>
            <w:tcW w:w="567"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3,9</w:t>
            </w:r>
          </w:p>
        </w:tc>
        <w:tc>
          <w:tcPr>
            <w:tcW w:w="709"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9,52</w:t>
            </w:r>
          </w:p>
        </w:tc>
        <w:tc>
          <w:tcPr>
            <w:tcW w:w="708" w:type="dxa"/>
            <w:shd w:val="clear" w:color="auto" w:fill="auto"/>
            <w:noWrap/>
            <w:vAlign w:val="bottom"/>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1,23</w:t>
            </w:r>
          </w:p>
        </w:tc>
      </w:tr>
      <w:tr w:rsidR="005C3A1C" w:rsidRPr="000B1397" w:rsidTr="00A2059C">
        <w:trPr>
          <w:trHeight w:val="285"/>
          <w:jc w:val="center"/>
        </w:trPr>
        <w:tc>
          <w:tcPr>
            <w:tcW w:w="715" w:type="dxa"/>
            <w:shd w:val="clear" w:color="auto" w:fill="auto"/>
            <w:noWrap/>
            <w:vAlign w:val="bottom"/>
            <w:hideMark/>
          </w:tcPr>
          <w:p w:rsidR="005C3A1C" w:rsidRPr="000B1397" w:rsidRDefault="005C3A1C" w:rsidP="000B1397">
            <w:pPr>
              <w:spacing w:after="120" w:line="240" w:lineRule="auto"/>
              <w:jc w:val="both"/>
              <w:rPr>
                <w:rFonts w:ascii="Times New Roman" w:hAnsi="Times New Roman"/>
                <w:color w:val="000000" w:themeColor="text1"/>
                <w:sz w:val="20"/>
                <w:szCs w:val="20"/>
              </w:rPr>
            </w:pPr>
            <w:r w:rsidRPr="000B1397">
              <w:rPr>
                <w:rFonts w:ascii="Times New Roman" w:hAnsi="Times New Roman"/>
                <w:color w:val="000000" w:themeColor="text1"/>
                <w:sz w:val="20"/>
                <w:szCs w:val="20"/>
              </w:rPr>
              <w:t>2013</w:t>
            </w:r>
          </w:p>
        </w:tc>
        <w:tc>
          <w:tcPr>
            <w:tcW w:w="851"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76,05</w:t>
            </w:r>
          </w:p>
        </w:tc>
        <w:tc>
          <w:tcPr>
            <w:tcW w:w="590"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56,85</w:t>
            </w:r>
          </w:p>
        </w:tc>
        <w:tc>
          <w:tcPr>
            <w:tcW w:w="885"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75,95</w:t>
            </w:r>
          </w:p>
        </w:tc>
        <w:tc>
          <w:tcPr>
            <w:tcW w:w="1076"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63,23</w:t>
            </w:r>
          </w:p>
        </w:tc>
        <w:tc>
          <w:tcPr>
            <w:tcW w:w="993"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153,10</w:t>
            </w:r>
          </w:p>
        </w:tc>
        <w:tc>
          <w:tcPr>
            <w:tcW w:w="708"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6,10</w:t>
            </w:r>
          </w:p>
        </w:tc>
        <w:tc>
          <w:tcPr>
            <w:tcW w:w="851"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5,28</w:t>
            </w:r>
          </w:p>
        </w:tc>
        <w:tc>
          <w:tcPr>
            <w:tcW w:w="567"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4,0</w:t>
            </w:r>
          </w:p>
        </w:tc>
        <w:tc>
          <w:tcPr>
            <w:tcW w:w="709"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9,69</w:t>
            </w:r>
          </w:p>
        </w:tc>
        <w:tc>
          <w:tcPr>
            <w:tcW w:w="708" w:type="dxa"/>
            <w:shd w:val="clear" w:color="auto" w:fill="auto"/>
            <w:noWrap/>
            <w:vAlign w:val="bottom"/>
            <w:hideMark/>
          </w:tcPr>
          <w:p w:rsidR="005C3A1C" w:rsidRPr="000B1397" w:rsidRDefault="005C3A1C" w:rsidP="000B1397">
            <w:pPr>
              <w:spacing w:after="120" w:line="240" w:lineRule="auto"/>
              <w:jc w:val="right"/>
              <w:rPr>
                <w:rFonts w:ascii="Times New Roman" w:hAnsi="Times New Roman"/>
                <w:color w:val="000000" w:themeColor="text1"/>
                <w:sz w:val="20"/>
                <w:szCs w:val="20"/>
              </w:rPr>
            </w:pPr>
            <w:r w:rsidRPr="000B1397">
              <w:rPr>
                <w:rFonts w:ascii="Times New Roman" w:hAnsi="Times New Roman"/>
                <w:color w:val="000000" w:themeColor="text1"/>
                <w:sz w:val="20"/>
                <w:szCs w:val="20"/>
              </w:rPr>
              <w:t>1,54</w:t>
            </w:r>
          </w:p>
        </w:tc>
      </w:tr>
    </w:tbl>
    <w:p w:rsidR="00DC20D2" w:rsidRPr="000B1397" w:rsidRDefault="00040929" w:rsidP="000B1397">
      <w:pPr>
        <w:spacing w:after="240"/>
        <w:rPr>
          <w:rFonts w:ascii="Times New Roman" w:hAnsi="Times New Roman" w:cs="Times New Roman"/>
          <w:i/>
          <w:iCs/>
          <w:color w:val="000000" w:themeColor="text1"/>
          <w:sz w:val="20"/>
        </w:rPr>
      </w:pPr>
      <w:r w:rsidRPr="000B1397">
        <w:rPr>
          <w:rFonts w:ascii="Times New Roman" w:hAnsi="Times New Roman" w:cs="Times New Roman"/>
          <w:b/>
          <w:color w:val="000000" w:themeColor="text1"/>
          <w:sz w:val="20"/>
        </w:rPr>
        <w:t>Źródło</w:t>
      </w:r>
      <w:r w:rsidRPr="000B1397">
        <w:rPr>
          <w:rFonts w:ascii="Times New Roman" w:hAnsi="Times New Roman" w:cs="Times New Roman"/>
          <w:color w:val="000000" w:themeColor="text1"/>
          <w:sz w:val="20"/>
        </w:rPr>
        <w:t xml:space="preserve">: </w:t>
      </w:r>
      <w:r w:rsidRPr="000B1397">
        <w:rPr>
          <w:rFonts w:ascii="Times New Roman" w:hAnsi="Times New Roman" w:cs="Times New Roman"/>
          <w:i/>
          <w:color w:val="000000" w:themeColor="text1"/>
          <w:sz w:val="20"/>
        </w:rPr>
        <w:t>„</w:t>
      </w:r>
      <w:r w:rsidRPr="000B1397">
        <w:rPr>
          <w:rFonts w:ascii="Times New Roman" w:hAnsi="Times New Roman" w:cs="Times New Roman"/>
          <w:i/>
          <w:iCs/>
          <w:color w:val="000000" w:themeColor="text1"/>
          <w:sz w:val="20"/>
        </w:rPr>
        <w:t xml:space="preserve">Skup i ceny produktów rolnych </w:t>
      </w:r>
      <w:r w:rsidR="004F149E" w:rsidRPr="000B1397">
        <w:rPr>
          <w:rFonts w:ascii="Times New Roman" w:hAnsi="Times New Roman" w:cs="Times New Roman"/>
          <w:i/>
          <w:iCs/>
          <w:color w:val="000000" w:themeColor="text1"/>
          <w:sz w:val="20"/>
        </w:rPr>
        <w:t>w 2016 r.”, GUS, Warszawa 2017</w:t>
      </w:r>
      <w:r w:rsidR="003A7298" w:rsidRPr="000B1397">
        <w:rPr>
          <w:rFonts w:ascii="Times New Roman" w:hAnsi="Times New Roman" w:cs="Times New Roman"/>
          <w:i/>
          <w:iCs/>
          <w:color w:val="000000" w:themeColor="text1"/>
          <w:sz w:val="20"/>
        </w:rPr>
        <w:t>.</w:t>
      </w:r>
    </w:p>
    <w:p w:rsidR="00BA08E2" w:rsidRPr="000B1397" w:rsidRDefault="00796004" w:rsidP="000B1397">
      <w:pPr>
        <w:pStyle w:val="Nagwek2"/>
        <w:rPr>
          <w:rFonts w:eastAsia="Times New Roman"/>
          <w:color w:val="000000" w:themeColor="text1"/>
        </w:rPr>
      </w:pPr>
      <w:r w:rsidRPr="000B1397">
        <w:rPr>
          <w:rFonts w:eastAsia="Times New Roman"/>
          <w:color w:val="000000" w:themeColor="text1"/>
        </w:rPr>
        <w:t>Wyniki ekonomiczne spółdzielni</w:t>
      </w:r>
    </w:p>
    <w:p w:rsidR="009F755A" w:rsidRPr="000B1397" w:rsidRDefault="00DF4ED6" w:rsidP="00EA7CA9">
      <w:pPr>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t>A</w:t>
      </w:r>
      <w:r w:rsidR="00811C77" w:rsidRPr="000B1397">
        <w:rPr>
          <w:rFonts w:ascii="Times New Roman" w:hAnsi="Times New Roman"/>
          <w:color w:val="000000" w:themeColor="text1"/>
          <w:sz w:val="24"/>
          <w:szCs w:val="24"/>
        </w:rPr>
        <w:t xml:space="preserve">naliza wyników ekonomicznych powstała w oparciu </w:t>
      </w:r>
      <w:r w:rsidR="0023106E" w:rsidRPr="000B1397">
        <w:rPr>
          <w:rFonts w:ascii="Times New Roman" w:hAnsi="Times New Roman"/>
          <w:color w:val="000000" w:themeColor="text1"/>
          <w:sz w:val="24"/>
          <w:szCs w:val="24"/>
        </w:rPr>
        <w:t xml:space="preserve">o trzyletnie dane </w:t>
      </w:r>
      <w:r w:rsidR="00153E4A" w:rsidRPr="000B1397">
        <w:rPr>
          <w:rFonts w:ascii="Times New Roman" w:hAnsi="Times New Roman"/>
          <w:color w:val="000000" w:themeColor="text1"/>
          <w:sz w:val="24"/>
          <w:szCs w:val="24"/>
        </w:rPr>
        <w:t>panelowe</w:t>
      </w:r>
      <w:r w:rsidR="0023106E" w:rsidRPr="000B1397">
        <w:rPr>
          <w:rFonts w:ascii="Times New Roman" w:hAnsi="Times New Roman"/>
          <w:color w:val="000000" w:themeColor="text1"/>
          <w:sz w:val="24"/>
          <w:szCs w:val="24"/>
        </w:rPr>
        <w:t xml:space="preserve"> </w:t>
      </w:r>
      <w:r w:rsidR="00153E4A" w:rsidRPr="000B1397">
        <w:rPr>
          <w:rFonts w:ascii="Times New Roman" w:hAnsi="Times New Roman"/>
          <w:color w:val="000000" w:themeColor="text1"/>
          <w:sz w:val="24"/>
          <w:szCs w:val="24"/>
        </w:rPr>
        <w:t>z 82</w:t>
      </w:r>
      <w:r w:rsidR="00811C77" w:rsidRPr="000B1397">
        <w:rPr>
          <w:rFonts w:ascii="Times New Roman" w:hAnsi="Times New Roman"/>
          <w:color w:val="000000" w:themeColor="text1"/>
          <w:sz w:val="24"/>
          <w:szCs w:val="24"/>
        </w:rPr>
        <w:t xml:space="preserve"> spółdzielni</w:t>
      </w:r>
      <w:r w:rsidR="00657F2B" w:rsidRPr="000B1397">
        <w:rPr>
          <w:rFonts w:ascii="Times New Roman" w:hAnsi="Times New Roman"/>
          <w:color w:val="000000" w:themeColor="text1"/>
          <w:sz w:val="24"/>
          <w:szCs w:val="24"/>
        </w:rPr>
        <w:t>,</w:t>
      </w:r>
      <w:r w:rsidR="003D5815" w:rsidRPr="000B1397">
        <w:rPr>
          <w:rFonts w:ascii="Times New Roman" w:hAnsi="Times New Roman"/>
          <w:color w:val="000000" w:themeColor="text1"/>
          <w:sz w:val="24"/>
          <w:szCs w:val="24"/>
        </w:rPr>
        <w:t xml:space="preserve"> rok</w:t>
      </w:r>
      <w:r w:rsidR="00811C77" w:rsidRPr="000B1397">
        <w:rPr>
          <w:rFonts w:ascii="Times New Roman" w:hAnsi="Times New Roman"/>
          <w:color w:val="000000" w:themeColor="text1"/>
          <w:sz w:val="24"/>
          <w:szCs w:val="24"/>
        </w:rPr>
        <w:t>rocznie nadsyłając</w:t>
      </w:r>
      <w:r w:rsidR="00234D14" w:rsidRPr="000B1397">
        <w:rPr>
          <w:rFonts w:ascii="Times New Roman" w:hAnsi="Times New Roman"/>
          <w:color w:val="000000" w:themeColor="text1"/>
          <w:sz w:val="24"/>
          <w:szCs w:val="24"/>
        </w:rPr>
        <w:t>ych</w:t>
      </w:r>
      <w:r w:rsidR="00811C77" w:rsidRPr="000B1397">
        <w:rPr>
          <w:rFonts w:ascii="Times New Roman" w:hAnsi="Times New Roman"/>
          <w:color w:val="000000" w:themeColor="text1"/>
          <w:sz w:val="24"/>
          <w:szCs w:val="24"/>
        </w:rPr>
        <w:t xml:space="preserve"> ankiety</w:t>
      </w:r>
      <w:r w:rsidR="005A4CD9" w:rsidRPr="000B1397">
        <w:rPr>
          <w:rFonts w:ascii="Times New Roman" w:hAnsi="Times New Roman"/>
          <w:color w:val="000000" w:themeColor="text1"/>
          <w:sz w:val="24"/>
          <w:szCs w:val="24"/>
        </w:rPr>
        <w:t xml:space="preserve"> (t</w:t>
      </w:r>
      <w:r w:rsidR="004A46F9" w:rsidRPr="000B1397">
        <w:rPr>
          <w:rFonts w:ascii="Times New Roman" w:hAnsi="Times New Roman"/>
          <w:color w:val="000000" w:themeColor="text1"/>
          <w:sz w:val="24"/>
          <w:szCs w:val="24"/>
        </w:rPr>
        <w:t>abela 3)</w:t>
      </w:r>
      <w:r w:rsidR="00811C77" w:rsidRPr="000B1397">
        <w:rPr>
          <w:rFonts w:ascii="Times New Roman" w:hAnsi="Times New Roman"/>
          <w:color w:val="000000" w:themeColor="text1"/>
          <w:sz w:val="24"/>
          <w:szCs w:val="24"/>
        </w:rPr>
        <w:t xml:space="preserve">. </w:t>
      </w:r>
      <w:r w:rsidR="00BC22CC" w:rsidRPr="000B1397">
        <w:rPr>
          <w:rFonts w:ascii="Times New Roman" w:hAnsi="Times New Roman"/>
          <w:color w:val="000000" w:themeColor="text1"/>
          <w:sz w:val="24"/>
          <w:szCs w:val="24"/>
        </w:rPr>
        <w:t>Zbiorowość ta stanowi przeszło 11% wszystkich działających w Polsce rolniczych spółdzielni</w:t>
      </w:r>
      <w:r w:rsidR="002B2AC1" w:rsidRPr="000B1397">
        <w:rPr>
          <w:rFonts w:ascii="Times New Roman" w:hAnsi="Times New Roman"/>
          <w:color w:val="000000" w:themeColor="text1"/>
          <w:sz w:val="24"/>
          <w:szCs w:val="24"/>
        </w:rPr>
        <w:t xml:space="preserve"> produkcyjnych</w:t>
      </w:r>
      <w:r w:rsidR="00BC22CC" w:rsidRPr="000B1397">
        <w:rPr>
          <w:rFonts w:ascii="Times New Roman" w:hAnsi="Times New Roman"/>
          <w:color w:val="000000" w:themeColor="text1"/>
          <w:sz w:val="24"/>
          <w:szCs w:val="24"/>
        </w:rPr>
        <w:t>, zatem zaobserwowane tendencje są reprezentatywne do całej ich grupy.</w:t>
      </w:r>
    </w:p>
    <w:p w:rsidR="00EE0327" w:rsidRPr="000B1397" w:rsidRDefault="00BC22CC" w:rsidP="00EA7CA9">
      <w:pPr>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lastRenderedPageBreak/>
        <w:t>Rok 2016 nie był dla gospodarstw rolnych w naszym kraju rokiem udanym, głównie ze względu</w:t>
      </w:r>
      <w:r w:rsidR="00E30516" w:rsidRPr="000B1397">
        <w:rPr>
          <w:rFonts w:ascii="Times New Roman" w:hAnsi="Times New Roman"/>
          <w:color w:val="000000" w:themeColor="text1"/>
          <w:sz w:val="24"/>
          <w:szCs w:val="24"/>
        </w:rPr>
        <w:t xml:space="preserve"> na</w:t>
      </w:r>
      <w:r w:rsidRPr="000B1397">
        <w:rPr>
          <w:rFonts w:ascii="Times New Roman" w:hAnsi="Times New Roman"/>
          <w:color w:val="000000" w:themeColor="text1"/>
          <w:sz w:val="24"/>
          <w:szCs w:val="24"/>
        </w:rPr>
        <w:t xml:space="preserve"> znaczące powierzchnie wymarznięć zbóż ozimych i rzepaku.</w:t>
      </w:r>
      <w:r w:rsidR="00301453" w:rsidRPr="000B1397">
        <w:rPr>
          <w:rFonts w:ascii="Times New Roman" w:hAnsi="Times New Roman"/>
          <w:color w:val="000000" w:themeColor="text1"/>
          <w:sz w:val="24"/>
          <w:szCs w:val="24"/>
        </w:rPr>
        <w:t xml:space="preserve"> Niestety</w:t>
      </w:r>
      <w:r w:rsidR="000D2E50" w:rsidRPr="000B1397">
        <w:rPr>
          <w:rFonts w:ascii="Times New Roman" w:hAnsi="Times New Roman"/>
          <w:color w:val="000000" w:themeColor="text1"/>
          <w:sz w:val="24"/>
          <w:szCs w:val="24"/>
        </w:rPr>
        <w:t>,</w:t>
      </w:r>
      <w:r w:rsidR="00301453" w:rsidRPr="000B1397">
        <w:rPr>
          <w:rFonts w:ascii="Times New Roman" w:hAnsi="Times New Roman"/>
          <w:color w:val="000000" w:themeColor="text1"/>
          <w:sz w:val="24"/>
          <w:szCs w:val="24"/>
        </w:rPr>
        <w:t xml:space="preserve"> jak zwykle przy tego rodzaju </w:t>
      </w:r>
      <w:r w:rsidR="000E7189" w:rsidRPr="000B1397">
        <w:rPr>
          <w:rFonts w:ascii="Times New Roman" w:hAnsi="Times New Roman"/>
          <w:color w:val="000000" w:themeColor="text1"/>
          <w:sz w:val="24"/>
          <w:szCs w:val="24"/>
        </w:rPr>
        <w:t>zdarzeniach</w:t>
      </w:r>
      <w:r w:rsidR="000D2E50" w:rsidRPr="000B1397">
        <w:rPr>
          <w:rFonts w:ascii="Times New Roman" w:hAnsi="Times New Roman"/>
          <w:color w:val="000000" w:themeColor="text1"/>
          <w:sz w:val="24"/>
          <w:szCs w:val="24"/>
        </w:rPr>
        <w:t>,</w:t>
      </w:r>
      <w:r w:rsidR="00301453" w:rsidRPr="000B1397">
        <w:rPr>
          <w:rFonts w:ascii="Times New Roman" w:hAnsi="Times New Roman"/>
          <w:color w:val="000000" w:themeColor="text1"/>
          <w:sz w:val="24"/>
          <w:szCs w:val="24"/>
        </w:rPr>
        <w:t xml:space="preserve"> okazało się, że nie wszyscy producenci ubezpieczyli swoje uprawy.</w:t>
      </w:r>
      <w:r w:rsidR="001F3541" w:rsidRPr="000B1397">
        <w:rPr>
          <w:rFonts w:ascii="Times New Roman" w:hAnsi="Times New Roman"/>
          <w:color w:val="000000" w:themeColor="text1"/>
          <w:sz w:val="24"/>
          <w:szCs w:val="24"/>
        </w:rPr>
        <w:t xml:space="preserve"> </w:t>
      </w:r>
      <w:r w:rsidR="00301453" w:rsidRPr="000B1397">
        <w:rPr>
          <w:rFonts w:ascii="Times New Roman" w:hAnsi="Times New Roman"/>
          <w:color w:val="000000" w:themeColor="text1"/>
          <w:sz w:val="24"/>
          <w:szCs w:val="24"/>
        </w:rPr>
        <w:t>Dlatego wyniki ekonomiczne spółdzielni obarczone są w tym roku dużymi rozbieżnościami.</w:t>
      </w:r>
      <w:r w:rsidR="001F3541" w:rsidRPr="000B1397">
        <w:rPr>
          <w:rFonts w:ascii="Times New Roman" w:hAnsi="Times New Roman"/>
          <w:color w:val="000000" w:themeColor="text1"/>
          <w:sz w:val="24"/>
          <w:szCs w:val="24"/>
        </w:rPr>
        <w:t xml:space="preserve"> Należy również przypomnieć, iż rok 2015 również nie należał do udanych</w:t>
      </w:r>
      <w:r w:rsidR="000D2E50" w:rsidRPr="000B1397">
        <w:rPr>
          <w:rFonts w:ascii="Times New Roman" w:hAnsi="Times New Roman"/>
          <w:color w:val="000000" w:themeColor="text1"/>
          <w:sz w:val="24"/>
          <w:szCs w:val="24"/>
        </w:rPr>
        <w:t>,</w:t>
      </w:r>
      <w:r w:rsidR="001F3541" w:rsidRPr="000B1397">
        <w:rPr>
          <w:rFonts w:ascii="Times New Roman" w:hAnsi="Times New Roman"/>
          <w:color w:val="000000" w:themeColor="text1"/>
          <w:sz w:val="24"/>
          <w:szCs w:val="24"/>
        </w:rPr>
        <w:t xml:space="preserve"> bowiem wówczas znaczące straty w produkcji rolnej wyrządziła susza. Dlatego</w:t>
      </w:r>
      <w:r w:rsidR="000D2E50" w:rsidRPr="000B1397">
        <w:rPr>
          <w:rFonts w:ascii="Times New Roman" w:hAnsi="Times New Roman"/>
          <w:color w:val="000000" w:themeColor="text1"/>
          <w:sz w:val="24"/>
          <w:szCs w:val="24"/>
        </w:rPr>
        <w:t>,</w:t>
      </w:r>
      <w:r w:rsidR="001F3541" w:rsidRPr="000B1397">
        <w:rPr>
          <w:rFonts w:ascii="Times New Roman" w:hAnsi="Times New Roman"/>
          <w:color w:val="000000" w:themeColor="text1"/>
          <w:sz w:val="24"/>
          <w:szCs w:val="24"/>
        </w:rPr>
        <w:t xml:space="preserve"> mino nieznacznych</w:t>
      </w:r>
      <w:r w:rsidR="000E7189" w:rsidRPr="000B1397">
        <w:rPr>
          <w:rFonts w:ascii="Times New Roman" w:hAnsi="Times New Roman"/>
          <w:color w:val="000000" w:themeColor="text1"/>
          <w:sz w:val="24"/>
          <w:szCs w:val="24"/>
        </w:rPr>
        <w:t xml:space="preserve"> pozytywnych zmian</w:t>
      </w:r>
      <w:r w:rsidR="001F3541" w:rsidRPr="000B1397">
        <w:rPr>
          <w:rFonts w:ascii="Times New Roman" w:hAnsi="Times New Roman"/>
          <w:color w:val="000000" w:themeColor="text1"/>
          <w:sz w:val="24"/>
          <w:szCs w:val="24"/>
        </w:rPr>
        <w:t xml:space="preserve"> w poziomie</w:t>
      </w:r>
      <w:r w:rsidR="000E7189" w:rsidRPr="000B1397">
        <w:rPr>
          <w:rFonts w:ascii="Times New Roman" w:hAnsi="Times New Roman"/>
          <w:color w:val="000000" w:themeColor="text1"/>
          <w:sz w:val="24"/>
          <w:szCs w:val="24"/>
        </w:rPr>
        <w:t xml:space="preserve"> prezentowanych</w:t>
      </w:r>
      <w:r w:rsidR="001F3541" w:rsidRPr="000B1397">
        <w:rPr>
          <w:rFonts w:ascii="Times New Roman" w:hAnsi="Times New Roman"/>
          <w:color w:val="000000" w:themeColor="text1"/>
          <w:sz w:val="24"/>
          <w:szCs w:val="24"/>
        </w:rPr>
        <w:t xml:space="preserve"> wskaźników</w:t>
      </w:r>
      <w:r w:rsidR="000D2E50" w:rsidRPr="000B1397">
        <w:rPr>
          <w:rFonts w:ascii="Times New Roman" w:hAnsi="Times New Roman"/>
          <w:color w:val="000000" w:themeColor="text1"/>
          <w:sz w:val="24"/>
          <w:szCs w:val="24"/>
        </w:rPr>
        <w:t>,</w:t>
      </w:r>
      <w:r w:rsidR="001F3541" w:rsidRPr="000B1397">
        <w:rPr>
          <w:rFonts w:ascii="Times New Roman" w:hAnsi="Times New Roman"/>
          <w:color w:val="000000" w:themeColor="text1"/>
          <w:sz w:val="24"/>
          <w:szCs w:val="24"/>
        </w:rPr>
        <w:t xml:space="preserve"> </w:t>
      </w:r>
      <w:r w:rsidR="000E7189" w:rsidRPr="000B1397">
        <w:rPr>
          <w:rFonts w:ascii="Times New Roman" w:hAnsi="Times New Roman"/>
          <w:color w:val="000000" w:themeColor="text1"/>
          <w:sz w:val="24"/>
          <w:szCs w:val="24"/>
        </w:rPr>
        <w:t>uwarunkowania 2016 r.</w:t>
      </w:r>
      <w:r w:rsidR="00301453" w:rsidRPr="000B1397">
        <w:rPr>
          <w:rFonts w:ascii="Times New Roman" w:hAnsi="Times New Roman"/>
          <w:color w:val="000000" w:themeColor="text1"/>
          <w:sz w:val="24"/>
          <w:szCs w:val="24"/>
        </w:rPr>
        <w:t xml:space="preserve"> </w:t>
      </w:r>
      <w:r w:rsidR="001F3541" w:rsidRPr="000B1397">
        <w:rPr>
          <w:rFonts w:ascii="Times New Roman" w:hAnsi="Times New Roman"/>
          <w:color w:val="000000" w:themeColor="text1"/>
          <w:sz w:val="24"/>
          <w:szCs w:val="24"/>
        </w:rPr>
        <w:t xml:space="preserve">należy uznać za </w:t>
      </w:r>
      <w:r w:rsidR="000E7189" w:rsidRPr="000B1397">
        <w:rPr>
          <w:rFonts w:ascii="Times New Roman" w:hAnsi="Times New Roman"/>
          <w:color w:val="000000" w:themeColor="text1"/>
          <w:sz w:val="24"/>
          <w:szCs w:val="24"/>
        </w:rPr>
        <w:t>niesprzyjające</w:t>
      </w:r>
      <w:r w:rsidR="001F3541" w:rsidRPr="000B1397">
        <w:rPr>
          <w:rFonts w:ascii="Times New Roman" w:hAnsi="Times New Roman"/>
          <w:color w:val="000000" w:themeColor="text1"/>
          <w:sz w:val="24"/>
          <w:szCs w:val="24"/>
        </w:rPr>
        <w:t>.</w:t>
      </w:r>
    </w:p>
    <w:p w:rsidR="00D106D1" w:rsidRPr="000B1397" w:rsidRDefault="00EE5D5F" w:rsidP="00EA7CA9">
      <w:pPr>
        <w:tabs>
          <w:tab w:val="left" w:pos="567"/>
        </w:tabs>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t>D</w:t>
      </w:r>
      <w:r w:rsidR="001F1EC8" w:rsidRPr="000B1397">
        <w:rPr>
          <w:rFonts w:ascii="Times New Roman" w:hAnsi="Times New Roman"/>
          <w:color w:val="000000" w:themeColor="text1"/>
          <w:sz w:val="24"/>
          <w:szCs w:val="24"/>
        </w:rPr>
        <w:t>ochodo</w:t>
      </w:r>
      <w:r w:rsidR="00056F1D" w:rsidRPr="000B1397">
        <w:rPr>
          <w:rFonts w:ascii="Times New Roman" w:hAnsi="Times New Roman"/>
          <w:color w:val="000000" w:themeColor="text1"/>
          <w:sz w:val="24"/>
          <w:szCs w:val="24"/>
        </w:rPr>
        <w:t>woś</w:t>
      </w:r>
      <w:r w:rsidR="00E30516" w:rsidRPr="000B1397">
        <w:rPr>
          <w:rFonts w:ascii="Times New Roman" w:hAnsi="Times New Roman"/>
          <w:color w:val="000000" w:themeColor="text1"/>
          <w:sz w:val="24"/>
          <w:szCs w:val="24"/>
        </w:rPr>
        <w:t>ć</w:t>
      </w:r>
      <w:r w:rsidR="00056F1D" w:rsidRPr="000B1397">
        <w:rPr>
          <w:rFonts w:ascii="Times New Roman" w:hAnsi="Times New Roman"/>
          <w:color w:val="000000" w:themeColor="text1"/>
          <w:sz w:val="24"/>
          <w:szCs w:val="24"/>
        </w:rPr>
        <w:t xml:space="preserve"> działalności gospodarczej</w:t>
      </w:r>
      <w:r w:rsidRPr="000B1397">
        <w:rPr>
          <w:rFonts w:ascii="Times New Roman" w:hAnsi="Times New Roman"/>
          <w:color w:val="000000" w:themeColor="text1"/>
          <w:sz w:val="24"/>
          <w:szCs w:val="24"/>
        </w:rPr>
        <w:t xml:space="preserve"> w RSP</w:t>
      </w:r>
      <w:r w:rsidR="00B909BA" w:rsidRPr="000B1397">
        <w:rPr>
          <w:rFonts w:ascii="Times New Roman" w:hAnsi="Times New Roman"/>
          <w:color w:val="000000" w:themeColor="text1"/>
          <w:sz w:val="24"/>
          <w:szCs w:val="24"/>
        </w:rPr>
        <w:t xml:space="preserve"> </w:t>
      </w:r>
      <w:r w:rsidR="00F35999" w:rsidRPr="000B1397">
        <w:rPr>
          <w:rFonts w:ascii="Times New Roman" w:hAnsi="Times New Roman"/>
          <w:color w:val="000000" w:themeColor="text1"/>
          <w:sz w:val="24"/>
          <w:szCs w:val="24"/>
        </w:rPr>
        <w:t>spadł</w:t>
      </w:r>
      <w:r w:rsidRPr="000B1397">
        <w:rPr>
          <w:rFonts w:ascii="Times New Roman" w:hAnsi="Times New Roman"/>
          <w:color w:val="000000" w:themeColor="text1"/>
          <w:sz w:val="24"/>
          <w:szCs w:val="24"/>
        </w:rPr>
        <w:t>a</w:t>
      </w:r>
      <w:r w:rsidR="001128E4" w:rsidRPr="000B1397">
        <w:rPr>
          <w:rFonts w:ascii="Times New Roman" w:hAnsi="Times New Roman"/>
          <w:color w:val="000000" w:themeColor="text1"/>
          <w:sz w:val="24"/>
          <w:szCs w:val="24"/>
        </w:rPr>
        <w:t xml:space="preserve"> w relacji do 201</w:t>
      </w:r>
      <w:r w:rsidR="00F35999" w:rsidRPr="000B1397">
        <w:rPr>
          <w:rFonts w:ascii="Times New Roman" w:hAnsi="Times New Roman"/>
          <w:color w:val="000000" w:themeColor="text1"/>
          <w:sz w:val="24"/>
          <w:szCs w:val="24"/>
        </w:rPr>
        <w:t>4</w:t>
      </w:r>
      <w:r w:rsidR="001128E4" w:rsidRPr="000B1397">
        <w:rPr>
          <w:rFonts w:ascii="Times New Roman" w:hAnsi="Times New Roman"/>
          <w:color w:val="000000" w:themeColor="text1"/>
          <w:sz w:val="24"/>
          <w:szCs w:val="24"/>
        </w:rPr>
        <w:t xml:space="preserve"> r</w:t>
      </w:r>
      <w:r w:rsidR="002B2AC1" w:rsidRPr="000B1397">
        <w:rPr>
          <w:rFonts w:ascii="Times New Roman" w:hAnsi="Times New Roman"/>
          <w:color w:val="000000" w:themeColor="text1"/>
          <w:sz w:val="24"/>
          <w:szCs w:val="24"/>
        </w:rPr>
        <w:t>.</w:t>
      </w:r>
      <w:r w:rsidR="00827051" w:rsidRPr="000B1397">
        <w:rPr>
          <w:rFonts w:ascii="Times New Roman" w:hAnsi="Times New Roman"/>
          <w:color w:val="000000" w:themeColor="text1"/>
          <w:sz w:val="24"/>
          <w:szCs w:val="24"/>
        </w:rPr>
        <w:t xml:space="preserve"> </w:t>
      </w:r>
      <w:r w:rsidR="000151A8" w:rsidRPr="000B1397">
        <w:rPr>
          <w:rFonts w:ascii="Times New Roman" w:hAnsi="Times New Roman"/>
          <w:color w:val="000000" w:themeColor="text1"/>
          <w:sz w:val="24"/>
          <w:szCs w:val="24"/>
        </w:rPr>
        <w:t xml:space="preserve">o </w:t>
      </w:r>
      <w:r w:rsidR="001F3541" w:rsidRPr="000B1397">
        <w:rPr>
          <w:rFonts w:ascii="Times New Roman" w:hAnsi="Times New Roman"/>
          <w:color w:val="000000" w:themeColor="text1"/>
          <w:sz w:val="24"/>
          <w:szCs w:val="24"/>
        </w:rPr>
        <w:t>2,6</w:t>
      </w:r>
      <w:r w:rsidR="009D1006" w:rsidRPr="000B1397">
        <w:rPr>
          <w:rFonts w:ascii="Times New Roman" w:hAnsi="Times New Roman"/>
          <w:color w:val="000000" w:themeColor="text1"/>
          <w:sz w:val="24"/>
          <w:szCs w:val="24"/>
        </w:rPr>
        <w:t xml:space="preserve"> </w:t>
      </w:r>
      <w:r w:rsidR="000151A8" w:rsidRPr="000B1397">
        <w:rPr>
          <w:rFonts w:ascii="Times New Roman" w:hAnsi="Times New Roman"/>
          <w:color w:val="000000" w:themeColor="text1"/>
          <w:sz w:val="24"/>
          <w:szCs w:val="24"/>
        </w:rPr>
        <w:t>p.p.,</w:t>
      </w:r>
      <w:r w:rsidR="00F35999" w:rsidRPr="000B1397">
        <w:rPr>
          <w:rFonts w:ascii="Times New Roman" w:hAnsi="Times New Roman"/>
          <w:color w:val="000000" w:themeColor="text1"/>
          <w:sz w:val="24"/>
          <w:szCs w:val="24"/>
        </w:rPr>
        <w:t xml:space="preserve"> była to wi</w:t>
      </w:r>
      <w:r w:rsidR="00AA2781" w:rsidRPr="000B1397">
        <w:rPr>
          <w:rFonts w:ascii="Times New Roman" w:hAnsi="Times New Roman"/>
          <w:color w:val="000000" w:themeColor="text1"/>
          <w:sz w:val="24"/>
          <w:szCs w:val="24"/>
        </w:rPr>
        <w:t>ę</w:t>
      </w:r>
      <w:r w:rsidR="00F35999" w:rsidRPr="000B1397">
        <w:rPr>
          <w:rFonts w:ascii="Times New Roman" w:hAnsi="Times New Roman"/>
          <w:color w:val="000000" w:themeColor="text1"/>
          <w:sz w:val="24"/>
          <w:szCs w:val="24"/>
        </w:rPr>
        <w:t>c zamiana odczuwalna</w:t>
      </w:r>
      <w:r w:rsidR="001128E4" w:rsidRPr="000B1397">
        <w:rPr>
          <w:rFonts w:ascii="Times New Roman" w:hAnsi="Times New Roman"/>
          <w:color w:val="000000" w:themeColor="text1"/>
          <w:sz w:val="24"/>
          <w:szCs w:val="24"/>
        </w:rPr>
        <w:t>.</w:t>
      </w:r>
      <w:r w:rsidR="00F35999" w:rsidRPr="000B1397">
        <w:rPr>
          <w:rFonts w:ascii="Times New Roman" w:hAnsi="Times New Roman"/>
          <w:color w:val="000000" w:themeColor="text1"/>
          <w:sz w:val="24"/>
          <w:szCs w:val="24"/>
        </w:rPr>
        <w:t xml:space="preserve"> </w:t>
      </w:r>
      <w:r w:rsidRPr="000B1397">
        <w:rPr>
          <w:rFonts w:ascii="Times New Roman" w:hAnsi="Times New Roman"/>
          <w:color w:val="000000" w:themeColor="text1"/>
          <w:sz w:val="24"/>
          <w:szCs w:val="24"/>
        </w:rPr>
        <w:t xml:space="preserve">Ponieważ </w:t>
      </w:r>
      <w:r w:rsidR="001F3541" w:rsidRPr="000B1397">
        <w:rPr>
          <w:rFonts w:ascii="Times New Roman" w:hAnsi="Times New Roman"/>
          <w:color w:val="000000" w:themeColor="text1"/>
          <w:sz w:val="24"/>
          <w:szCs w:val="24"/>
        </w:rPr>
        <w:t>w 2015</w:t>
      </w:r>
      <w:r w:rsidR="00F35999" w:rsidRPr="000B1397">
        <w:rPr>
          <w:rFonts w:ascii="Times New Roman" w:hAnsi="Times New Roman"/>
          <w:color w:val="000000" w:themeColor="text1"/>
          <w:sz w:val="24"/>
          <w:szCs w:val="24"/>
        </w:rPr>
        <w:t xml:space="preserve"> r</w:t>
      </w:r>
      <w:r w:rsidR="00981E9E" w:rsidRPr="000B1397">
        <w:rPr>
          <w:rFonts w:ascii="Times New Roman" w:hAnsi="Times New Roman"/>
          <w:color w:val="000000" w:themeColor="text1"/>
          <w:sz w:val="24"/>
          <w:szCs w:val="24"/>
        </w:rPr>
        <w:t>.</w:t>
      </w:r>
      <w:r w:rsidR="008B169A" w:rsidRPr="000B1397">
        <w:rPr>
          <w:rFonts w:ascii="Times New Roman" w:hAnsi="Times New Roman"/>
          <w:color w:val="000000" w:themeColor="text1"/>
          <w:sz w:val="24"/>
          <w:szCs w:val="24"/>
        </w:rPr>
        <w:t xml:space="preserve"> również mieliśmy do czynienia</w:t>
      </w:r>
      <w:r w:rsidR="00F35999" w:rsidRPr="000B1397">
        <w:rPr>
          <w:rFonts w:ascii="Times New Roman" w:hAnsi="Times New Roman"/>
          <w:color w:val="000000" w:themeColor="text1"/>
          <w:sz w:val="24"/>
          <w:szCs w:val="24"/>
        </w:rPr>
        <w:t xml:space="preserve"> z obniżeniem wartości tego wskaźnika</w:t>
      </w:r>
      <w:r w:rsidR="00E027BD" w:rsidRPr="000B1397">
        <w:rPr>
          <w:rFonts w:ascii="Times New Roman" w:hAnsi="Times New Roman"/>
          <w:color w:val="000000" w:themeColor="text1"/>
          <w:sz w:val="24"/>
          <w:szCs w:val="24"/>
        </w:rPr>
        <w:t xml:space="preserve">, </w:t>
      </w:r>
      <w:r w:rsidR="005309D3" w:rsidRPr="000B1397">
        <w:rPr>
          <w:rFonts w:ascii="Times New Roman" w:hAnsi="Times New Roman"/>
          <w:color w:val="000000" w:themeColor="text1"/>
          <w:sz w:val="24"/>
          <w:szCs w:val="24"/>
        </w:rPr>
        <w:t>w</w:t>
      </w:r>
      <w:r w:rsidR="001128E4" w:rsidRPr="000B1397">
        <w:rPr>
          <w:rFonts w:ascii="Times New Roman" w:hAnsi="Times New Roman"/>
          <w:color w:val="000000" w:themeColor="text1"/>
          <w:sz w:val="24"/>
          <w:szCs w:val="24"/>
        </w:rPr>
        <w:t xml:space="preserve"> perspektywie</w:t>
      </w:r>
      <w:r w:rsidR="009E1F23" w:rsidRPr="000B1397">
        <w:rPr>
          <w:rFonts w:ascii="Times New Roman" w:hAnsi="Times New Roman"/>
          <w:color w:val="000000" w:themeColor="text1"/>
          <w:sz w:val="24"/>
          <w:szCs w:val="24"/>
        </w:rPr>
        <w:t xml:space="preserve"> ostatnich </w:t>
      </w:r>
      <w:r w:rsidR="00961617" w:rsidRPr="000B1397">
        <w:rPr>
          <w:rFonts w:ascii="Times New Roman" w:hAnsi="Times New Roman"/>
          <w:color w:val="000000" w:themeColor="text1"/>
          <w:sz w:val="24"/>
          <w:szCs w:val="24"/>
        </w:rPr>
        <w:t>2</w:t>
      </w:r>
      <w:r w:rsidR="009E1F23" w:rsidRPr="000B1397">
        <w:rPr>
          <w:rFonts w:ascii="Times New Roman" w:hAnsi="Times New Roman"/>
          <w:color w:val="000000" w:themeColor="text1"/>
          <w:sz w:val="24"/>
          <w:szCs w:val="24"/>
        </w:rPr>
        <w:t xml:space="preserve"> lat możemy wię</w:t>
      </w:r>
      <w:r w:rsidR="00F35999" w:rsidRPr="000B1397">
        <w:rPr>
          <w:rFonts w:ascii="Times New Roman" w:hAnsi="Times New Roman"/>
          <w:color w:val="000000" w:themeColor="text1"/>
          <w:sz w:val="24"/>
          <w:szCs w:val="24"/>
        </w:rPr>
        <w:t>c mówić</w:t>
      </w:r>
      <w:r w:rsidR="00961617" w:rsidRPr="000B1397">
        <w:rPr>
          <w:rFonts w:ascii="Times New Roman" w:hAnsi="Times New Roman"/>
          <w:color w:val="000000" w:themeColor="text1"/>
          <w:sz w:val="24"/>
          <w:szCs w:val="24"/>
        </w:rPr>
        <w:t xml:space="preserve"> </w:t>
      </w:r>
      <w:r w:rsidR="005D6D49" w:rsidRPr="000B1397">
        <w:rPr>
          <w:rFonts w:ascii="Times New Roman" w:hAnsi="Times New Roman"/>
          <w:color w:val="000000" w:themeColor="text1"/>
          <w:sz w:val="24"/>
          <w:szCs w:val="24"/>
        </w:rPr>
        <w:t xml:space="preserve">o </w:t>
      </w:r>
      <w:r w:rsidR="00961617" w:rsidRPr="000B1397">
        <w:rPr>
          <w:rFonts w:ascii="Times New Roman" w:hAnsi="Times New Roman"/>
          <w:color w:val="000000" w:themeColor="text1"/>
          <w:sz w:val="24"/>
          <w:szCs w:val="24"/>
        </w:rPr>
        <w:t>zmniejszeniu dochodowości gospodarstw spółdzielczych o 11</w:t>
      </w:r>
      <w:r w:rsidR="008B169A" w:rsidRPr="000B1397">
        <w:rPr>
          <w:rFonts w:ascii="Times New Roman" w:hAnsi="Times New Roman"/>
          <w:color w:val="000000" w:themeColor="text1"/>
          <w:sz w:val="24"/>
          <w:szCs w:val="24"/>
        </w:rPr>
        <w:t>%</w:t>
      </w:r>
      <w:r w:rsidR="00961617" w:rsidRPr="000B1397">
        <w:rPr>
          <w:rFonts w:ascii="Times New Roman" w:hAnsi="Times New Roman"/>
          <w:color w:val="000000" w:themeColor="text1"/>
          <w:sz w:val="24"/>
          <w:szCs w:val="24"/>
        </w:rPr>
        <w:t>.</w:t>
      </w:r>
      <w:r w:rsidR="008B169A" w:rsidRPr="000B1397">
        <w:rPr>
          <w:rFonts w:ascii="Times New Roman" w:hAnsi="Times New Roman"/>
          <w:color w:val="000000" w:themeColor="text1"/>
          <w:sz w:val="24"/>
          <w:szCs w:val="24"/>
        </w:rPr>
        <w:t xml:space="preserve"> </w:t>
      </w:r>
      <w:r w:rsidR="00F5382B" w:rsidRPr="000B1397">
        <w:rPr>
          <w:rFonts w:ascii="Times New Roman" w:hAnsi="Times New Roman"/>
          <w:color w:val="000000" w:themeColor="text1"/>
          <w:sz w:val="24"/>
          <w:szCs w:val="24"/>
        </w:rPr>
        <w:t>Podobn</w:t>
      </w:r>
      <w:r w:rsidR="00D106D1" w:rsidRPr="000B1397">
        <w:rPr>
          <w:rFonts w:ascii="Times New Roman" w:hAnsi="Times New Roman"/>
          <w:color w:val="000000" w:themeColor="text1"/>
          <w:sz w:val="24"/>
          <w:szCs w:val="24"/>
        </w:rPr>
        <w:t>e relacje</w:t>
      </w:r>
      <w:r w:rsidR="00E027BD" w:rsidRPr="000B1397">
        <w:rPr>
          <w:rFonts w:ascii="Times New Roman" w:hAnsi="Times New Roman"/>
          <w:color w:val="000000" w:themeColor="text1"/>
          <w:sz w:val="24"/>
          <w:szCs w:val="24"/>
        </w:rPr>
        <w:t xml:space="preserve"> mi</w:t>
      </w:r>
      <w:r w:rsidR="00F5382B" w:rsidRPr="000B1397">
        <w:rPr>
          <w:rFonts w:ascii="Times New Roman" w:hAnsi="Times New Roman"/>
          <w:color w:val="000000" w:themeColor="text1"/>
          <w:sz w:val="24"/>
          <w:szCs w:val="24"/>
        </w:rPr>
        <w:t>ę</w:t>
      </w:r>
      <w:r w:rsidR="00E027BD" w:rsidRPr="000B1397">
        <w:rPr>
          <w:rFonts w:ascii="Times New Roman" w:hAnsi="Times New Roman"/>
          <w:color w:val="000000" w:themeColor="text1"/>
          <w:sz w:val="24"/>
          <w:szCs w:val="24"/>
        </w:rPr>
        <w:t>dzy latami 201</w:t>
      </w:r>
      <w:r w:rsidR="005309D3" w:rsidRPr="000B1397">
        <w:rPr>
          <w:rFonts w:ascii="Times New Roman" w:hAnsi="Times New Roman"/>
          <w:color w:val="000000" w:themeColor="text1"/>
          <w:sz w:val="24"/>
          <w:szCs w:val="24"/>
        </w:rPr>
        <w:t>6</w:t>
      </w:r>
      <w:r w:rsidR="00E027BD" w:rsidRPr="000B1397">
        <w:rPr>
          <w:rFonts w:ascii="Times New Roman" w:hAnsi="Times New Roman"/>
          <w:color w:val="000000" w:themeColor="text1"/>
          <w:sz w:val="24"/>
          <w:szCs w:val="24"/>
        </w:rPr>
        <w:t xml:space="preserve"> i 2014</w:t>
      </w:r>
      <w:r w:rsidR="00D106D1" w:rsidRPr="000B1397">
        <w:rPr>
          <w:rFonts w:ascii="Times New Roman" w:hAnsi="Times New Roman"/>
          <w:color w:val="000000" w:themeColor="text1"/>
          <w:sz w:val="24"/>
          <w:szCs w:val="24"/>
        </w:rPr>
        <w:t xml:space="preserve"> </w:t>
      </w:r>
      <w:r w:rsidR="00F35999" w:rsidRPr="000B1397">
        <w:rPr>
          <w:rFonts w:ascii="Times New Roman" w:hAnsi="Times New Roman"/>
          <w:color w:val="000000" w:themeColor="text1"/>
          <w:sz w:val="24"/>
          <w:szCs w:val="24"/>
        </w:rPr>
        <w:t>obrazuje</w:t>
      </w:r>
      <w:r w:rsidR="00D106D1" w:rsidRPr="000B1397">
        <w:rPr>
          <w:rFonts w:ascii="Times New Roman" w:hAnsi="Times New Roman"/>
          <w:color w:val="000000" w:themeColor="text1"/>
          <w:sz w:val="24"/>
          <w:szCs w:val="24"/>
        </w:rPr>
        <w:t xml:space="preserve"> wskaźnik wartości dodanej, choć tu </w:t>
      </w:r>
      <w:r w:rsidR="005309D3" w:rsidRPr="000B1397">
        <w:rPr>
          <w:rFonts w:ascii="Times New Roman" w:hAnsi="Times New Roman"/>
          <w:color w:val="000000" w:themeColor="text1"/>
          <w:sz w:val="24"/>
          <w:szCs w:val="24"/>
        </w:rPr>
        <w:t>tendencje te miały</w:t>
      </w:r>
      <w:r w:rsidR="0000484E" w:rsidRPr="000B1397">
        <w:rPr>
          <w:rFonts w:ascii="Times New Roman" w:hAnsi="Times New Roman"/>
          <w:color w:val="000000" w:themeColor="text1"/>
          <w:sz w:val="24"/>
          <w:szCs w:val="24"/>
        </w:rPr>
        <w:t xml:space="preserve"> </w:t>
      </w:r>
      <w:r w:rsidR="00E027BD" w:rsidRPr="000B1397">
        <w:rPr>
          <w:rFonts w:ascii="Times New Roman" w:hAnsi="Times New Roman"/>
          <w:color w:val="000000" w:themeColor="text1"/>
          <w:sz w:val="24"/>
          <w:szCs w:val="24"/>
        </w:rPr>
        <w:t>łagodniejszy charakter.</w:t>
      </w:r>
    </w:p>
    <w:p w:rsidR="00D024AD" w:rsidRPr="000B1397" w:rsidRDefault="004528AF" w:rsidP="00EA7CA9">
      <w:pPr>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t xml:space="preserve">Na pogorszenie dochodowości działalności w RSP obok obniżenia wartości przychodów ze sprzedaży o </w:t>
      </w:r>
      <w:r w:rsidR="00CD23F3" w:rsidRPr="000B1397">
        <w:rPr>
          <w:rFonts w:ascii="Times New Roman" w:hAnsi="Times New Roman"/>
          <w:color w:val="000000" w:themeColor="text1"/>
          <w:sz w:val="24"/>
          <w:szCs w:val="24"/>
        </w:rPr>
        <w:t>6</w:t>
      </w:r>
      <w:r w:rsidR="00E30516" w:rsidRPr="000B1397">
        <w:rPr>
          <w:rFonts w:ascii="Times New Roman" w:hAnsi="Times New Roman"/>
          <w:color w:val="000000" w:themeColor="text1"/>
          <w:sz w:val="24"/>
          <w:szCs w:val="24"/>
        </w:rPr>
        <w:t>%</w:t>
      </w:r>
      <w:r w:rsidRPr="000B1397">
        <w:rPr>
          <w:rFonts w:ascii="Times New Roman" w:hAnsi="Times New Roman"/>
          <w:color w:val="000000" w:themeColor="text1"/>
          <w:sz w:val="24"/>
          <w:szCs w:val="24"/>
        </w:rPr>
        <w:t xml:space="preserve"> wpływ miała również zmiana zasad przyznawania płatności bezpośrednich</w:t>
      </w:r>
      <w:r w:rsidR="00CD23F3" w:rsidRPr="000B1397">
        <w:rPr>
          <w:rFonts w:ascii="Times New Roman" w:hAnsi="Times New Roman"/>
          <w:color w:val="000000" w:themeColor="text1"/>
          <w:sz w:val="24"/>
          <w:szCs w:val="24"/>
        </w:rPr>
        <w:t>.</w:t>
      </w:r>
      <w:r w:rsidRPr="000B1397">
        <w:rPr>
          <w:rFonts w:ascii="Times New Roman" w:hAnsi="Times New Roman"/>
          <w:color w:val="000000" w:themeColor="text1"/>
          <w:sz w:val="24"/>
          <w:szCs w:val="24"/>
        </w:rPr>
        <w:t xml:space="preserve"> </w:t>
      </w:r>
      <w:r w:rsidR="00DC3628" w:rsidRPr="000B1397">
        <w:rPr>
          <w:rFonts w:ascii="Times New Roman" w:hAnsi="Times New Roman"/>
          <w:color w:val="000000" w:themeColor="text1"/>
          <w:sz w:val="24"/>
          <w:szCs w:val="24"/>
        </w:rPr>
        <w:t>Należy przypomnieć, że płatności</w:t>
      </w:r>
      <w:r w:rsidR="005A3C9D" w:rsidRPr="000B1397">
        <w:rPr>
          <w:rFonts w:ascii="Times New Roman" w:hAnsi="Times New Roman"/>
          <w:color w:val="000000" w:themeColor="text1"/>
          <w:sz w:val="24"/>
          <w:szCs w:val="24"/>
        </w:rPr>
        <w:t>,</w:t>
      </w:r>
      <w:r w:rsidR="00DC3628" w:rsidRPr="000B1397">
        <w:rPr>
          <w:rFonts w:ascii="Times New Roman" w:hAnsi="Times New Roman"/>
          <w:color w:val="000000" w:themeColor="text1"/>
          <w:sz w:val="24"/>
          <w:szCs w:val="24"/>
        </w:rPr>
        <w:t xml:space="preserve"> które spółdzielnie otrzymały za 2015</w:t>
      </w:r>
      <w:r w:rsidR="00CD23F3" w:rsidRPr="000B1397">
        <w:rPr>
          <w:rFonts w:ascii="Times New Roman" w:hAnsi="Times New Roman"/>
          <w:color w:val="000000" w:themeColor="text1"/>
          <w:sz w:val="24"/>
          <w:szCs w:val="24"/>
        </w:rPr>
        <w:t xml:space="preserve"> i 2016</w:t>
      </w:r>
      <w:r w:rsidR="00DC3628" w:rsidRPr="000B1397">
        <w:rPr>
          <w:rFonts w:ascii="Times New Roman" w:hAnsi="Times New Roman"/>
          <w:color w:val="000000" w:themeColor="text1"/>
          <w:sz w:val="24"/>
          <w:szCs w:val="24"/>
        </w:rPr>
        <w:t xml:space="preserve"> rok</w:t>
      </w:r>
      <w:r w:rsidR="009E1F23" w:rsidRPr="000B1397">
        <w:rPr>
          <w:rFonts w:ascii="Times New Roman" w:hAnsi="Times New Roman"/>
          <w:color w:val="000000" w:themeColor="text1"/>
          <w:sz w:val="24"/>
          <w:szCs w:val="24"/>
        </w:rPr>
        <w:t>, wypłacane były w</w:t>
      </w:r>
      <w:r w:rsidR="00981E9E" w:rsidRPr="000B1397">
        <w:rPr>
          <w:rFonts w:ascii="Times New Roman" w:hAnsi="Times New Roman"/>
          <w:color w:val="000000" w:themeColor="text1"/>
          <w:sz w:val="24"/>
          <w:szCs w:val="24"/>
        </w:rPr>
        <w:t>edłu</w:t>
      </w:r>
      <w:r w:rsidR="009E1F23" w:rsidRPr="000B1397">
        <w:rPr>
          <w:rFonts w:ascii="Times New Roman" w:hAnsi="Times New Roman"/>
          <w:color w:val="000000" w:themeColor="text1"/>
          <w:sz w:val="24"/>
          <w:szCs w:val="24"/>
        </w:rPr>
        <w:t>g</w:t>
      </w:r>
      <w:r w:rsidR="00DC3628" w:rsidRPr="000B1397">
        <w:rPr>
          <w:rFonts w:ascii="Times New Roman" w:hAnsi="Times New Roman"/>
          <w:color w:val="000000" w:themeColor="text1"/>
          <w:sz w:val="24"/>
          <w:szCs w:val="24"/>
        </w:rPr>
        <w:t xml:space="preserve"> now</w:t>
      </w:r>
      <w:r w:rsidR="000E7189" w:rsidRPr="000B1397">
        <w:rPr>
          <w:rFonts w:ascii="Times New Roman" w:hAnsi="Times New Roman"/>
          <w:color w:val="000000" w:themeColor="text1"/>
          <w:sz w:val="24"/>
          <w:szCs w:val="24"/>
        </w:rPr>
        <w:t>ych zasad</w:t>
      </w:r>
      <w:r w:rsidR="00DC3628" w:rsidRPr="000B1397">
        <w:rPr>
          <w:rFonts w:ascii="Times New Roman" w:hAnsi="Times New Roman"/>
          <w:color w:val="000000" w:themeColor="text1"/>
          <w:sz w:val="24"/>
          <w:szCs w:val="24"/>
        </w:rPr>
        <w:t>, któr</w:t>
      </w:r>
      <w:r w:rsidR="000E7189" w:rsidRPr="000B1397">
        <w:rPr>
          <w:rFonts w:ascii="Times New Roman" w:hAnsi="Times New Roman"/>
          <w:color w:val="000000" w:themeColor="text1"/>
          <w:sz w:val="24"/>
          <w:szCs w:val="24"/>
        </w:rPr>
        <w:t>e</w:t>
      </w:r>
      <w:r w:rsidR="00DC3628" w:rsidRPr="000B1397">
        <w:rPr>
          <w:rFonts w:ascii="Times New Roman" w:hAnsi="Times New Roman"/>
          <w:color w:val="000000" w:themeColor="text1"/>
          <w:sz w:val="24"/>
          <w:szCs w:val="24"/>
        </w:rPr>
        <w:t xml:space="preserve"> </w:t>
      </w:r>
      <w:r w:rsidR="008B169A" w:rsidRPr="000B1397">
        <w:rPr>
          <w:rFonts w:ascii="Times New Roman" w:hAnsi="Times New Roman"/>
          <w:color w:val="000000" w:themeColor="text1"/>
          <w:sz w:val="24"/>
          <w:szCs w:val="24"/>
        </w:rPr>
        <w:t>był</w:t>
      </w:r>
      <w:r w:rsidR="000E7189" w:rsidRPr="000B1397">
        <w:rPr>
          <w:rFonts w:ascii="Times New Roman" w:hAnsi="Times New Roman"/>
          <w:color w:val="000000" w:themeColor="text1"/>
          <w:sz w:val="24"/>
          <w:szCs w:val="24"/>
        </w:rPr>
        <w:t>y</w:t>
      </w:r>
      <w:r w:rsidR="009E1F23" w:rsidRPr="000B1397">
        <w:rPr>
          <w:rFonts w:ascii="Times New Roman" w:hAnsi="Times New Roman"/>
          <w:color w:val="000000" w:themeColor="text1"/>
          <w:sz w:val="24"/>
          <w:szCs w:val="24"/>
        </w:rPr>
        <w:t xml:space="preserve"> </w:t>
      </w:r>
      <w:r w:rsidR="00DC3628" w:rsidRPr="000B1397">
        <w:rPr>
          <w:rFonts w:ascii="Times New Roman" w:hAnsi="Times New Roman"/>
          <w:color w:val="000000" w:themeColor="text1"/>
          <w:sz w:val="24"/>
          <w:szCs w:val="24"/>
        </w:rPr>
        <w:t>korzystniejsz</w:t>
      </w:r>
      <w:r w:rsidR="000E7189" w:rsidRPr="000B1397">
        <w:rPr>
          <w:rFonts w:ascii="Times New Roman" w:hAnsi="Times New Roman"/>
          <w:color w:val="000000" w:themeColor="text1"/>
          <w:sz w:val="24"/>
          <w:szCs w:val="24"/>
        </w:rPr>
        <w:t>e</w:t>
      </w:r>
      <w:r w:rsidR="00DC3628" w:rsidRPr="000B1397">
        <w:rPr>
          <w:rFonts w:ascii="Times New Roman" w:hAnsi="Times New Roman"/>
          <w:color w:val="000000" w:themeColor="text1"/>
          <w:sz w:val="24"/>
          <w:szCs w:val="24"/>
        </w:rPr>
        <w:t xml:space="preserve"> dla</w:t>
      </w:r>
      <w:r w:rsidR="00F1268D" w:rsidRPr="000B1397">
        <w:rPr>
          <w:rFonts w:ascii="Times New Roman" w:hAnsi="Times New Roman"/>
          <w:color w:val="000000" w:themeColor="text1"/>
          <w:sz w:val="24"/>
          <w:szCs w:val="24"/>
        </w:rPr>
        <w:t xml:space="preserve"> małych i</w:t>
      </w:r>
      <w:r w:rsidR="00DC3628" w:rsidRPr="000B1397">
        <w:rPr>
          <w:rFonts w:ascii="Times New Roman" w:hAnsi="Times New Roman"/>
          <w:color w:val="000000" w:themeColor="text1"/>
          <w:sz w:val="24"/>
          <w:szCs w:val="24"/>
        </w:rPr>
        <w:t xml:space="preserve"> średnich gospodarstw, utrzymujących zwierzęta przeżuwające. </w:t>
      </w:r>
      <w:r w:rsidR="00D024AD" w:rsidRPr="000B1397">
        <w:rPr>
          <w:rFonts w:ascii="Times New Roman" w:hAnsi="Times New Roman"/>
          <w:color w:val="000000" w:themeColor="text1"/>
          <w:sz w:val="24"/>
          <w:szCs w:val="24"/>
        </w:rPr>
        <w:t>Spółdzielnie jednak</w:t>
      </w:r>
      <w:r w:rsidR="005A3C9D" w:rsidRPr="000B1397">
        <w:rPr>
          <w:rFonts w:ascii="Times New Roman" w:hAnsi="Times New Roman"/>
          <w:color w:val="000000" w:themeColor="text1"/>
          <w:sz w:val="24"/>
          <w:szCs w:val="24"/>
        </w:rPr>
        <w:t>,</w:t>
      </w:r>
      <w:r w:rsidR="00D024AD" w:rsidRPr="000B1397">
        <w:rPr>
          <w:rFonts w:ascii="Times New Roman" w:hAnsi="Times New Roman"/>
          <w:color w:val="000000" w:themeColor="text1"/>
          <w:sz w:val="24"/>
          <w:szCs w:val="24"/>
        </w:rPr>
        <w:t xml:space="preserve"> mimo swojej wielorodzinnej formy</w:t>
      </w:r>
      <w:r w:rsidR="00F5382B" w:rsidRPr="000B1397">
        <w:rPr>
          <w:rFonts w:ascii="Times New Roman" w:hAnsi="Times New Roman"/>
          <w:color w:val="000000" w:themeColor="text1"/>
          <w:sz w:val="24"/>
          <w:szCs w:val="24"/>
        </w:rPr>
        <w:t>,</w:t>
      </w:r>
      <w:r w:rsidR="00D024AD" w:rsidRPr="000B1397">
        <w:rPr>
          <w:rFonts w:ascii="Times New Roman" w:hAnsi="Times New Roman"/>
          <w:color w:val="000000" w:themeColor="text1"/>
          <w:sz w:val="24"/>
          <w:szCs w:val="24"/>
        </w:rPr>
        <w:t xml:space="preserve"> były przy podziale środków traktowane jako jeden podmiot, co skutkowało </w:t>
      </w:r>
      <w:r w:rsidR="00CD23F3" w:rsidRPr="000B1397">
        <w:rPr>
          <w:rFonts w:ascii="Times New Roman" w:hAnsi="Times New Roman"/>
          <w:color w:val="000000" w:themeColor="text1"/>
          <w:sz w:val="24"/>
          <w:szCs w:val="24"/>
        </w:rPr>
        <w:t>obniżeniem kwoty przyznanych płatności</w:t>
      </w:r>
      <w:r w:rsidR="00D024AD" w:rsidRPr="000B1397">
        <w:rPr>
          <w:rFonts w:ascii="Times New Roman" w:hAnsi="Times New Roman"/>
          <w:color w:val="000000" w:themeColor="text1"/>
          <w:sz w:val="24"/>
          <w:szCs w:val="24"/>
        </w:rPr>
        <w:t>. W przeliczeniu na</w:t>
      </w:r>
      <w:r w:rsidR="005A3C9D" w:rsidRPr="000B1397">
        <w:rPr>
          <w:rFonts w:ascii="Times New Roman" w:hAnsi="Times New Roman"/>
          <w:color w:val="000000" w:themeColor="text1"/>
          <w:sz w:val="24"/>
          <w:szCs w:val="24"/>
        </w:rPr>
        <w:t xml:space="preserve"> 1 ha w</w:t>
      </w:r>
      <w:r w:rsidR="00D024AD" w:rsidRPr="000B1397">
        <w:rPr>
          <w:rFonts w:ascii="Times New Roman" w:hAnsi="Times New Roman"/>
          <w:color w:val="000000" w:themeColor="text1"/>
          <w:sz w:val="24"/>
          <w:szCs w:val="24"/>
        </w:rPr>
        <w:t xml:space="preserve"> </w:t>
      </w:r>
      <w:r w:rsidR="005A3C9D" w:rsidRPr="000B1397">
        <w:rPr>
          <w:rFonts w:ascii="Times New Roman" w:hAnsi="Times New Roman"/>
          <w:color w:val="000000" w:themeColor="text1"/>
          <w:sz w:val="24"/>
          <w:szCs w:val="24"/>
        </w:rPr>
        <w:t>RSP kwota dotacji wyniosła w 2014 r</w:t>
      </w:r>
      <w:r w:rsidR="00981E9E" w:rsidRPr="000B1397">
        <w:rPr>
          <w:rFonts w:ascii="Times New Roman" w:hAnsi="Times New Roman"/>
          <w:color w:val="000000" w:themeColor="text1"/>
          <w:sz w:val="24"/>
          <w:szCs w:val="24"/>
        </w:rPr>
        <w:t>.</w:t>
      </w:r>
      <w:r w:rsidR="005A3C9D" w:rsidRPr="000B1397">
        <w:rPr>
          <w:rFonts w:ascii="Times New Roman" w:hAnsi="Times New Roman"/>
          <w:color w:val="000000" w:themeColor="text1"/>
          <w:sz w:val="24"/>
          <w:szCs w:val="24"/>
        </w:rPr>
        <w:t xml:space="preserve"> 1</w:t>
      </w:r>
      <w:r w:rsidR="00981E9E" w:rsidRPr="000B1397">
        <w:rPr>
          <w:rFonts w:ascii="Times New Roman" w:hAnsi="Times New Roman"/>
          <w:color w:val="000000" w:themeColor="text1"/>
          <w:sz w:val="24"/>
          <w:szCs w:val="24"/>
        </w:rPr>
        <w:t>.</w:t>
      </w:r>
      <w:r w:rsidR="005A3C9D" w:rsidRPr="000B1397">
        <w:rPr>
          <w:rFonts w:ascii="Times New Roman" w:hAnsi="Times New Roman"/>
          <w:color w:val="000000" w:themeColor="text1"/>
          <w:sz w:val="24"/>
          <w:szCs w:val="24"/>
        </w:rPr>
        <w:t>14</w:t>
      </w:r>
      <w:r w:rsidR="00CD23F3" w:rsidRPr="000B1397">
        <w:rPr>
          <w:rFonts w:ascii="Times New Roman" w:hAnsi="Times New Roman"/>
          <w:color w:val="000000" w:themeColor="text1"/>
          <w:sz w:val="24"/>
          <w:szCs w:val="24"/>
        </w:rPr>
        <w:t>6</w:t>
      </w:r>
      <w:r w:rsidR="005A3C9D" w:rsidRPr="000B1397">
        <w:rPr>
          <w:rFonts w:ascii="Times New Roman" w:hAnsi="Times New Roman"/>
          <w:color w:val="000000" w:themeColor="text1"/>
          <w:sz w:val="24"/>
          <w:szCs w:val="24"/>
        </w:rPr>
        <w:t xml:space="preserve"> zł, podczas gdy w 2015</w:t>
      </w:r>
      <w:r w:rsidR="00981E9E" w:rsidRPr="000B1397">
        <w:rPr>
          <w:rFonts w:ascii="Times New Roman" w:hAnsi="Times New Roman"/>
          <w:color w:val="000000" w:themeColor="text1"/>
          <w:sz w:val="24"/>
          <w:szCs w:val="24"/>
        </w:rPr>
        <w:t xml:space="preserve"> r.</w:t>
      </w:r>
      <w:r w:rsidR="005A3C9D" w:rsidRPr="000B1397">
        <w:rPr>
          <w:rFonts w:ascii="Times New Roman" w:hAnsi="Times New Roman"/>
          <w:color w:val="000000" w:themeColor="text1"/>
          <w:sz w:val="24"/>
          <w:szCs w:val="24"/>
        </w:rPr>
        <w:t xml:space="preserve"> już tylko 97</w:t>
      </w:r>
      <w:r w:rsidR="00CD23F3" w:rsidRPr="000B1397">
        <w:rPr>
          <w:rFonts w:ascii="Times New Roman" w:hAnsi="Times New Roman"/>
          <w:color w:val="000000" w:themeColor="text1"/>
          <w:sz w:val="24"/>
          <w:szCs w:val="24"/>
        </w:rPr>
        <w:t>5</w:t>
      </w:r>
      <w:r w:rsidR="005A3C9D" w:rsidRPr="000B1397">
        <w:rPr>
          <w:rFonts w:ascii="Times New Roman" w:hAnsi="Times New Roman"/>
          <w:color w:val="000000" w:themeColor="text1"/>
          <w:sz w:val="24"/>
          <w:szCs w:val="24"/>
        </w:rPr>
        <w:t xml:space="preserve"> zł</w:t>
      </w:r>
      <w:r w:rsidR="00CD23F3" w:rsidRPr="000B1397">
        <w:rPr>
          <w:rFonts w:ascii="Times New Roman" w:hAnsi="Times New Roman"/>
          <w:color w:val="000000" w:themeColor="text1"/>
          <w:sz w:val="24"/>
          <w:szCs w:val="24"/>
        </w:rPr>
        <w:t>, a w 2016 r. 946 zł.</w:t>
      </w:r>
      <w:r w:rsidR="0040198D" w:rsidRPr="000B1397">
        <w:rPr>
          <w:rFonts w:ascii="Times New Roman" w:hAnsi="Times New Roman"/>
          <w:color w:val="000000" w:themeColor="text1"/>
          <w:sz w:val="24"/>
          <w:szCs w:val="24"/>
        </w:rPr>
        <w:t xml:space="preserve"> </w:t>
      </w:r>
      <w:r w:rsidR="00170199" w:rsidRPr="000B1397">
        <w:rPr>
          <w:rFonts w:ascii="Times New Roman" w:hAnsi="Times New Roman"/>
          <w:color w:val="000000" w:themeColor="text1"/>
          <w:sz w:val="24"/>
          <w:szCs w:val="24"/>
        </w:rPr>
        <w:t xml:space="preserve">Mimo niższych </w:t>
      </w:r>
      <w:r w:rsidR="000E7189" w:rsidRPr="000B1397">
        <w:rPr>
          <w:rFonts w:ascii="Times New Roman" w:hAnsi="Times New Roman"/>
          <w:color w:val="000000" w:themeColor="text1"/>
          <w:sz w:val="24"/>
          <w:szCs w:val="24"/>
        </w:rPr>
        <w:t>przychodów ze sprzedaży</w:t>
      </w:r>
      <w:r w:rsidR="00836019" w:rsidRPr="000B1397">
        <w:rPr>
          <w:rFonts w:ascii="Times New Roman" w:hAnsi="Times New Roman"/>
          <w:color w:val="000000" w:themeColor="text1"/>
          <w:sz w:val="24"/>
          <w:szCs w:val="24"/>
        </w:rPr>
        <w:t xml:space="preserve"> w spółdzielniach </w:t>
      </w:r>
      <w:r w:rsidR="00CD23F3" w:rsidRPr="000B1397">
        <w:rPr>
          <w:rFonts w:ascii="Times New Roman" w:hAnsi="Times New Roman"/>
          <w:color w:val="000000" w:themeColor="text1"/>
          <w:sz w:val="24"/>
          <w:szCs w:val="24"/>
        </w:rPr>
        <w:t>w</w:t>
      </w:r>
      <w:r w:rsidR="000E7189" w:rsidRPr="000B1397">
        <w:rPr>
          <w:rFonts w:ascii="Times New Roman" w:hAnsi="Times New Roman"/>
          <w:color w:val="000000" w:themeColor="text1"/>
          <w:sz w:val="24"/>
          <w:szCs w:val="24"/>
        </w:rPr>
        <w:t xml:space="preserve"> ciągu</w:t>
      </w:r>
      <w:r w:rsidR="005D6D49" w:rsidRPr="000B1397">
        <w:rPr>
          <w:rFonts w:ascii="Times New Roman" w:hAnsi="Times New Roman"/>
          <w:color w:val="000000" w:themeColor="text1"/>
          <w:sz w:val="24"/>
          <w:szCs w:val="24"/>
        </w:rPr>
        <w:t xml:space="preserve"> ostatnich dwóch lat</w:t>
      </w:r>
      <w:r w:rsidR="00170199" w:rsidRPr="000B1397">
        <w:rPr>
          <w:rFonts w:ascii="Times New Roman" w:hAnsi="Times New Roman"/>
          <w:color w:val="000000" w:themeColor="text1"/>
          <w:sz w:val="24"/>
          <w:szCs w:val="24"/>
        </w:rPr>
        <w:t>, na skutek tych zmian w systemie płatności bezpośrednich</w:t>
      </w:r>
      <w:r w:rsidR="00E30516" w:rsidRPr="000B1397">
        <w:rPr>
          <w:rFonts w:ascii="Times New Roman" w:hAnsi="Times New Roman"/>
          <w:color w:val="000000" w:themeColor="text1"/>
          <w:sz w:val="24"/>
          <w:szCs w:val="24"/>
        </w:rPr>
        <w:t>,</w:t>
      </w:r>
      <w:r w:rsidR="00170199" w:rsidRPr="000B1397">
        <w:rPr>
          <w:rFonts w:ascii="Times New Roman" w:hAnsi="Times New Roman"/>
          <w:color w:val="000000" w:themeColor="text1"/>
          <w:sz w:val="24"/>
          <w:szCs w:val="24"/>
        </w:rPr>
        <w:t xml:space="preserve"> udział dotacji w dochodach spółdzielni spadł o 4%.</w:t>
      </w:r>
    </w:p>
    <w:p w:rsidR="000D328C" w:rsidRDefault="004528AF" w:rsidP="00EA7CA9">
      <w:pPr>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t>Obniżenie dochodowości sprawiło, iż r</w:t>
      </w:r>
      <w:r w:rsidR="000D6CB2" w:rsidRPr="000B1397">
        <w:rPr>
          <w:rFonts w:ascii="Times New Roman" w:hAnsi="Times New Roman"/>
          <w:color w:val="000000" w:themeColor="text1"/>
          <w:sz w:val="24"/>
          <w:szCs w:val="24"/>
        </w:rPr>
        <w:t>ok 201</w:t>
      </w:r>
      <w:r w:rsidRPr="000B1397">
        <w:rPr>
          <w:rFonts w:ascii="Times New Roman" w:hAnsi="Times New Roman"/>
          <w:color w:val="000000" w:themeColor="text1"/>
          <w:sz w:val="24"/>
          <w:szCs w:val="24"/>
        </w:rPr>
        <w:t>6</w:t>
      </w:r>
      <w:r w:rsidR="000D6CB2" w:rsidRPr="000B1397">
        <w:rPr>
          <w:rFonts w:ascii="Times New Roman" w:hAnsi="Times New Roman"/>
          <w:color w:val="000000" w:themeColor="text1"/>
          <w:sz w:val="24"/>
          <w:szCs w:val="24"/>
        </w:rPr>
        <w:t xml:space="preserve"> był kolejnym</w:t>
      </w:r>
      <w:r w:rsidR="00F5382B" w:rsidRPr="000B1397">
        <w:rPr>
          <w:rFonts w:ascii="Times New Roman" w:hAnsi="Times New Roman"/>
          <w:color w:val="000000" w:themeColor="text1"/>
          <w:sz w:val="24"/>
          <w:szCs w:val="24"/>
        </w:rPr>
        <w:t>,</w:t>
      </w:r>
      <w:r w:rsidR="000D6CB2" w:rsidRPr="000B1397">
        <w:rPr>
          <w:rFonts w:ascii="Times New Roman" w:hAnsi="Times New Roman"/>
          <w:color w:val="000000" w:themeColor="text1"/>
          <w:sz w:val="24"/>
          <w:szCs w:val="24"/>
        </w:rPr>
        <w:t xml:space="preserve"> kiedy</w:t>
      </w:r>
      <w:r w:rsidR="000E44CE" w:rsidRPr="000B1397">
        <w:rPr>
          <w:rFonts w:ascii="Times New Roman" w:hAnsi="Times New Roman"/>
          <w:color w:val="000000" w:themeColor="text1"/>
          <w:sz w:val="24"/>
          <w:szCs w:val="24"/>
        </w:rPr>
        <w:t xml:space="preserve"> </w:t>
      </w:r>
      <w:r w:rsidR="000D6CB2" w:rsidRPr="000B1397">
        <w:rPr>
          <w:rFonts w:ascii="Times New Roman" w:hAnsi="Times New Roman"/>
          <w:color w:val="000000" w:themeColor="text1"/>
          <w:sz w:val="24"/>
          <w:szCs w:val="24"/>
        </w:rPr>
        <w:t>spółdzielnie ograniczały</w:t>
      </w:r>
      <w:r w:rsidR="000E44CE" w:rsidRPr="000B1397">
        <w:rPr>
          <w:rFonts w:ascii="Times New Roman" w:hAnsi="Times New Roman"/>
          <w:color w:val="000000" w:themeColor="text1"/>
          <w:sz w:val="24"/>
          <w:szCs w:val="24"/>
        </w:rPr>
        <w:t xml:space="preserve"> zatrudnienie</w:t>
      </w:r>
      <w:r w:rsidR="005D6D49" w:rsidRPr="000B1397">
        <w:rPr>
          <w:rFonts w:ascii="Times New Roman" w:hAnsi="Times New Roman"/>
          <w:color w:val="000000" w:themeColor="text1"/>
          <w:sz w:val="24"/>
          <w:szCs w:val="24"/>
        </w:rPr>
        <w:t>.</w:t>
      </w:r>
      <w:r w:rsidR="000E44CE" w:rsidRPr="000B1397">
        <w:rPr>
          <w:rFonts w:ascii="Times New Roman" w:hAnsi="Times New Roman"/>
          <w:color w:val="000000" w:themeColor="text1"/>
          <w:sz w:val="24"/>
          <w:szCs w:val="24"/>
        </w:rPr>
        <w:t xml:space="preserve"> </w:t>
      </w:r>
      <w:r w:rsidR="005D6D49" w:rsidRPr="000B1397">
        <w:rPr>
          <w:rFonts w:ascii="Times New Roman" w:hAnsi="Times New Roman"/>
          <w:color w:val="000000" w:themeColor="text1"/>
          <w:sz w:val="24"/>
          <w:szCs w:val="24"/>
        </w:rPr>
        <w:t>W</w:t>
      </w:r>
      <w:r w:rsidR="000D6CB2" w:rsidRPr="000B1397">
        <w:rPr>
          <w:rFonts w:ascii="Times New Roman" w:hAnsi="Times New Roman"/>
          <w:color w:val="000000" w:themeColor="text1"/>
          <w:sz w:val="24"/>
          <w:szCs w:val="24"/>
        </w:rPr>
        <w:t xml:space="preserve"> latach 201</w:t>
      </w:r>
      <w:r w:rsidRPr="000B1397">
        <w:rPr>
          <w:rFonts w:ascii="Times New Roman" w:hAnsi="Times New Roman"/>
          <w:color w:val="000000" w:themeColor="text1"/>
          <w:sz w:val="24"/>
          <w:szCs w:val="24"/>
        </w:rPr>
        <w:t>4</w:t>
      </w:r>
      <w:r w:rsidR="000D6CB2" w:rsidRPr="000B1397">
        <w:rPr>
          <w:rFonts w:ascii="Times New Roman" w:hAnsi="Times New Roman"/>
          <w:color w:val="000000" w:themeColor="text1"/>
          <w:sz w:val="24"/>
          <w:szCs w:val="24"/>
        </w:rPr>
        <w:t>-201</w:t>
      </w:r>
      <w:r w:rsidRPr="000B1397">
        <w:rPr>
          <w:rFonts w:ascii="Times New Roman" w:hAnsi="Times New Roman"/>
          <w:color w:val="000000" w:themeColor="text1"/>
          <w:sz w:val="24"/>
          <w:szCs w:val="24"/>
        </w:rPr>
        <w:t>6</w:t>
      </w:r>
      <w:r w:rsidR="000D6CB2" w:rsidRPr="000B1397">
        <w:rPr>
          <w:rFonts w:ascii="Times New Roman" w:hAnsi="Times New Roman"/>
          <w:color w:val="000000" w:themeColor="text1"/>
          <w:sz w:val="24"/>
          <w:szCs w:val="24"/>
        </w:rPr>
        <w:t xml:space="preserve"> </w:t>
      </w:r>
      <w:r w:rsidR="000E44CE" w:rsidRPr="000B1397">
        <w:rPr>
          <w:rFonts w:ascii="Times New Roman" w:hAnsi="Times New Roman"/>
          <w:color w:val="000000" w:themeColor="text1"/>
          <w:sz w:val="24"/>
          <w:szCs w:val="24"/>
        </w:rPr>
        <w:t xml:space="preserve">przeciętnie </w:t>
      </w:r>
      <w:r w:rsidR="0040198D" w:rsidRPr="000B1397">
        <w:rPr>
          <w:rFonts w:ascii="Times New Roman" w:hAnsi="Times New Roman"/>
          <w:color w:val="000000" w:themeColor="text1"/>
          <w:sz w:val="24"/>
          <w:szCs w:val="24"/>
        </w:rPr>
        <w:t xml:space="preserve">w </w:t>
      </w:r>
      <w:r w:rsidR="000E44CE" w:rsidRPr="000B1397">
        <w:rPr>
          <w:rFonts w:ascii="Times New Roman" w:hAnsi="Times New Roman"/>
          <w:color w:val="000000" w:themeColor="text1"/>
          <w:sz w:val="24"/>
          <w:szCs w:val="24"/>
        </w:rPr>
        <w:t>spółdzielni</w:t>
      </w:r>
      <w:r w:rsidRPr="000B1397">
        <w:rPr>
          <w:rFonts w:ascii="Times New Roman" w:hAnsi="Times New Roman"/>
          <w:color w:val="000000" w:themeColor="text1"/>
          <w:sz w:val="24"/>
          <w:szCs w:val="24"/>
        </w:rPr>
        <w:t xml:space="preserve"> zmniejszono stan załogi o </w:t>
      </w:r>
      <w:r w:rsidR="00E30516" w:rsidRPr="000B1397">
        <w:rPr>
          <w:rFonts w:ascii="Times New Roman" w:hAnsi="Times New Roman"/>
          <w:color w:val="000000" w:themeColor="text1"/>
          <w:sz w:val="24"/>
          <w:szCs w:val="24"/>
        </w:rPr>
        <w:t>jedną</w:t>
      </w:r>
      <w:r w:rsidRPr="000B1397">
        <w:rPr>
          <w:rFonts w:ascii="Times New Roman" w:hAnsi="Times New Roman"/>
          <w:color w:val="000000" w:themeColor="text1"/>
          <w:sz w:val="24"/>
          <w:szCs w:val="24"/>
        </w:rPr>
        <w:t xml:space="preserve"> osobę</w:t>
      </w:r>
      <w:r w:rsidR="000D6CB2" w:rsidRPr="000B1397">
        <w:rPr>
          <w:rFonts w:ascii="Times New Roman" w:hAnsi="Times New Roman"/>
          <w:color w:val="000000" w:themeColor="text1"/>
          <w:sz w:val="24"/>
          <w:szCs w:val="24"/>
        </w:rPr>
        <w:t>, co</w:t>
      </w:r>
      <w:r w:rsidR="000E44CE" w:rsidRPr="000B1397">
        <w:rPr>
          <w:rFonts w:ascii="Times New Roman" w:hAnsi="Times New Roman"/>
          <w:color w:val="000000" w:themeColor="text1"/>
          <w:sz w:val="24"/>
          <w:szCs w:val="24"/>
        </w:rPr>
        <w:t xml:space="preserve"> </w:t>
      </w:r>
      <w:r w:rsidR="000D6CB2" w:rsidRPr="000B1397">
        <w:rPr>
          <w:rFonts w:ascii="Times New Roman" w:hAnsi="Times New Roman"/>
          <w:color w:val="000000" w:themeColor="text1"/>
          <w:sz w:val="24"/>
          <w:szCs w:val="24"/>
        </w:rPr>
        <w:t>w</w:t>
      </w:r>
      <w:r w:rsidR="00952A31" w:rsidRPr="000B1397">
        <w:rPr>
          <w:rFonts w:ascii="Times New Roman" w:hAnsi="Times New Roman"/>
          <w:color w:val="000000" w:themeColor="text1"/>
          <w:sz w:val="24"/>
          <w:szCs w:val="24"/>
        </w:rPr>
        <w:t xml:space="preserve"> przeliczeniu na 100 </w:t>
      </w:r>
      <w:r w:rsidR="0040198D" w:rsidRPr="000B1397">
        <w:rPr>
          <w:rFonts w:ascii="Times New Roman" w:hAnsi="Times New Roman"/>
          <w:color w:val="000000" w:themeColor="text1"/>
          <w:sz w:val="24"/>
          <w:szCs w:val="24"/>
        </w:rPr>
        <w:t xml:space="preserve">ha </w:t>
      </w:r>
      <w:r w:rsidR="00952A31" w:rsidRPr="000B1397">
        <w:rPr>
          <w:rFonts w:ascii="Times New Roman" w:hAnsi="Times New Roman"/>
          <w:color w:val="000000" w:themeColor="text1"/>
          <w:sz w:val="24"/>
          <w:szCs w:val="24"/>
        </w:rPr>
        <w:t xml:space="preserve">użytków rolnych </w:t>
      </w:r>
      <w:r w:rsidR="000D6CB2" w:rsidRPr="000B1397">
        <w:rPr>
          <w:rFonts w:ascii="Times New Roman" w:hAnsi="Times New Roman"/>
          <w:color w:val="000000" w:themeColor="text1"/>
          <w:sz w:val="24"/>
          <w:szCs w:val="24"/>
        </w:rPr>
        <w:t>sp</w:t>
      </w:r>
      <w:r w:rsidR="0040198D" w:rsidRPr="000B1397">
        <w:rPr>
          <w:rFonts w:ascii="Times New Roman" w:hAnsi="Times New Roman"/>
          <w:color w:val="000000" w:themeColor="text1"/>
          <w:sz w:val="24"/>
          <w:szCs w:val="24"/>
        </w:rPr>
        <w:t xml:space="preserve">owodowało obniżenie </w:t>
      </w:r>
      <w:r w:rsidR="000E7189" w:rsidRPr="000B1397">
        <w:rPr>
          <w:rFonts w:ascii="Times New Roman" w:hAnsi="Times New Roman"/>
          <w:color w:val="000000" w:themeColor="text1"/>
          <w:sz w:val="24"/>
          <w:szCs w:val="24"/>
        </w:rPr>
        <w:t xml:space="preserve">tego </w:t>
      </w:r>
      <w:r w:rsidR="0040198D" w:rsidRPr="000B1397">
        <w:rPr>
          <w:rFonts w:ascii="Times New Roman" w:hAnsi="Times New Roman"/>
          <w:color w:val="000000" w:themeColor="text1"/>
          <w:sz w:val="24"/>
          <w:szCs w:val="24"/>
        </w:rPr>
        <w:t>wskaźnika o</w:t>
      </w:r>
      <w:r w:rsidR="000D6CB2" w:rsidRPr="000B1397">
        <w:rPr>
          <w:rFonts w:ascii="Times New Roman" w:hAnsi="Times New Roman"/>
          <w:color w:val="000000" w:themeColor="text1"/>
          <w:sz w:val="24"/>
          <w:szCs w:val="24"/>
        </w:rPr>
        <w:t xml:space="preserve"> </w:t>
      </w:r>
      <w:r w:rsidRPr="000B1397">
        <w:rPr>
          <w:rFonts w:ascii="Times New Roman" w:hAnsi="Times New Roman"/>
          <w:color w:val="000000" w:themeColor="text1"/>
          <w:sz w:val="24"/>
          <w:szCs w:val="24"/>
        </w:rPr>
        <w:t>5</w:t>
      </w:r>
      <w:r w:rsidR="00272C55" w:rsidRPr="000B1397">
        <w:rPr>
          <w:rFonts w:ascii="Times New Roman" w:hAnsi="Times New Roman"/>
          <w:color w:val="000000" w:themeColor="text1"/>
          <w:sz w:val="24"/>
          <w:szCs w:val="24"/>
        </w:rPr>
        <w:t>%</w:t>
      </w:r>
      <w:r w:rsidR="0040198D" w:rsidRPr="000B1397">
        <w:rPr>
          <w:rFonts w:ascii="Times New Roman" w:hAnsi="Times New Roman"/>
          <w:color w:val="000000" w:themeColor="text1"/>
          <w:sz w:val="24"/>
          <w:szCs w:val="24"/>
        </w:rPr>
        <w:t xml:space="preserve">. </w:t>
      </w:r>
      <w:r w:rsidR="00F1268D" w:rsidRPr="000B1397">
        <w:rPr>
          <w:rFonts w:ascii="Times New Roman" w:hAnsi="Times New Roman"/>
          <w:color w:val="000000" w:themeColor="text1"/>
          <w:sz w:val="24"/>
          <w:szCs w:val="24"/>
        </w:rPr>
        <w:t xml:space="preserve">Ograniczenie zatrudnienia spowodowane obniżeniem dochodowości było jednak zbyt małe, gdyż w dalszym ciągu w spółdzielniach </w:t>
      </w:r>
      <w:r w:rsidR="000E7189" w:rsidRPr="000B1397">
        <w:rPr>
          <w:rFonts w:ascii="Times New Roman" w:hAnsi="Times New Roman"/>
          <w:color w:val="000000" w:themeColor="text1"/>
          <w:sz w:val="24"/>
          <w:szCs w:val="24"/>
        </w:rPr>
        <w:t>obniżała się</w:t>
      </w:r>
      <w:r w:rsidR="00F1268D" w:rsidRPr="000B1397">
        <w:rPr>
          <w:rFonts w:ascii="Times New Roman" w:hAnsi="Times New Roman"/>
          <w:color w:val="000000" w:themeColor="text1"/>
          <w:sz w:val="24"/>
          <w:szCs w:val="24"/>
        </w:rPr>
        <w:t xml:space="preserve"> wydajność pracy.</w:t>
      </w:r>
      <w:r w:rsidR="00952A31" w:rsidRPr="000B1397">
        <w:rPr>
          <w:rFonts w:ascii="Times New Roman" w:hAnsi="Times New Roman"/>
          <w:color w:val="000000" w:themeColor="text1"/>
          <w:sz w:val="24"/>
          <w:szCs w:val="24"/>
        </w:rPr>
        <w:t xml:space="preserve"> </w:t>
      </w:r>
      <w:r w:rsidR="000E7189" w:rsidRPr="000B1397">
        <w:rPr>
          <w:rFonts w:ascii="Times New Roman" w:hAnsi="Times New Roman"/>
          <w:color w:val="000000" w:themeColor="text1"/>
          <w:sz w:val="24"/>
          <w:szCs w:val="24"/>
        </w:rPr>
        <w:t>Wydajność mierzona w</w:t>
      </w:r>
      <w:r w:rsidR="00877F73" w:rsidRPr="000B1397">
        <w:rPr>
          <w:rFonts w:ascii="Times New Roman" w:hAnsi="Times New Roman"/>
          <w:color w:val="000000" w:themeColor="text1"/>
          <w:sz w:val="24"/>
          <w:szCs w:val="24"/>
        </w:rPr>
        <w:t>artością dodan</w:t>
      </w:r>
      <w:r w:rsidR="005D6D49" w:rsidRPr="000B1397">
        <w:rPr>
          <w:rFonts w:ascii="Times New Roman" w:hAnsi="Times New Roman"/>
          <w:color w:val="000000" w:themeColor="text1"/>
          <w:sz w:val="24"/>
          <w:szCs w:val="24"/>
        </w:rPr>
        <w:t>ą</w:t>
      </w:r>
      <w:r w:rsidR="00877F73" w:rsidRPr="000B1397">
        <w:rPr>
          <w:rFonts w:ascii="Times New Roman" w:hAnsi="Times New Roman"/>
          <w:color w:val="000000" w:themeColor="text1"/>
          <w:sz w:val="24"/>
          <w:szCs w:val="24"/>
        </w:rPr>
        <w:t xml:space="preserve"> na osobę zatrudnioną</w:t>
      </w:r>
      <w:r w:rsidR="000B32D8" w:rsidRPr="000B1397">
        <w:rPr>
          <w:rFonts w:ascii="Times New Roman" w:hAnsi="Times New Roman"/>
          <w:color w:val="000000" w:themeColor="text1"/>
          <w:sz w:val="24"/>
          <w:szCs w:val="24"/>
        </w:rPr>
        <w:t xml:space="preserve"> </w:t>
      </w:r>
      <w:r w:rsidR="00F1268D" w:rsidRPr="000B1397">
        <w:rPr>
          <w:rFonts w:ascii="Times New Roman" w:hAnsi="Times New Roman"/>
          <w:color w:val="000000" w:themeColor="text1"/>
          <w:sz w:val="24"/>
          <w:szCs w:val="24"/>
        </w:rPr>
        <w:t>obniżyła się</w:t>
      </w:r>
      <w:r w:rsidR="003C602C" w:rsidRPr="000B1397">
        <w:rPr>
          <w:rFonts w:ascii="Times New Roman" w:hAnsi="Times New Roman"/>
          <w:color w:val="000000" w:themeColor="text1"/>
          <w:sz w:val="24"/>
          <w:szCs w:val="24"/>
        </w:rPr>
        <w:t xml:space="preserve"> w </w:t>
      </w:r>
      <w:r w:rsidR="007A0B1B" w:rsidRPr="000B1397">
        <w:rPr>
          <w:rFonts w:ascii="Times New Roman" w:hAnsi="Times New Roman"/>
          <w:color w:val="000000" w:themeColor="text1"/>
          <w:sz w:val="24"/>
          <w:szCs w:val="24"/>
        </w:rPr>
        <w:t xml:space="preserve">relacji </w:t>
      </w:r>
      <w:r w:rsidR="00F1268D" w:rsidRPr="000B1397">
        <w:rPr>
          <w:rFonts w:ascii="Times New Roman" w:hAnsi="Times New Roman"/>
          <w:color w:val="000000" w:themeColor="text1"/>
          <w:sz w:val="24"/>
          <w:szCs w:val="24"/>
        </w:rPr>
        <w:t xml:space="preserve">2014 </w:t>
      </w:r>
      <w:r w:rsidR="007A0B1B" w:rsidRPr="000B1397">
        <w:rPr>
          <w:rFonts w:ascii="Times New Roman" w:hAnsi="Times New Roman"/>
          <w:color w:val="000000" w:themeColor="text1"/>
          <w:sz w:val="24"/>
          <w:szCs w:val="24"/>
        </w:rPr>
        <w:t xml:space="preserve">roku o </w:t>
      </w:r>
      <w:r w:rsidR="00F1268D" w:rsidRPr="000B1397">
        <w:rPr>
          <w:rFonts w:ascii="Times New Roman" w:hAnsi="Times New Roman"/>
          <w:color w:val="000000" w:themeColor="text1"/>
          <w:sz w:val="24"/>
          <w:szCs w:val="24"/>
        </w:rPr>
        <w:t>10</w:t>
      </w:r>
      <w:r w:rsidR="009E1F23" w:rsidRPr="000B1397">
        <w:rPr>
          <w:rFonts w:ascii="Times New Roman" w:hAnsi="Times New Roman"/>
          <w:color w:val="000000" w:themeColor="text1"/>
          <w:sz w:val="24"/>
          <w:szCs w:val="24"/>
        </w:rPr>
        <w:t>%</w:t>
      </w:r>
      <w:r w:rsidR="000B32D8" w:rsidRPr="000B1397">
        <w:rPr>
          <w:rFonts w:ascii="Times New Roman" w:hAnsi="Times New Roman"/>
          <w:color w:val="000000" w:themeColor="text1"/>
          <w:sz w:val="24"/>
          <w:szCs w:val="24"/>
        </w:rPr>
        <w:t xml:space="preserve"> </w:t>
      </w:r>
      <w:r w:rsidR="007A0B1B" w:rsidRPr="000B1397">
        <w:rPr>
          <w:rFonts w:ascii="Times New Roman" w:hAnsi="Times New Roman"/>
          <w:color w:val="000000" w:themeColor="text1"/>
          <w:sz w:val="24"/>
          <w:szCs w:val="24"/>
        </w:rPr>
        <w:t>i była zbliżona do poziomu</w:t>
      </w:r>
      <w:r w:rsidR="00981E9E" w:rsidRPr="000B1397">
        <w:rPr>
          <w:rFonts w:ascii="Times New Roman" w:hAnsi="Times New Roman"/>
          <w:color w:val="000000" w:themeColor="text1"/>
          <w:sz w:val="24"/>
          <w:szCs w:val="24"/>
        </w:rPr>
        <w:t xml:space="preserve"> z 2015 r</w:t>
      </w:r>
      <w:r w:rsidR="003C602C" w:rsidRPr="000B1397">
        <w:rPr>
          <w:rFonts w:ascii="Times New Roman" w:hAnsi="Times New Roman"/>
          <w:color w:val="000000" w:themeColor="text1"/>
          <w:sz w:val="24"/>
          <w:szCs w:val="24"/>
        </w:rPr>
        <w:t>.</w:t>
      </w:r>
      <w:r w:rsidR="000B32D8" w:rsidRPr="000B1397">
        <w:rPr>
          <w:rFonts w:ascii="Times New Roman" w:hAnsi="Times New Roman"/>
          <w:color w:val="000000" w:themeColor="text1"/>
          <w:sz w:val="24"/>
          <w:szCs w:val="24"/>
        </w:rPr>
        <w:t xml:space="preserve"> </w:t>
      </w:r>
      <w:r w:rsidR="00F1268D" w:rsidRPr="000B1397">
        <w:rPr>
          <w:rFonts w:ascii="Times New Roman" w:hAnsi="Times New Roman"/>
          <w:color w:val="000000" w:themeColor="text1"/>
          <w:sz w:val="24"/>
          <w:szCs w:val="24"/>
        </w:rPr>
        <w:t xml:space="preserve">Bardziej widoczne </w:t>
      </w:r>
      <w:r w:rsidR="00113899" w:rsidRPr="000B1397">
        <w:rPr>
          <w:rFonts w:ascii="Times New Roman" w:hAnsi="Times New Roman"/>
          <w:color w:val="000000" w:themeColor="text1"/>
          <w:sz w:val="24"/>
          <w:szCs w:val="24"/>
        </w:rPr>
        <w:t>były</w:t>
      </w:r>
      <w:r w:rsidR="00150C65" w:rsidRPr="000B1397">
        <w:rPr>
          <w:rFonts w:ascii="Times New Roman" w:hAnsi="Times New Roman"/>
          <w:color w:val="000000" w:themeColor="text1"/>
          <w:sz w:val="24"/>
          <w:szCs w:val="24"/>
        </w:rPr>
        <w:t xml:space="preserve"> zmiany</w:t>
      </w:r>
      <w:r w:rsidR="00261B08" w:rsidRPr="000B1397">
        <w:rPr>
          <w:rFonts w:ascii="Times New Roman" w:hAnsi="Times New Roman"/>
          <w:color w:val="000000" w:themeColor="text1"/>
          <w:sz w:val="24"/>
          <w:szCs w:val="24"/>
        </w:rPr>
        <w:t xml:space="preserve"> w</w:t>
      </w:r>
      <w:r w:rsidR="00150C65" w:rsidRPr="000B1397">
        <w:rPr>
          <w:rFonts w:ascii="Times New Roman" w:hAnsi="Times New Roman"/>
          <w:color w:val="000000" w:themeColor="text1"/>
          <w:sz w:val="24"/>
          <w:szCs w:val="24"/>
        </w:rPr>
        <w:t xml:space="preserve"> dochodowości pracy</w:t>
      </w:r>
      <w:r w:rsidR="00877F73" w:rsidRPr="000B1397">
        <w:rPr>
          <w:rFonts w:ascii="Times New Roman" w:hAnsi="Times New Roman"/>
          <w:color w:val="000000" w:themeColor="text1"/>
          <w:sz w:val="24"/>
          <w:szCs w:val="24"/>
        </w:rPr>
        <w:t>,</w:t>
      </w:r>
      <w:r w:rsidR="003C602C" w:rsidRPr="000B1397">
        <w:rPr>
          <w:rFonts w:ascii="Times New Roman" w:hAnsi="Times New Roman"/>
          <w:color w:val="000000" w:themeColor="text1"/>
          <w:sz w:val="24"/>
          <w:szCs w:val="24"/>
        </w:rPr>
        <w:t xml:space="preserve"> gdzie dochód przeliczany na członka spółdzielni </w:t>
      </w:r>
      <w:r w:rsidR="00113899" w:rsidRPr="000B1397">
        <w:rPr>
          <w:rFonts w:ascii="Times New Roman" w:hAnsi="Times New Roman"/>
          <w:color w:val="000000" w:themeColor="text1"/>
          <w:sz w:val="24"/>
          <w:szCs w:val="24"/>
        </w:rPr>
        <w:t>zmalał</w:t>
      </w:r>
      <w:r w:rsidR="003C602C" w:rsidRPr="000B1397">
        <w:rPr>
          <w:rFonts w:ascii="Times New Roman" w:hAnsi="Times New Roman"/>
          <w:color w:val="000000" w:themeColor="text1"/>
          <w:sz w:val="24"/>
          <w:szCs w:val="24"/>
        </w:rPr>
        <w:t xml:space="preserve"> do </w:t>
      </w:r>
      <w:r w:rsidR="00113899" w:rsidRPr="000B1397">
        <w:rPr>
          <w:rFonts w:ascii="Times New Roman" w:hAnsi="Times New Roman"/>
          <w:color w:val="000000" w:themeColor="text1"/>
          <w:sz w:val="24"/>
          <w:szCs w:val="24"/>
        </w:rPr>
        <w:t>4</w:t>
      </w:r>
      <w:r w:rsidR="00261B08" w:rsidRPr="000B1397">
        <w:rPr>
          <w:rFonts w:ascii="Times New Roman" w:hAnsi="Times New Roman"/>
          <w:color w:val="000000" w:themeColor="text1"/>
          <w:sz w:val="24"/>
          <w:szCs w:val="24"/>
        </w:rPr>
        <w:t>9</w:t>
      </w:r>
      <w:r w:rsidR="00113899" w:rsidRPr="000B1397">
        <w:rPr>
          <w:rFonts w:ascii="Times New Roman" w:hAnsi="Times New Roman"/>
          <w:color w:val="000000" w:themeColor="text1"/>
          <w:sz w:val="24"/>
          <w:szCs w:val="24"/>
        </w:rPr>
        <w:t>,</w:t>
      </w:r>
      <w:r w:rsidR="00261B08" w:rsidRPr="000B1397">
        <w:rPr>
          <w:rFonts w:ascii="Times New Roman" w:hAnsi="Times New Roman"/>
          <w:color w:val="000000" w:themeColor="text1"/>
          <w:sz w:val="24"/>
          <w:szCs w:val="24"/>
        </w:rPr>
        <w:t>2</w:t>
      </w:r>
      <w:r w:rsidR="0034491F" w:rsidRPr="000B1397">
        <w:rPr>
          <w:rFonts w:ascii="Times New Roman" w:hAnsi="Times New Roman"/>
          <w:color w:val="000000" w:themeColor="text1"/>
          <w:sz w:val="24"/>
          <w:szCs w:val="24"/>
        </w:rPr>
        <w:t xml:space="preserve"> </w:t>
      </w:r>
      <w:r w:rsidR="003C602C" w:rsidRPr="000B1397">
        <w:rPr>
          <w:rFonts w:ascii="Times New Roman" w:hAnsi="Times New Roman"/>
          <w:color w:val="000000" w:themeColor="text1"/>
          <w:sz w:val="24"/>
          <w:szCs w:val="24"/>
        </w:rPr>
        <w:t xml:space="preserve">tys. zł </w:t>
      </w:r>
      <w:r w:rsidR="0034491F" w:rsidRPr="000B1397">
        <w:rPr>
          <w:rFonts w:ascii="Times New Roman" w:hAnsi="Times New Roman"/>
          <w:color w:val="000000" w:themeColor="text1"/>
          <w:sz w:val="24"/>
          <w:szCs w:val="24"/>
        </w:rPr>
        <w:t xml:space="preserve">z </w:t>
      </w:r>
      <w:r w:rsidR="00261B08" w:rsidRPr="000B1397">
        <w:rPr>
          <w:rFonts w:ascii="Times New Roman" w:hAnsi="Times New Roman"/>
          <w:color w:val="000000" w:themeColor="text1"/>
          <w:sz w:val="24"/>
          <w:szCs w:val="24"/>
        </w:rPr>
        <w:t xml:space="preserve">60 </w:t>
      </w:r>
      <w:r w:rsidR="0000484E" w:rsidRPr="000B1397">
        <w:rPr>
          <w:rFonts w:ascii="Times New Roman" w:hAnsi="Times New Roman"/>
          <w:color w:val="000000" w:themeColor="text1"/>
          <w:sz w:val="24"/>
          <w:szCs w:val="24"/>
        </w:rPr>
        <w:t>tys. zł</w:t>
      </w:r>
      <w:r w:rsidR="003C602C" w:rsidRPr="000B1397">
        <w:rPr>
          <w:rFonts w:ascii="Times New Roman" w:hAnsi="Times New Roman"/>
          <w:color w:val="000000" w:themeColor="text1"/>
          <w:sz w:val="24"/>
          <w:szCs w:val="24"/>
        </w:rPr>
        <w:t xml:space="preserve"> w 201</w:t>
      </w:r>
      <w:r w:rsidR="00113899" w:rsidRPr="000B1397">
        <w:rPr>
          <w:rFonts w:ascii="Times New Roman" w:hAnsi="Times New Roman"/>
          <w:color w:val="000000" w:themeColor="text1"/>
          <w:sz w:val="24"/>
          <w:szCs w:val="24"/>
        </w:rPr>
        <w:t>4</w:t>
      </w:r>
      <w:r w:rsidR="00981E9E" w:rsidRPr="000B1397">
        <w:rPr>
          <w:rFonts w:ascii="Times New Roman" w:hAnsi="Times New Roman"/>
          <w:color w:val="000000" w:themeColor="text1"/>
          <w:sz w:val="24"/>
          <w:szCs w:val="24"/>
        </w:rPr>
        <w:t xml:space="preserve"> r</w:t>
      </w:r>
      <w:r w:rsidR="00272C55" w:rsidRPr="000B1397">
        <w:rPr>
          <w:rFonts w:ascii="Times New Roman" w:hAnsi="Times New Roman"/>
          <w:color w:val="000000" w:themeColor="text1"/>
          <w:sz w:val="24"/>
          <w:szCs w:val="24"/>
        </w:rPr>
        <w:t xml:space="preserve">. </w:t>
      </w:r>
      <w:r w:rsidR="00261B08" w:rsidRPr="000B1397">
        <w:rPr>
          <w:rFonts w:ascii="Times New Roman" w:hAnsi="Times New Roman"/>
          <w:color w:val="000000" w:themeColor="text1"/>
          <w:sz w:val="24"/>
          <w:szCs w:val="24"/>
        </w:rPr>
        <w:t>Ponieważ w</w:t>
      </w:r>
      <w:r w:rsidR="00113899" w:rsidRPr="000B1397">
        <w:rPr>
          <w:rFonts w:ascii="Times New Roman" w:hAnsi="Times New Roman"/>
          <w:color w:val="000000" w:themeColor="text1"/>
          <w:sz w:val="24"/>
          <w:szCs w:val="24"/>
        </w:rPr>
        <w:t xml:space="preserve">skaźnik ten był </w:t>
      </w:r>
      <w:r w:rsidR="00261B08" w:rsidRPr="000B1397">
        <w:rPr>
          <w:rFonts w:ascii="Times New Roman" w:hAnsi="Times New Roman"/>
          <w:color w:val="000000" w:themeColor="text1"/>
          <w:sz w:val="24"/>
          <w:szCs w:val="24"/>
        </w:rPr>
        <w:t>zbliżony</w:t>
      </w:r>
      <w:r w:rsidR="00113899" w:rsidRPr="000B1397">
        <w:rPr>
          <w:rFonts w:ascii="Times New Roman" w:hAnsi="Times New Roman"/>
          <w:color w:val="000000" w:themeColor="text1"/>
          <w:sz w:val="24"/>
          <w:szCs w:val="24"/>
        </w:rPr>
        <w:t xml:space="preserve"> </w:t>
      </w:r>
      <w:r w:rsidR="00261B08" w:rsidRPr="000B1397">
        <w:rPr>
          <w:rFonts w:ascii="Times New Roman" w:hAnsi="Times New Roman"/>
          <w:color w:val="000000" w:themeColor="text1"/>
          <w:sz w:val="24"/>
          <w:szCs w:val="24"/>
        </w:rPr>
        <w:t>do</w:t>
      </w:r>
      <w:r w:rsidR="00113899" w:rsidRPr="000B1397">
        <w:rPr>
          <w:rFonts w:ascii="Times New Roman" w:hAnsi="Times New Roman"/>
          <w:color w:val="000000" w:themeColor="text1"/>
          <w:sz w:val="24"/>
          <w:szCs w:val="24"/>
        </w:rPr>
        <w:t xml:space="preserve"> </w:t>
      </w:r>
      <w:r w:rsidR="00261B08" w:rsidRPr="000B1397">
        <w:rPr>
          <w:rFonts w:ascii="Times New Roman" w:hAnsi="Times New Roman"/>
          <w:color w:val="000000" w:themeColor="text1"/>
          <w:sz w:val="24"/>
          <w:szCs w:val="24"/>
        </w:rPr>
        <w:t>dochodowości pracy w 2015 r</w:t>
      </w:r>
      <w:r w:rsidR="00981E9E" w:rsidRPr="000B1397">
        <w:rPr>
          <w:rFonts w:ascii="Times New Roman" w:hAnsi="Times New Roman"/>
          <w:color w:val="000000" w:themeColor="text1"/>
          <w:sz w:val="24"/>
          <w:szCs w:val="24"/>
        </w:rPr>
        <w:t>.</w:t>
      </w:r>
      <w:r w:rsidR="00261B08" w:rsidRPr="000B1397">
        <w:rPr>
          <w:rFonts w:ascii="Times New Roman" w:hAnsi="Times New Roman"/>
          <w:color w:val="000000" w:themeColor="text1"/>
          <w:sz w:val="24"/>
          <w:szCs w:val="24"/>
        </w:rPr>
        <w:t>, m</w:t>
      </w:r>
      <w:r w:rsidR="00F5382B" w:rsidRPr="000B1397">
        <w:rPr>
          <w:rFonts w:ascii="Times New Roman" w:hAnsi="Times New Roman"/>
          <w:color w:val="000000" w:themeColor="text1"/>
          <w:sz w:val="24"/>
          <w:szCs w:val="24"/>
        </w:rPr>
        <w:t>ożemy</w:t>
      </w:r>
      <w:r w:rsidR="0040198D" w:rsidRPr="000B1397">
        <w:rPr>
          <w:rFonts w:ascii="Times New Roman" w:hAnsi="Times New Roman"/>
          <w:color w:val="000000" w:themeColor="text1"/>
          <w:sz w:val="24"/>
          <w:szCs w:val="24"/>
        </w:rPr>
        <w:t xml:space="preserve"> </w:t>
      </w:r>
      <w:r w:rsidR="00113899" w:rsidRPr="000B1397">
        <w:rPr>
          <w:rFonts w:ascii="Times New Roman" w:hAnsi="Times New Roman"/>
          <w:color w:val="000000" w:themeColor="text1"/>
          <w:sz w:val="24"/>
          <w:szCs w:val="24"/>
        </w:rPr>
        <w:t>mówić o</w:t>
      </w:r>
      <w:r w:rsidR="00261B08" w:rsidRPr="000B1397">
        <w:rPr>
          <w:rFonts w:ascii="Times New Roman" w:hAnsi="Times New Roman"/>
          <w:color w:val="000000" w:themeColor="text1"/>
          <w:sz w:val="24"/>
          <w:szCs w:val="24"/>
        </w:rPr>
        <w:t xml:space="preserve"> </w:t>
      </w:r>
      <w:r w:rsidR="00284911" w:rsidRPr="000B1397">
        <w:rPr>
          <w:rFonts w:ascii="Times New Roman" w:hAnsi="Times New Roman"/>
          <w:color w:val="000000" w:themeColor="text1"/>
          <w:sz w:val="24"/>
          <w:szCs w:val="24"/>
        </w:rPr>
        <w:t>odczuwalnym zmniejszeniu</w:t>
      </w:r>
      <w:r w:rsidR="0034491F" w:rsidRPr="000B1397">
        <w:rPr>
          <w:rFonts w:ascii="Times New Roman" w:hAnsi="Times New Roman"/>
          <w:color w:val="000000" w:themeColor="text1"/>
          <w:sz w:val="24"/>
          <w:szCs w:val="24"/>
        </w:rPr>
        <w:t xml:space="preserve"> </w:t>
      </w:r>
      <w:r w:rsidR="009E1F23" w:rsidRPr="000B1397">
        <w:rPr>
          <w:rFonts w:ascii="Times New Roman" w:hAnsi="Times New Roman"/>
          <w:color w:val="000000" w:themeColor="text1"/>
          <w:sz w:val="24"/>
          <w:szCs w:val="24"/>
        </w:rPr>
        <w:t>dochodowości</w:t>
      </w:r>
      <w:r w:rsidR="00113899" w:rsidRPr="000B1397">
        <w:rPr>
          <w:rFonts w:ascii="Times New Roman" w:hAnsi="Times New Roman"/>
          <w:color w:val="000000" w:themeColor="text1"/>
          <w:sz w:val="24"/>
          <w:szCs w:val="24"/>
        </w:rPr>
        <w:t xml:space="preserve"> </w:t>
      </w:r>
      <w:r w:rsidR="00261B08" w:rsidRPr="000B1397">
        <w:rPr>
          <w:rFonts w:ascii="Times New Roman" w:hAnsi="Times New Roman"/>
          <w:color w:val="000000" w:themeColor="text1"/>
          <w:sz w:val="24"/>
          <w:szCs w:val="24"/>
        </w:rPr>
        <w:t>pracy członków</w:t>
      </w:r>
      <w:r w:rsidR="00113899" w:rsidRPr="000B1397">
        <w:rPr>
          <w:rFonts w:ascii="Times New Roman" w:hAnsi="Times New Roman"/>
          <w:color w:val="000000" w:themeColor="text1"/>
          <w:sz w:val="24"/>
          <w:szCs w:val="24"/>
        </w:rPr>
        <w:t xml:space="preserve"> spółdzielniach w ostatni</w:t>
      </w:r>
      <w:r w:rsidR="00261B08" w:rsidRPr="000B1397">
        <w:rPr>
          <w:rFonts w:ascii="Times New Roman" w:hAnsi="Times New Roman"/>
          <w:color w:val="000000" w:themeColor="text1"/>
          <w:sz w:val="24"/>
          <w:szCs w:val="24"/>
        </w:rPr>
        <w:t>ch 2 latach</w:t>
      </w:r>
      <w:r w:rsidR="00113899" w:rsidRPr="000B1397">
        <w:rPr>
          <w:rFonts w:ascii="Times New Roman" w:hAnsi="Times New Roman"/>
          <w:color w:val="000000" w:themeColor="text1"/>
          <w:sz w:val="24"/>
          <w:szCs w:val="24"/>
        </w:rPr>
        <w:t>.</w:t>
      </w:r>
    </w:p>
    <w:p w:rsidR="00650ABD" w:rsidRDefault="00650ABD" w:rsidP="00EA7CA9">
      <w:pPr>
        <w:spacing w:before="80" w:after="0" w:line="264" w:lineRule="auto"/>
        <w:ind w:firstLine="425"/>
        <w:jc w:val="both"/>
        <w:rPr>
          <w:rFonts w:ascii="Times New Roman" w:hAnsi="Times New Roman"/>
          <w:color w:val="000000" w:themeColor="text1"/>
          <w:sz w:val="24"/>
          <w:szCs w:val="24"/>
        </w:rPr>
      </w:pPr>
    </w:p>
    <w:p w:rsidR="00650ABD" w:rsidRDefault="00650ABD" w:rsidP="00EA7CA9">
      <w:pPr>
        <w:spacing w:before="80" w:after="0" w:line="264" w:lineRule="auto"/>
        <w:ind w:firstLine="425"/>
        <w:jc w:val="both"/>
        <w:rPr>
          <w:rFonts w:ascii="Times New Roman" w:hAnsi="Times New Roman"/>
          <w:color w:val="000000" w:themeColor="text1"/>
          <w:sz w:val="24"/>
          <w:szCs w:val="24"/>
        </w:rPr>
      </w:pPr>
    </w:p>
    <w:p w:rsidR="00650ABD" w:rsidRDefault="00650ABD" w:rsidP="00EA7CA9">
      <w:pPr>
        <w:spacing w:before="80" w:after="0" w:line="264" w:lineRule="auto"/>
        <w:ind w:firstLine="425"/>
        <w:jc w:val="both"/>
        <w:rPr>
          <w:rFonts w:ascii="Times New Roman" w:hAnsi="Times New Roman"/>
          <w:color w:val="000000" w:themeColor="text1"/>
          <w:sz w:val="24"/>
          <w:szCs w:val="24"/>
        </w:rPr>
      </w:pPr>
    </w:p>
    <w:p w:rsidR="00650ABD" w:rsidRDefault="00650ABD" w:rsidP="00EA7CA9">
      <w:pPr>
        <w:spacing w:before="80" w:after="0" w:line="264" w:lineRule="auto"/>
        <w:ind w:firstLine="425"/>
        <w:jc w:val="both"/>
        <w:rPr>
          <w:rFonts w:ascii="Times New Roman" w:hAnsi="Times New Roman"/>
          <w:color w:val="000000" w:themeColor="text1"/>
          <w:sz w:val="24"/>
          <w:szCs w:val="24"/>
        </w:rPr>
      </w:pPr>
    </w:p>
    <w:p w:rsidR="00650ABD" w:rsidRDefault="00650ABD" w:rsidP="00EA7CA9">
      <w:pPr>
        <w:spacing w:before="80" w:after="0" w:line="264" w:lineRule="auto"/>
        <w:ind w:firstLine="425"/>
        <w:jc w:val="both"/>
        <w:rPr>
          <w:rFonts w:ascii="Times New Roman" w:hAnsi="Times New Roman"/>
          <w:color w:val="000000" w:themeColor="text1"/>
          <w:sz w:val="24"/>
          <w:szCs w:val="24"/>
        </w:rPr>
      </w:pPr>
    </w:p>
    <w:p w:rsidR="00650ABD" w:rsidRDefault="00650ABD" w:rsidP="00EA7CA9">
      <w:pPr>
        <w:spacing w:before="80" w:after="0" w:line="264" w:lineRule="auto"/>
        <w:ind w:firstLine="425"/>
        <w:jc w:val="both"/>
        <w:rPr>
          <w:rFonts w:ascii="Times New Roman" w:hAnsi="Times New Roman"/>
          <w:color w:val="000000" w:themeColor="text1"/>
          <w:sz w:val="24"/>
          <w:szCs w:val="24"/>
        </w:rPr>
      </w:pPr>
    </w:p>
    <w:p w:rsidR="00650ABD" w:rsidRDefault="00650ABD" w:rsidP="00EA7CA9">
      <w:pPr>
        <w:spacing w:before="80" w:after="0" w:line="264" w:lineRule="auto"/>
        <w:ind w:firstLine="425"/>
        <w:jc w:val="both"/>
        <w:rPr>
          <w:rFonts w:ascii="Times New Roman" w:hAnsi="Times New Roman"/>
          <w:color w:val="000000" w:themeColor="text1"/>
          <w:sz w:val="24"/>
          <w:szCs w:val="24"/>
        </w:rPr>
      </w:pPr>
    </w:p>
    <w:p w:rsidR="00650ABD" w:rsidRDefault="00650ABD" w:rsidP="000B1397">
      <w:pPr>
        <w:spacing w:after="0" w:line="240" w:lineRule="auto"/>
        <w:jc w:val="right"/>
        <w:rPr>
          <w:rFonts w:ascii="Times New Roman" w:eastAsia="Times New Roman" w:hAnsi="Times New Roman" w:cs="Times New Roman"/>
          <w:color w:val="000000" w:themeColor="text1"/>
        </w:rPr>
      </w:pPr>
    </w:p>
    <w:p w:rsidR="00BA08E2" w:rsidRPr="000B1397" w:rsidRDefault="006F10BF" w:rsidP="000B1397">
      <w:pPr>
        <w:spacing w:after="0" w:line="240" w:lineRule="auto"/>
        <w:jc w:val="right"/>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lastRenderedPageBreak/>
        <w:t>Tabela 3</w:t>
      </w:r>
    </w:p>
    <w:p w:rsidR="00BA08E2" w:rsidRPr="000B1397" w:rsidRDefault="00BA08E2" w:rsidP="000B1397">
      <w:pPr>
        <w:spacing w:after="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Sytuacja ekonomi</w:t>
      </w:r>
      <w:r w:rsidR="002A4A14" w:rsidRPr="000B1397">
        <w:rPr>
          <w:rFonts w:ascii="Times New Roman" w:eastAsia="Times New Roman" w:hAnsi="Times New Roman" w:cs="Times New Roman"/>
          <w:color w:val="000000" w:themeColor="text1"/>
        </w:rPr>
        <w:t>czno-finansowa RSP w latach 2014-2016</w:t>
      </w:r>
    </w:p>
    <w:p w:rsidR="00BA08E2" w:rsidRPr="000B1397" w:rsidRDefault="00BA08E2" w:rsidP="000B1397">
      <w:pPr>
        <w:spacing w:after="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 xml:space="preserve">(panel </w:t>
      </w:r>
      <w:r w:rsidR="002A4A14" w:rsidRPr="000B1397">
        <w:rPr>
          <w:rFonts w:ascii="Times New Roman" w:eastAsia="Times New Roman" w:hAnsi="Times New Roman" w:cs="Times New Roman"/>
          <w:color w:val="000000" w:themeColor="text1"/>
        </w:rPr>
        <w:t>82</w:t>
      </w:r>
      <w:r w:rsidRPr="000B1397">
        <w:rPr>
          <w:rFonts w:ascii="Times New Roman" w:eastAsia="Times New Roman" w:hAnsi="Times New Roman" w:cs="Times New Roman"/>
          <w:color w:val="000000" w:themeColor="text1"/>
        </w:rPr>
        <w:t xml:space="preserve"> </w:t>
      </w:r>
      <w:r w:rsidR="006A146C" w:rsidRPr="000B1397">
        <w:rPr>
          <w:rFonts w:ascii="Times New Roman" w:eastAsia="Times New Roman" w:hAnsi="Times New Roman" w:cs="Times New Roman"/>
          <w:color w:val="000000" w:themeColor="text1"/>
        </w:rPr>
        <w:t xml:space="preserve">badanych </w:t>
      </w:r>
      <w:r w:rsidRPr="000B1397">
        <w:rPr>
          <w:rFonts w:ascii="Times New Roman" w:eastAsia="Times New Roman" w:hAnsi="Times New Roman" w:cs="Times New Roman"/>
          <w:color w:val="000000" w:themeColor="text1"/>
        </w:rPr>
        <w:t>RSP)</w:t>
      </w:r>
    </w:p>
    <w:tbl>
      <w:tblPr>
        <w:tblW w:w="0" w:type="auto"/>
        <w:tblInd w:w="60" w:type="dxa"/>
        <w:tblCellMar>
          <w:left w:w="10" w:type="dxa"/>
          <w:right w:w="10" w:type="dxa"/>
        </w:tblCellMar>
        <w:tblLook w:val="0000" w:firstRow="0" w:lastRow="0" w:firstColumn="0" w:lastColumn="0" w:noHBand="0" w:noVBand="0"/>
      </w:tblPr>
      <w:tblGrid>
        <w:gridCol w:w="4121"/>
        <w:gridCol w:w="1275"/>
        <w:gridCol w:w="1276"/>
        <w:gridCol w:w="1276"/>
        <w:gridCol w:w="1202"/>
      </w:tblGrid>
      <w:tr w:rsidR="00BF4439" w:rsidRPr="000B1397" w:rsidTr="00981E9E">
        <w:trPr>
          <w:cantSplit/>
          <w:trHeight w:val="1"/>
        </w:trPr>
        <w:tc>
          <w:tcPr>
            <w:tcW w:w="41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0B1397" w:rsidRDefault="00BA08E2"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Wyszczególnienie</w:t>
            </w:r>
          </w:p>
        </w:tc>
        <w:tc>
          <w:tcPr>
            <w:tcW w:w="3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0B1397" w:rsidRDefault="00BA08E2" w:rsidP="000B1397">
            <w:pPr>
              <w:spacing w:after="120"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Lata:</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A08E2" w:rsidRPr="000B1397" w:rsidRDefault="00D0488C" w:rsidP="000B1397">
            <w:pPr>
              <w:spacing w:after="120" w:line="240" w:lineRule="auto"/>
              <w:jc w:val="center"/>
              <w:rPr>
                <w:rFonts w:ascii="Calibri" w:eastAsia="Times New Roman" w:hAnsi="Calibri" w:cs="Times New Roman"/>
                <w:color w:val="000000" w:themeColor="text1"/>
              </w:rPr>
            </w:pPr>
            <m:oMath>
              <m:f>
                <m:fPr>
                  <m:ctrlPr>
                    <w:rPr>
                      <w:rFonts w:ascii="Cambria Math" w:eastAsia="Times New Roman" w:hAnsi="Cambria Math" w:cs="Times New Roman"/>
                      <w:color w:val="000000" w:themeColor="text1"/>
                      <w:sz w:val="24"/>
                      <w:szCs w:val="24"/>
                    </w:rPr>
                  </m:ctrlPr>
                </m:fPr>
                <m:num>
                  <m:r>
                    <w:rPr>
                      <w:rFonts w:ascii="Cambria Math" w:eastAsia="Times New Roman" w:hAnsi="Cambria Math" w:cs="Times New Roman"/>
                      <w:color w:val="000000" w:themeColor="text1"/>
                      <w:sz w:val="24"/>
                      <w:szCs w:val="24"/>
                    </w:rPr>
                    <m:t>2016</m:t>
                  </m:r>
                </m:num>
                <m:den>
                  <m:r>
                    <w:rPr>
                      <w:rFonts w:ascii="Cambria Math" w:eastAsia="Times New Roman" w:hAnsi="Cambria Math" w:cs="Times New Roman"/>
                      <w:color w:val="000000" w:themeColor="text1"/>
                      <w:sz w:val="24"/>
                      <w:szCs w:val="24"/>
                    </w:rPr>
                    <m:t>2014</m:t>
                  </m:r>
                </m:den>
              </m:f>
            </m:oMath>
            <w:r w:rsidR="00BA08E2" w:rsidRPr="000B1397">
              <w:rPr>
                <w:rFonts w:ascii="Times New Roman" w:eastAsia="Times New Roman" w:hAnsi="Times New Roman" w:cs="Times New Roman"/>
                <w:color w:val="000000" w:themeColor="text1"/>
              </w:rPr>
              <w:t xml:space="preserve"> x 100</w:t>
            </w:r>
          </w:p>
        </w:tc>
      </w:tr>
      <w:tr w:rsidR="00634C76" w:rsidRPr="000B1397" w:rsidTr="00981E9E">
        <w:trPr>
          <w:cantSplit/>
          <w:trHeight w:val="1"/>
        </w:trPr>
        <w:tc>
          <w:tcPr>
            <w:tcW w:w="412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0B1397" w:rsidRDefault="00634C76" w:rsidP="000B1397">
            <w:pPr>
              <w:rPr>
                <w:rFonts w:ascii="Calibri" w:eastAsia="Calibri" w:hAnsi="Calibri" w:cs="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0B1397" w:rsidRDefault="00634C76"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2014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0B1397" w:rsidRDefault="00634C76"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2015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0B1397" w:rsidRDefault="00634C76"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2016</w:t>
            </w:r>
          </w:p>
        </w:tc>
        <w:tc>
          <w:tcPr>
            <w:tcW w:w="120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34C76" w:rsidRPr="000B1397" w:rsidRDefault="00634C76" w:rsidP="000B1397">
            <w:pPr>
              <w:rPr>
                <w:rFonts w:ascii="Calibri" w:eastAsia="Times New Roman" w:hAnsi="Calibri" w:cs="Times New Roman"/>
                <w:color w:val="000000" w:themeColor="text1"/>
              </w:rPr>
            </w:pPr>
          </w:p>
        </w:tc>
      </w:tr>
      <w:tr w:rsidR="00153E4A" w:rsidRPr="000B1397" w:rsidTr="00981E9E">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Przeciętny obszar (ha UR)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555,8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549,0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546,6</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0,98</w:t>
            </w:r>
          </w:p>
        </w:tc>
      </w:tr>
      <w:tr w:rsidR="00153E4A" w:rsidRPr="000B1397" w:rsidTr="00981E9E">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 xml:space="preserve">Przychody ogółem </w:t>
            </w:r>
            <w:r w:rsidR="000B1397" w:rsidRPr="000B1397">
              <w:rPr>
                <w:rFonts w:ascii="Times New Roman" w:eastAsia="Times New Roman" w:hAnsi="Times New Roman" w:cs="Times New Roman"/>
                <w:color w:val="000000" w:themeColor="text1"/>
              </w:rPr>
              <w:t>(tys.</w:t>
            </w:r>
            <w:r w:rsidRPr="000B1397">
              <w:rPr>
                <w:rFonts w:ascii="Times New Roman" w:eastAsia="Times New Roman" w:hAnsi="Times New Roman" w:cs="Times New Roman"/>
                <w:color w:val="000000" w:themeColor="text1"/>
              </w:rPr>
              <w:t xml:space="preserve"> zł)</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CD23F3"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w:t>
            </w:r>
            <w:r w:rsidR="00981E9E" w:rsidRPr="000B1397">
              <w:rPr>
                <w:rFonts w:ascii="Times New Roman" w:eastAsia="Times New Roman" w:hAnsi="Times New Roman" w:cs="Times New Roman"/>
                <w:color w:val="000000" w:themeColor="text1"/>
              </w:rPr>
              <w:t>.</w:t>
            </w:r>
            <w:r w:rsidRPr="000B1397">
              <w:rPr>
                <w:rFonts w:ascii="Times New Roman" w:eastAsia="Times New Roman" w:hAnsi="Times New Roman" w:cs="Times New Roman"/>
                <w:color w:val="000000" w:themeColor="text1"/>
              </w:rPr>
              <w:t>305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CD23F3"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w:t>
            </w:r>
            <w:r w:rsidR="00981E9E" w:rsidRPr="000B1397">
              <w:rPr>
                <w:rFonts w:ascii="Times New Roman" w:eastAsia="Times New Roman" w:hAnsi="Times New Roman" w:cs="Times New Roman"/>
                <w:color w:val="000000" w:themeColor="text1"/>
              </w:rPr>
              <w:t>.</w:t>
            </w:r>
            <w:r w:rsidRPr="000B1397">
              <w:rPr>
                <w:rFonts w:ascii="Times New Roman" w:eastAsia="Times New Roman" w:hAnsi="Times New Roman" w:cs="Times New Roman"/>
                <w:color w:val="000000" w:themeColor="text1"/>
              </w:rPr>
              <w:t>996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CD23F3"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w:t>
            </w:r>
            <w:r w:rsidR="00981E9E" w:rsidRPr="000B1397">
              <w:rPr>
                <w:rFonts w:ascii="Times New Roman" w:eastAsia="Times New Roman" w:hAnsi="Times New Roman" w:cs="Times New Roman"/>
                <w:color w:val="000000" w:themeColor="text1"/>
              </w:rPr>
              <w:t>.</w:t>
            </w:r>
            <w:r w:rsidRPr="000B1397">
              <w:rPr>
                <w:rFonts w:ascii="Times New Roman" w:eastAsia="Times New Roman" w:hAnsi="Times New Roman" w:cs="Times New Roman"/>
                <w:color w:val="000000" w:themeColor="text1"/>
              </w:rPr>
              <w:t>909</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w:t>
            </w:r>
            <w:r w:rsidR="00CD23F3" w:rsidRPr="000B1397">
              <w:rPr>
                <w:rFonts w:ascii="Times New Roman" w:eastAsia="Times New Roman" w:hAnsi="Times New Roman" w:cs="Times New Roman"/>
                <w:color w:val="000000" w:themeColor="text1"/>
              </w:rPr>
              <w:t>4</w:t>
            </w:r>
          </w:p>
        </w:tc>
      </w:tr>
      <w:tr w:rsidR="00153E4A" w:rsidRPr="000B1397" w:rsidTr="00981E9E">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Pracujący na 100 ha UR (osoby)</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3,9</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0,95</w:t>
            </w:r>
          </w:p>
        </w:tc>
      </w:tr>
      <w:tr w:rsidR="00153E4A" w:rsidRPr="000B1397" w:rsidTr="00981E9E">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1E9E" w:rsidRPr="000B1397" w:rsidRDefault="00153E4A" w:rsidP="000B1397">
            <w:pPr>
              <w:spacing w:after="0" w:line="240" w:lineRule="auto"/>
              <w:jc w:val="both"/>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 xml:space="preserve">Wydajność pracy – wartość dodana </w:t>
            </w:r>
          </w:p>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(tys. zł/osobę)</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94,8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86,2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85,6</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0,90</w:t>
            </w:r>
          </w:p>
        </w:tc>
      </w:tr>
      <w:tr w:rsidR="00153E4A" w:rsidRPr="000B1397" w:rsidTr="00981E9E">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Wskaźnik wartości dodanej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39,6</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0,96</w:t>
            </w:r>
          </w:p>
        </w:tc>
      </w:tr>
      <w:tr w:rsidR="00BA08E2" w:rsidRPr="000B1397" w:rsidTr="00BF4439">
        <w:trPr>
          <w:cantSplit/>
          <w:trHeight w:val="1"/>
        </w:trPr>
        <w:tc>
          <w:tcPr>
            <w:tcW w:w="9150"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0B1397" w:rsidRDefault="00BA08E2" w:rsidP="000B1397">
            <w:pPr>
              <w:spacing w:after="120"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Wskaźniki dochodowości:</w:t>
            </w:r>
          </w:p>
        </w:tc>
      </w:tr>
      <w:tr w:rsidR="00153E4A" w:rsidRPr="000B1397" w:rsidTr="00AB5406">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 pracy członka (tys. zł/osobę)</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49,2</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0,82</w:t>
            </w:r>
          </w:p>
        </w:tc>
      </w:tr>
      <w:tr w:rsidR="00153E4A" w:rsidRPr="000B1397" w:rsidTr="00AB5406">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 działalności gospodarczej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21,0</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0,89</w:t>
            </w:r>
          </w:p>
        </w:tc>
      </w:tr>
      <w:tr w:rsidR="00153E4A" w:rsidRPr="000B1397" w:rsidTr="00AB5406">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Indeks tworzenia wartości (krotność)</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-0,8</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w:t>
            </w:r>
          </w:p>
        </w:tc>
      </w:tr>
      <w:tr w:rsidR="00153E4A" w:rsidRPr="000B1397" w:rsidTr="00AB5406">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Wskaźnik generowania gotówki operacyjnej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9,0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7,3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5,7</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0,63</w:t>
            </w:r>
          </w:p>
        </w:tc>
      </w:tr>
      <w:tr w:rsidR="00153E4A" w:rsidRPr="000B1397" w:rsidTr="00AB5406">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 xml:space="preserve">Stopa inwestycji </w:t>
            </w:r>
            <w:r w:rsidR="001C0C7F" w:rsidRPr="000B1397">
              <w:rPr>
                <w:rFonts w:ascii="Times New Roman" w:eastAsia="Times New Roman" w:hAnsi="Times New Roman" w:cs="Times New Roman"/>
                <w:color w:val="000000" w:themeColor="text1"/>
                <w:sz w:val="20"/>
              </w:rPr>
              <w:t>(krotność)</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1,64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0,98</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0,60</w:t>
            </w:r>
          </w:p>
        </w:tc>
      </w:tr>
      <w:tr w:rsidR="00153E4A" w:rsidRPr="000B1397" w:rsidTr="00AB5406">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53E4A" w:rsidRPr="000B1397" w:rsidRDefault="00153E4A" w:rsidP="000B1397">
            <w:pPr>
              <w:spacing w:after="120" w:line="240" w:lineRule="auto"/>
              <w:jc w:val="both"/>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 xml:space="preserve">Udział dotacji w dochodzie ogólnym (%)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41,9</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53E4A" w:rsidRPr="000B1397" w:rsidRDefault="00153E4A"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0,96</w:t>
            </w:r>
          </w:p>
        </w:tc>
      </w:tr>
    </w:tbl>
    <w:p w:rsidR="00BA08E2" w:rsidRPr="000B1397" w:rsidRDefault="00CD5C49" w:rsidP="000B1397">
      <w:pPr>
        <w:spacing w:after="120"/>
        <w:rPr>
          <w:rFonts w:ascii="Times New Roman" w:eastAsia="Times New Roman" w:hAnsi="Times New Roman" w:cs="Times New Roman"/>
          <w:i/>
          <w:color w:val="000000" w:themeColor="text1"/>
          <w:sz w:val="20"/>
        </w:rPr>
      </w:pPr>
      <w:r w:rsidRPr="000B1397">
        <w:rPr>
          <w:rFonts w:ascii="Times New Roman" w:eastAsia="Times New Roman" w:hAnsi="Times New Roman" w:cs="Times New Roman"/>
          <w:b/>
          <w:color w:val="000000" w:themeColor="text1"/>
          <w:sz w:val="20"/>
        </w:rPr>
        <w:t>Źródło</w:t>
      </w:r>
      <w:r w:rsidRPr="000B1397">
        <w:rPr>
          <w:rFonts w:ascii="Times New Roman" w:eastAsia="Times New Roman" w:hAnsi="Times New Roman" w:cs="Times New Roman"/>
          <w:color w:val="000000" w:themeColor="text1"/>
          <w:sz w:val="20"/>
        </w:rPr>
        <w:t xml:space="preserve">: </w:t>
      </w:r>
      <w:r w:rsidR="00346776" w:rsidRPr="000B1397">
        <w:rPr>
          <w:rFonts w:ascii="Times New Roman" w:eastAsia="Times New Roman" w:hAnsi="Times New Roman" w:cs="Times New Roman"/>
          <w:i/>
          <w:color w:val="000000" w:themeColor="text1"/>
          <w:sz w:val="20"/>
        </w:rPr>
        <w:t xml:space="preserve">Ranking RSP </w:t>
      </w:r>
      <w:r w:rsidR="002A4A14" w:rsidRPr="000B1397">
        <w:rPr>
          <w:rFonts w:ascii="Times New Roman" w:eastAsia="Times New Roman" w:hAnsi="Times New Roman" w:cs="Times New Roman"/>
          <w:i/>
          <w:color w:val="000000" w:themeColor="text1"/>
          <w:sz w:val="20"/>
        </w:rPr>
        <w:t>2014 r.,</w:t>
      </w:r>
      <w:r w:rsidR="00895E37">
        <w:rPr>
          <w:rFonts w:ascii="Times New Roman" w:eastAsia="Times New Roman" w:hAnsi="Times New Roman" w:cs="Times New Roman"/>
          <w:i/>
          <w:color w:val="000000" w:themeColor="text1"/>
          <w:sz w:val="20"/>
        </w:rPr>
        <w:t xml:space="preserve"> </w:t>
      </w:r>
      <w:r w:rsidR="00346776" w:rsidRPr="000B1397">
        <w:rPr>
          <w:rFonts w:ascii="Times New Roman" w:eastAsia="Times New Roman" w:hAnsi="Times New Roman" w:cs="Times New Roman"/>
          <w:i/>
          <w:color w:val="000000" w:themeColor="text1"/>
          <w:sz w:val="20"/>
        </w:rPr>
        <w:t>2015</w:t>
      </w:r>
      <w:r w:rsidR="006A73CA" w:rsidRPr="000B1397">
        <w:rPr>
          <w:rFonts w:ascii="Times New Roman" w:eastAsia="Times New Roman" w:hAnsi="Times New Roman" w:cs="Times New Roman"/>
          <w:i/>
          <w:color w:val="000000" w:themeColor="text1"/>
          <w:sz w:val="20"/>
        </w:rPr>
        <w:t xml:space="preserve"> </w:t>
      </w:r>
      <w:r w:rsidR="00BA08E2" w:rsidRPr="000B1397">
        <w:rPr>
          <w:rFonts w:ascii="Times New Roman" w:eastAsia="Times New Roman" w:hAnsi="Times New Roman" w:cs="Times New Roman"/>
          <w:i/>
          <w:color w:val="000000" w:themeColor="text1"/>
          <w:sz w:val="20"/>
        </w:rPr>
        <w:t>r.</w:t>
      </w:r>
      <w:r w:rsidR="002A4A14" w:rsidRPr="000B1397">
        <w:rPr>
          <w:rFonts w:ascii="Times New Roman" w:eastAsia="Times New Roman" w:hAnsi="Times New Roman" w:cs="Times New Roman"/>
          <w:i/>
          <w:color w:val="000000" w:themeColor="text1"/>
          <w:sz w:val="20"/>
        </w:rPr>
        <w:t xml:space="preserve"> i 2016</w:t>
      </w:r>
      <w:r w:rsidR="00895E37">
        <w:rPr>
          <w:rFonts w:ascii="Times New Roman" w:eastAsia="Times New Roman" w:hAnsi="Times New Roman" w:cs="Times New Roman"/>
          <w:i/>
          <w:color w:val="000000" w:themeColor="text1"/>
          <w:sz w:val="20"/>
        </w:rPr>
        <w:t xml:space="preserve"> </w:t>
      </w:r>
      <w:r w:rsidR="002A4A14" w:rsidRPr="000B1397">
        <w:rPr>
          <w:rFonts w:ascii="Times New Roman" w:eastAsia="Times New Roman" w:hAnsi="Times New Roman" w:cs="Times New Roman"/>
          <w:i/>
          <w:color w:val="000000" w:themeColor="text1"/>
          <w:sz w:val="20"/>
        </w:rPr>
        <w:t>r.</w:t>
      </w:r>
    </w:p>
    <w:p w:rsidR="00D50348" w:rsidRPr="000B1397" w:rsidRDefault="00E50FC9" w:rsidP="00EA7CA9">
      <w:pPr>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t>P</w:t>
      </w:r>
      <w:r w:rsidR="001F3C5B" w:rsidRPr="000B1397">
        <w:rPr>
          <w:rFonts w:ascii="Times New Roman" w:hAnsi="Times New Roman"/>
          <w:color w:val="000000" w:themeColor="text1"/>
          <w:sz w:val="24"/>
          <w:szCs w:val="24"/>
        </w:rPr>
        <w:t xml:space="preserve">ogorszenie </w:t>
      </w:r>
      <w:r w:rsidR="00261B08" w:rsidRPr="000B1397">
        <w:rPr>
          <w:rFonts w:ascii="Times New Roman" w:hAnsi="Times New Roman"/>
          <w:color w:val="000000" w:themeColor="text1"/>
          <w:sz w:val="24"/>
          <w:szCs w:val="24"/>
        </w:rPr>
        <w:t>dochodowości</w:t>
      </w:r>
      <w:r w:rsidR="001F3C5B" w:rsidRPr="000B1397">
        <w:rPr>
          <w:rFonts w:ascii="Times New Roman" w:hAnsi="Times New Roman"/>
          <w:color w:val="000000" w:themeColor="text1"/>
          <w:sz w:val="24"/>
          <w:szCs w:val="24"/>
        </w:rPr>
        <w:t xml:space="preserve"> spółdzielni</w:t>
      </w:r>
      <w:r w:rsidR="0076057C" w:rsidRPr="000B1397">
        <w:rPr>
          <w:rFonts w:ascii="Times New Roman" w:hAnsi="Times New Roman"/>
          <w:color w:val="000000" w:themeColor="text1"/>
          <w:sz w:val="24"/>
          <w:szCs w:val="24"/>
        </w:rPr>
        <w:t xml:space="preserve"> </w:t>
      </w:r>
      <w:r w:rsidR="00261B08" w:rsidRPr="000B1397">
        <w:rPr>
          <w:rFonts w:ascii="Times New Roman" w:hAnsi="Times New Roman"/>
          <w:color w:val="000000" w:themeColor="text1"/>
          <w:sz w:val="24"/>
          <w:szCs w:val="24"/>
        </w:rPr>
        <w:t>wyraźnie odbiło się na poziomie wolnych środków finansowych</w:t>
      </w:r>
      <w:r w:rsidR="005D6D49" w:rsidRPr="000B1397">
        <w:rPr>
          <w:rFonts w:ascii="Times New Roman" w:hAnsi="Times New Roman"/>
          <w:color w:val="000000" w:themeColor="text1"/>
          <w:sz w:val="24"/>
          <w:szCs w:val="24"/>
        </w:rPr>
        <w:t>,</w:t>
      </w:r>
      <w:r w:rsidR="00261B08" w:rsidRPr="000B1397">
        <w:rPr>
          <w:rFonts w:ascii="Times New Roman" w:hAnsi="Times New Roman"/>
          <w:color w:val="000000" w:themeColor="text1"/>
          <w:sz w:val="24"/>
          <w:szCs w:val="24"/>
        </w:rPr>
        <w:t xml:space="preserve"> jakimi spółdzielnie dysponowały w ostatnich dwóch latach</w:t>
      </w:r>
      <w:r w:rsidRPr="000B1397">
        <w:rPr>
          <w:rFonts w:ascii="Times New Roman" w:hAnsi="Times New Roman"/>
          <w:color w:val="000000" w:themeColor="text1"/>
          <w:sz w:val="24"/>
          <w:szCs w:val="24"/>
        </w:rPr>
        <w:t xml:space="preserve">. </w:t>
      </w:r>
      <w:r w:rsidR="0076057C" w:rsidRPr="000B1397">
        <w:rPr>
          <w:rFonts w:ascii="Times New Roman" w:hAnsi="Times New Roman"/>
          <w:color w:val="000000" w:themeColor="text1"/>
          <w:sz w:val="24"/>
          <w:szCs w:val="24"/>
        </w:rPr>
        <w:t>Do</w:t>
      </w:r>
      <w:r w:rsidR="00261B08" w:rsidRPr="000B1397">
        <w:rPr>
          <w:rFonts w:ascii="Times New Roman" w:hAnsi="Times New Roman"/>
          <w:color w:val="000000" w:themeColor="text1"/>
          <w:sz w:val="24"/>
          <w:szCs w:val="24"/>
        </w:rPr>
        <w:t xml:space="preserve"> 2014</w:t>
      </w:r>
      <w:r w:rsidR="00AB5406" w:rsidRPr="000B1397">
        <w:rPr>
          <w:rFonts w:ascii="Times New Roman" w:hAnsi="Times New Roman"/>
          <w:color w:val="000000" w:themeColor="text1"/>
          <w:sz w:val="24"/>
          <w:szCs w:val="24"/>
        </w:rPr>
        <w:t> </w:t>
      </w:r>
      <w:r w:rsidR="00261B08" w:rsidRPr="000B1397">
        <w:rPr>
          <w:rFonts w:ascii="Times New Roman" w:hAnsi="Times New Roman"/>
          <w:color w:val="000000" w:themeColor="text1"/>
          <w:sz w:val="24"/>
          <w:szCs w:val="24"/>
        </w:rPr>
        <w:t>r.</w:t>
      </w:r>
      <w:r w:rsidR="0076057C" w:rsidRPr="000B1397">
        <w:rPr>
          <w:rFonts w:ascii="Times New Roman" w:hAnsi="Times New Roman"/>
          <w:color w:val="000000" w:themeColor="text1"/>
          <w:sz w:val="24"/>
          <w:szCs w:val="24"/>
        </w:rPr>
        <w:t xml:space="preserve"> zdolność spółdzielni do generowania </w:t>
      </w:r>
      <w:r w:rsidR="00261B08" w:rsidRPr="000B1397">
        <w:rPr>
          <w:rFonts w:ascii="Times New Roman" w:hAnsi="Times New Roman"/>
          <w:color w:val="000000" w:themeColor="text1"/>
          <w:sz w:val="24"/>
          <w:szCs w:val="24"/>
        </w:rPr>
        <w:t>gotówki</w:t>
      </w:r>
      <w:r w:rsidR="0076057C" w:rsidRPr="000B1397">
        <w:rPr>
          <w:rFonts w:ascii="Times New Roman" w:hAnsi="Times New Roman"/>
          <w:color w:val="000000" w:themeColor="text1"/>
          <w:sz w:val="24"/>
          <w:szCs w:val="24"/>
        </w:rPr>
        <w:t xml:space="preserve"> </w:t>
      </w:r>
      <w:r w:rsidR="00261B08" w:rsidRPr="000B1397">
        <w:rPr>
          <w:rFonts w:ascii="Times New Roman" w:hAnsi="Times New Roman"/>
          <w:color w:val="000000" w:themeColor="text1"/>
          <w:sz w:val="24"/>
          <w:szCs w:val="24"/>
        </w:rPr>
        <w:t>wykazywała niewielką zmienność</w:t>
      </w:r>
      <w:r w:rsidR="00A54D45" w:rsidRPr="000B1397">
        <w:rPr>
          <w:rFonts w:ascii="Times New Roman" w:hAnsi="Times New Roman"/>
          <w:color w:val="000000" w:themeColor="text1"/>
          <w:sz w:val="24"/>
          <w:szCs w:val="24"/>
        </w:rPr>
        <w:t xml:space="preserve">, </w:t>
      </w:r>
      <w:r w:rsidR="00E30516" w:rsidRPr="000B1397">
        <w:rPr>
          <w:rFonts w:ascii="Times New Roman" w:hAnsi="Times New Roman"/>
          <w:color w:val="000000" w:themeColor="text1"/>
          <w:sz w:val="24"/>
          <w:szCs w:val="24"/>
        </w:rPr>
        <w:t xml:space="preserve">co </w:t>
      </w:r>
      <w:r w:rsidR="00261B08" w:rsidRPr="000B1397">
        <w:rPr>
          <w:rFonts w:ascii="Times New Roman" w:hAnsi="Times New Roman"/>
          <w:color w:val="000000" w:themeColor="text1"/>
          <w:sz w:val="24"/>
          <w:szCs w:val="24"/>
        </w:rPr>
        <w:t>wpływało wydatnie na skłonność do inwestycji</w:t>
      </w:r>
      <w:r w:rsidR="007F68B3" w:rsidRPr="000B1397">
        <w:rPr>
          <w:rFonts w:ascii="Times New Roman" w:hAnsi="Times New Roman"/>
          <w:color w:val="000000" w:themeColor="text1"/>
          <w:sz w:val="24"/>
          <w:szCs w:val="24"/>
        </w:rPr>
        <w:t>, która utrzymywała się na dość wysokim poziomie</w:t>
      </w:r>
      <w:r w:rsidR="0040198D" w:rsidRPr="000B1397">
        <w:rPr>
          <w:rFonts w:ascii="Times New Roman" w:hAnsi="Times New Roman"/>
          <w:color w:val="000000" w:themeColor="text1"/>
          <w:sz w:val="24"/>
          <w:szCs w:val="24"/>
        </w:rPr>
        <w:t xml:space="preserve">. </w:t>
      </w:r>
      <w:r w:rsidR="0012381F" w:rsidRPr="000B1397">
        <w:rPr>
          <w:rFonts w:ascii="Times New Roman" w:hAnsi="Times New Roman"/>
          <w:color w:val="000000" w:themeColor="text1"/>
          <w:sz w:val="24"/>
          <w:szCs w:val="24"/>
        </w:rPr>
        <w:t xml:space="preserve">Sytuacja </w:t>
      </w:r>
      <w:r w:rsidR="00A54D45" w:rsidRPr="000B1397">
        <w:rPr>
          <w:rFonts w:ascii="Times New Roman" w:hAnsi="Times New Roman"/>
          <w:color w:val="000000" w:themeColor="text1"/>
          <w:sz w:val="24"/>
          <w:szCs w:val="24"/>
        </w:rPr>
        <w:t xml:space="preserve">ta </w:t>
      </w:r>
      <w:r w:rsidR="007F68B3" w:rsidRPr="000B1397">
        <w:rPr>
          <w:rFonts w:ascii="Times New Roman" w:hAnsi="Times New Roman"/>
          <w:color w:val="000000" w:themeColor="text1"/>
          <w:sz w:val="24"/>
          <w:szCs w:val="24"/>
        </w:rPr>
        <w:t>uległa jednak zmianie</w:t>
      </w:r>
      <w:r w:rsidR="005D6D49" w:rsidRPr="000B1397">
        <w:rPr>
          <w:rFonts w:ascii="Times New Roman" w:hAnsi="Times New Roman"/>
          <w:color w:val="000000" w:themeColor="text1"/>
          <w:sz w:val="24"/>
          <w:szCs w:val="24"/>
        </w:rPr>
        <w:t>,</w:t>
      </w:r>
      <w:r w:rsidR="007F68B3" w:rsidRPr="000B1397">
        <w:rPr>
          <w:rFonts w:ascii="Times New Roman" w:hAnsi="Times New Roman"/>
          <w:color w:val="000000" w:themeColor="text1"/>
          <w:sz w:val="24"/>
          <w:szCs w:val="24"/>
        </w:rPr>
        <w:t xml:space="preserve"> </w:t>
      </w:r>
      <w:r w:rsidR="00AB5406" w:rsidRPr="000B1397">
        <w:rPr>
          <w:rFonts w:ascii="Times New Roman" w:hAnsi="Times New Roman"/>
          <w:color w:val="000000" w:themeColor="text1"/>
          <w:sz w:val="24"/>
          <w:szCs w:val="24"/>
        </w:rPr>
        <w:t xml:space="preserve">bowiem </w:t>
      </w:r>
      <w:r w:rsidR="007F68B3" w:rsidRPr="000B1397">
        <w:rPr>
          <w:rFonts w:ascii="Times New Roman" w:hAnsi="Times New Roman"/>
          <w:color w:val="000000" w:themeColor="text1"/>
          <w:sz w:val="24"/>
          <w:szCs w:val="24"/>
        </w:rPr>
        <w:t xml:space="preserve">wskaźnik generowania gotówki operacyjnej w ostatnich dwóch latach obniżył się o 3,3 </w:t>
      </w:r>
      <w:r w:rsidR="000B1397" w:rsidRPr="000B1397">
        <w:rPr>
          <w:rFonts w:ascii="Times New Roman" w:hAnsi="Times New Roman"/>
          <w:color w:val="000000" w:themeColor="text1"/>
          <w:sz w:val="24"/>
          <w:szCs w:val="24"/>
        </w:rPr>
        <w:t>p.p</w:t>
      </w:r>
      <w:r w:rsidR="00F438E9">
        <w:rPr>
          <w:rFonts w:ascii="Times New Roman" w:hAnsi="Times New Roman"/>
          <w:color w:val="000000" w:themeColor="text1"/>
          <w:sz w:val="24"/>
          <w:szCs w:val="24"/>
        </w:rPr>
        <w:t>.</w:t>
      </w:r>
      <w:r w:rsidR="000B1397" w:rsidRPr="000B1397">
        <w:rPr>
          <w:rFonts w:ascii="Times New Roman" w:hAnsi="Times New Roman"/>
          <w:color w:val="000000" w:themeColor="text1"/>
          <w:sz w:val="24"/>
          <w:szCs w:val="24"/>
        </w:rPr>
        <w:t>,</w:t>
      </w:r>
      <w:r w:rsidR="007F68B3" w:rsidRPr="000B1397">
        <w:rPr>
          <w:rFonts w:ascii="Times New Roman" w:hAnsi="Times New Roman"/>
          <w:color w:val="000000" w:themeColor="text1"/>
          <w:sz w:val="24"/>
          <w:szCs w:val="24"/>
        </w:rPr>
        <w:t xml:space="preserve"> co spowodowało zahamowanie </w:t>
      </w:r>
      <w:r w:rsidR="00284911" w:rsidRPr="000B1397">
        <w:rPr>
          <w:rFonts w:ascii="Times New Roman" w:hAnsi="Times New Roman"/>
          <w:color w:val="000000" w:themeColor="text1"/>
          <w:sz w:val="24"/>
          <w:szCs w:val="24"/>
        </w:rPr>
        <w:t>tego pozytywnego zjawiska modernizacji</w:t>
      </w:r>
      <w:r w:rsidR="007F68B3" w:rsidRPr="000B1397">
        <w:rPr>
          <w:rFonts w:ascii="Times New Roman" w:hAnsi="Times New Roman"/>
          <w:color w:val="000000" w:themeColor="text1"/>
          <w:sz w:val="24"/>
          <w:szCs w:val="24"/>
        </w:rPr>
        <w:t xml:space="preserve">. </w:t>
      </w:r>
    </w:p>
    <w:p w:rsidR="007F68B3" w:rsidRPr="000B1397" w:rsidRDefault="007F68B3" w:rsidP="00EA7CA9">
      <w:pPr>
        <w:spacing w:before="80" w:after="0" w:line="264" w:lineRule="auto"/>
        <w:ind w:firstLine="425"/>
        <w:jc w:val="both"/>
        <w:rPr>
          <w:rFonts w:ascii="Times New Roman" w:hAnsi="Times New Roman"/>
          <w:color w:val="000000" w:themeColor="text1"/>
          <w:sz w:val="24"/>
          <w:szCs w:val="24"/>
        </w:rPr>
      </w:pPr>
      <w:r w:rsidRPr="000B1397">
        <w:rPr>
          <w:rFonts w:ascii="Times New Roman" w:hAnsi="Times New Roman"/>
          <w:color w:val="000000" w:themeColor="text1"/>
          <w:sz w:val="24"/>
          <w:szCs w:val="24"/>
        </w:rPr>
        <w:t>Bardzo niski poziom</w:t>
      </w:r>
      <w:r w:rsidR="009536CD" w:rsidRPr="000B1397">
        <w:rPr>
          <w:rFonts w:ascii="Times New Roman" w:hAnsi="Times New Roman"/>
          <w:color w:val="000000" w:themeColor="text1"/>
          <w:sz w:val="24"/>
          <w:szCs w:val="24"/>
        </w:rPr>
        <w:t xml:space="preserve"> indek</w:t>
      </w:r>
      <w:r w:rsidR="005D6D49" w:rsidRPr="000B1397">
        <w:rPr>
          <w:rFonts w:ascii="Times New Roman" w:hAnsi="Times New Roman"/>
          <w:color w:val="000000" w:themeColor="text1"/>
          <w:sz w:val="24"/>
          <w:szCs w:val="24"/>
        </w:rPr>
        <w:t>su</w:t>
      </w:r>
      <w:r w:rsidR="009536CD" w:rsidRPr="000B1397">
        <w:rPr>
          <w:rFonts w:ascii="Times New Roman" w:hAnsi="Times New Roman"/>
          <w:color w:val="000000" w:themeColor="text1"/>
          <w:sz w:val="24"/>
          <w:szCs w:val="24"/>
        </w:rPr>
        <w:t xml:space="preserve"> tworzenia wartoś</w:t>
      </w:r>
      <w:r w:rsidR="009E1F23" w:rsidRPr="000B1397">
        <w:rPr>
          <w:rFonts w:ascii="Times New Roman" w:hAnsi="Times New Roman"/>
          <w:color w:val="000000" w:themeColor="text1"/>
          <w:sz w:val="24"/>
          <w:szCs w:val="24"/>
        </w:rPr>
        <w:t>ci</w:t>
      </w:r>
      <w:r w:rsidRPr="000B1397">
        <w:rPr>
          <w:rFonts w:ascii="Times New Roman" w:hAnsi="Times New Roman"/>
          <w:color w:val="000000" w:themeColor="text1"/>
          <w:sz w:val="24"/>
          <w:szCs w:val="24"/>
        </w:rPr>
        <w:t xml:space="preserve"> w 2016</w:t>
      </w:r>
      <w:r w:rsidR="00E30516" w:rsidRPr="000B1397">
        <w:rPr>
          <w:rFonts w:ascii="Times New Roman" w:hAnsi="Times New Roman"/>
          <w:color w:val="000000" w:themeColor="text1"/>
          <w:sz w:val="24"/>
          <w:szCs w:val="24"/>
        </w:rPr>
        <w:t xml:space="preserve"> </w:t>
      </w:r>
      <w:r w:rsidRPr="000B1397">
        <w:rPr>
          <w:rFonts w:ascii="Times New Roman" w:hAnsi="Times New Roman"/>
          <w:color w:val="000000" w:themeColor="text1"/>
          <w:sz w:val="24"/>
          <w:szCs w:val="24"/>
        </w:rPr>
        <w:t>r.</w:t>
      </w:r>
      <w:r w:rsidR="009536CD" w:rsidRPr="000B1397">
        <w:rPr>
          <w:rFonts w:ascii="Times New Roman" w:hAnsi="Times New Roman"/>
          <w:color w:val="000000" w:themeColor="text1"/>
          <w:sz w:val="24"/>
          <w:szCs w:val="24"/>
        </w:rPr>
        <w:t xml:space="preserve">, </w:t>
      </w:r>
      <w:r w:rsidRPr="000B1397">
        <w:rPr>
          <w:rFonts w:ascii="Times New Roman" w:hAnsi="Times New Roman"/>
          <w:color w:val="000000" w:themeColor="text1"/>
          <w:sz w:val="24"/>
          <w:szCs w:val="24"/>
        </w:rPr>
        <w:t>świadczy o braku pomnażania wartości kapitału w RSP. Przyjęcie przez niego wartości ujemnych</w:t>
      </w:r>
      <w:r w:rsidR="009536CD" w:rsidRPr="000B1397">
        <w:rPr>
          <w:rFonts w:ascii="Times New Roman" w:hAnsi="Times New Roman"/>
          <w:color w:val="000000" w:themeColor="text1"/>
          <w:sz w:val="24"/>
          <w:szCs w:val="24"/>
        </w:rPr>
        <w:t xml:space="preserve"> świadczy o </w:t>
      </w:r>
      <w:r w:rsidRPr="000B1397">
        <w:rPr>
          <w:rFonts w:ascii="Times New Roman" w:hAnsi="Times New Roman"/>
          <w:color w:val="000000" w:themeColor="text1"/>
          <w:sz w:val="24"/>
          <w:szCs w:val="24"/>
        </w:rPr>
        <w:t>ujemnych wynikach</w:t>
      </w:r>
      <w:r w:rsidR="00B74BEE" w:rsidRPr="000B1397">
        <w:rPr>
          <w:rFonts w:ascii="Times New Roman" w:hAnsi="Times New Roman"/>
          <w:color w:val="000000" w:themeColor="text1"/>
          <w:sz w:val="24"/>
          <w:szCs w:val="24"/>
        </w:rPr>
        <w:t xml:space="preserve"> finansowy</w:t>
      </w:r>
      <w:r w:rsidRPr="000B1397">
        <w:rPr>
          <w:rFonts w:ascii="Times New Roman" w:hAnsi="Times New Roman"/>
          <w:color w:val="000000" w:themeColor="text1"/>
          <w:sz w:val="24"/>
          <w:szCs w:val="24"/>
        </w:rPr>
        <w:t>ch</w:t>
      </w:r>
      <w:r w:rsidR="009536CD" w:rsidRPr="000B1397">
        <w:rPr>
          <w:rFonts w:ascii="Times New Roman" w:hAnsi="Times New Roman"/>
          <w:color w:val="000000" w:themeColor="text1"/>
          <w:sz w:val="24"/>
          <w:szCs w:val="24"/>
        </w:rPr>
        <w:t xml:space="preserve"> </w:t>
      </w:r>
      <w:r w:rsidR="005D6D49" w:rsidRPr="000B1397">
        <w:rPr>
          <w:rFonts w:ascii="Times New Roman" w:hAnsi="Times New Roman"/>
          <w:color w:val="000000" w:themeColor="text1"/>
          <w:sz w:val="24"/>
          <w:szCs w:val="24"/>
        </w:rPr>
        <w:t>w dużej czę</w:t>
      </w:r>
      <w:r w:rsidR="00464B36" w:rsidRPr="000B1397">
        <w:rPr>
          <w:rFonts w:ascii="Times New Roman" w:hAnsi="Times New Roman"/>
          <w:color w:val="000000" w:themeColor="text1"/>
          <w:sz w:val="24"/>
          <w:szCs w:val="24"/>
        </w:rPr>
        <w:t>ści</w:t>
      </w:r>
      <w:r w:rsidR="005A4CD9" w:rsidRPr="000B1397">
        <w:rPr>
          <w:rFonts w:ascii="Times New Roman" w:hAnsi="Times New Roman"/>
          <w:color w:val="000000" w:themeColor="text1"/>
          <w:sz w:val="24"/>
          <w:szCs w:val="24"/>
        </w:rPr>
        <w:t xml:space="preserve"> </w:t>
      </w:r>
      <w:r w:rsidR="009536CD" w:rsidRPr="000B1397">
        <w:rPr>
          <w:rFonts w:ascii="Times New Roman" w:hAnsi="Times New Roman"/>
          <w:color w:val="000000" w:themeColor="text1"/>
          <w:sz w:val="24"/>
          <w:szCs w:val="24"/>
        </w:rPr>
        <w:t>spółdzielni</w:t>
      </w:r>
      <w:r w:rsidR="00E30516" w:rsidRPr="000B1397">
        <w:rPr>
          <w:rFonts w:ascii="Times New Roman" w:hAnsi="Times New Roman"/>
          <w:color w:val="000000" w:themeColor="text1"/>
          <w:sz w:val="24"/>
          <w:szCs w:val="24"/>
        </w:rPr>
        <w:t>,</w:t>
      </w:r>
      <w:r w:rsidR="00554673" w:rsidRPr="000B1397">
        <w:rPr>
          <w:rFonts w:ascii="Times New Roman" w:hAnsi="Times New Roman"/>
          <w:color w:val="000000" w:themeColor="text1"/>
          <w:sz w:val="24"/>
          <w:szCs w:val="24"/>
        </w:rPr>
        <w:t xml:space="preserve"> zarówno w 2015</w:t>
      </w:r>
      <w:r w:rsidR="00E30516" w:rsidRPr="000B1397">
        <w:rPr>
          <w:rFonts w:ascii="Times New Roman" w:hAnsi="Times New Roman"/>
          <w:color w:val="000000" w:themeColor="text1"/>
          <w:sz w:val="24"/>
          <w:szCs w:val="24"/>
        </w:rPr>
        <w:t xml:space="preserve"> </w:t>
      </w:r>
      <w:r w:rsidR="00554673" w:rsidRPr="000B1397">
        <w:rPr>
          <w:rFonts w:ascii="Times New Roman" w:hAnsi="Times New Roman"/>
          <w:color w:val="000000" w:themeColor="text1"/>
          <w:sz w:val="24"/>
          <w:szCs w:val="24"/>
        </w:rPr>
        <w:t>r. jak i 2016</w:t>
      </w:r>
      <w:r w:rsidR="00E30516" w:rsidRPr="000B1397">
        <w:rPr>
          <w:rFonts w:ascii="Times New Roman" w:hAnsi="Times New Roman"/>
          <w:color w:val="000000" w:themeColor="text1"/>
          <w:sz w:val="24"/>
          <w:szCs w:val="24"/>
        </w:rPr>
        <w:t xml:space="preserve"> </w:t>
      </w:r>
      <w:r w:rsidR="00554673" w:rsidRPr="000B1397">
        <w:rPr>
          <w:rFonts w:ascii="Times New Roman" w:hAnsi="Times New Roman"/>
          <w:color w:val="000000" w:themeColor="text1"/>
          <w:sz w:val="24"/>
          <w:szCs w:val="24"/>
        </w:rPr>
        <w:t>r</w:t>
      </w:r>
      <w:r w:rsidR="009536CD" w:rsidRPr="000B1397">
        <w:rPr>
          <w:rFonts w:ascii="Times New Roman" w:hAnsi="Times New Roman"/>
          <w:color w:val="000000" w:themeColor="text1"/>
          <w:sz w:val="24"/>
          <w:szCs w:val="24"/>
        </w:rPr>
        <w:t xml:space="preserve">. </w:t>
      </w:r>
    </w:p>
    <w:p w:rsidR="00554673" w:rsidRPr="000B1397" w:rsidRDefault="00554673" w:rsidP="00EA7CA9">
      <w:pPr>
        <w:spacing w:before="80" w:after="0" w:line="264" w:lineRule="auto"/>
        <w:ind w:firstLine="425"/>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 xml:space="preserve">W dalszym ciągu w </w:t>
      </w:r>
      <w:r w:rsidR="00464B36" w:rsidRPr="000B1397">
        <w:rPr>
          <w:rFonts w:ascii="Times New Roman" w:eastAsia="Times New Roman" w:hAnsi="Times New Roman" w:cs="Times New Roman"/>
          <w:color w:val="000000" w:themeColor="text1"/>
          <w:sz w:val="24"/>
        </w:rPr>
        <w:t>całej zbiorowości RSP</w:t>
      </w:r>
      <w:r w:rsidRPr="000B1397">
        <w:rPr>
          <w:rFonts w:ascii="Times New Roman" w:eastAsia="Times New Roman" w:hAnsi="Times New Roman" w:cs="Times New Roman"/>
          <w:color w:val="000000" w:themeColor="text1"/>
          <w:sz w:val="24"/>
        </w:rPr>
        <w:t xml:space="preserve"> widoczny był ubytek powierzchni gruntów. Pogorszenie dochodowości w rolnictwie na ogół wzmagało to zjawisko. Dodatkowym bodźcem do takich zmian mogło być wprowadzenie nowej ustawy o </w:t>
      </w:r>
      <w:r w:rsidR="00AB5406" w:rsidRPr="000B1397">
        <w:rPr>
          <w:rFonts w:ascii="Times New Roman" w:eastAsia="Times New Roman" w:hAnsi="Times New Roman" w:cs="Times New Roman"/>
          <w:color w:val="000000" w:themeColor="text1"/>
          <w:sz w:val="24"/>
        </w:rPr>
        <w:t xml:space="preserve">kształtowaniu </w:t>
      </w:r>
      <w:r w:rsidRPr="000B1397">
        <w:rPr>
          <w:rFonts w:ascii="Times New Roman" w:eastAsia="Times New Roman" w:hAnsi="Times New Roman" w:cs="Times New Roman"/>
          <w:color w:val="000000" w:themeColor="text1"/>
          <w:sz w:val="24"/>
        </w:rPr>
        <w:t>ustroju roln</w:t>
      </w:r>
      <w:r w:rsidR="00AB5406" w:rsidRPr="000B1397">
        <w:rPr>
          <w:rFonts w:ascii="Times New Roman" w:eastAsia="Times New Roman" w:hAnsi="Times New Roman" w:cs="Times New Roman"/>
          <w:color w:val="000000" w:themeColor="text1"/>
          <w:sz w:val="24"/>
        </w:rPr>
        <w:t>ego</w:t>
      </w:r>
      <w:r w:rsidRPr="000B1397">
        <w:rPr>
          <w:rFonts w:ascii="Times New Roman" w:eastAsia="Times New Roman" w:hAnsi="Times New Roman" w:cs="Times New Roman"/>
          <w:color w:val="000000" w:themeColor="text1"/>
          <w:sz w:val="24"/>
        </w:rPr>
        <w:t xml:space="preserve"> w 2016</w:t>
      </w:r>
      <w:r w:rsidR="00AB5406" w:rsidRPr="000B1397">
        <w:rPr>
          <w:rFonts w:ascii="Times New Roman" w:eastAsia="Times New Roman" w:hAnsi="Times New Roman" w:cs="Times New Roman"/>
          <w:color w:val="000000" w:themeColor="text1"/>
          <w:sz w:val="24"/>
        </w:rPr>
        <w:t> </w:t>
      </w:r>
      <w:r w:rsidRPr="000B1397">
        <w:rPr>
          <w:rFonts w:ascii="Times New Roman" w:eastAsia="Times New Roman" w:hAnsi="Times New Roman" w:cs="Times New Roman"/>
          <w:color w:val="000000" w:themeColor="text1"/>
          <w:sz w:val="24"/>
        </w:rPr>
        <w:t>r., która ograniczyła spółdzielniom rolniczym sprzedaż ziemi.</w:t>
      </w:r>
      <w:r w:rsidR="00464B36" w:rsidRPr="000B1397">
        <w:rPr>
          <w:rFonts w:ascii="Times New Roman" w:eastAsia="Times New Roman" w:hAnsi="Times New Roman" w:cs="Times New Roman"/>
          <w:color w:val="000000" w:themeColor="text1"/>
          <w:sz w:val="24"/>
        </w:rPr>
        <w:t xml:space="preserve"> Cz</w:t>
      </w:r>
      <w:r w:rsidR="00E30516" w:rsidRPr="000B1397">
        <w:rPr>
          <w:rFonts w:ascii="Times New Roman" w:eastAsia="Times New Roman" w:hAnsi="Times New Roman" w:cs="Times New Roman"/>
          <w:color w:val="000000" w:themeColor="text1"/>
          <w:sz w:val="24"/>
        </w:rPr>
        <w:t>ę</w:t>
      </w:r>
      <w:r w:rsidR="00464B36" w:rsidRPr="000B1397">
        <w:rPr>
          <w:rFonts w:ascii="Times New Roman" w:eastAsia="Times New Roman" w:hAnsi="Times New Roman" w:cs="Times New Roman"/>
          <w:color w:val="000000" w:themeColor="text1"/>
          <w:sz w:val="24"/>
        </w:rPr>
        <w:t>ść spółdzielców starała się zdążyć sprzedać grunty przed wprowadzonymi zmianami.</w:t>
      </w:r>
    </w:p>
    <w:p w:rsidR="0008322A" w:rsidRPr="000B1397" w:rsidRDefault="00464B36" w:rsidP="00EA7CA9">
      <w:pPr>
        <w:spacing w:before="80" w:after="0" w:line="264" w:lineRule="auto"/>
        <w:ind w:firstLine="425"/>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Należy</w:t>
      </w:r>
      <w:r w:rsidR="0074428E"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 xml:space="preserve">jednak </w:t>
      </w:r>
      <w:r w:rsidR="0074428E" w:rsidRPr="000B1397">
        <w:rPr>
          <w:rFonts w:ascii="Times New Roman" w:eastAsia="Times New Roman" w:hAnsi="Times New Roman" w:cs="Times New Roman"/>
          <w:color w:val="000000" w:themeColor="text1"/>
          <w:sz w:val="24"/>
        </w:rPr>
        <w:t>stwierdzić, że dan</w:t>
      </w:r>
      <w:r w:rsidR="009E1F23" w:rsidRPr="000B1397">
        <w:rPr>
          <w:rFonts w:ascii="Times New Roman" w:eastAsia="Times New Roman" w:hAnsi="Times New Roman" w:cs="Times New Roman"/>
          <w:color w:val="000000" w:themeColor="text1"/>
          <w:sz w:val="24"/>
        </w:rPr>
        <w:t xml:space="preserve">e </w:t>
      </w:r>
      <w:r w:rsidR="0074428E" w:rsidRPr="000B1397">
        <w:rPr>
          <w:rFonts w:ascii="Times New Roman" w:eastAsia="Times New Roman" w:hAnsi="Times New Roman" w:cs="Times New Roman"/>
          <w:color w:val="000000" w:themeColor="text1"/>
          <w:sz w:val="24"/>
        </w:rPr>
        <w:t xml:space="preserve">z </w:t>
      </w:r>
      <w:r w:rsidR="006C5354" w:rsidRPr="000B1397">
        <w:rPr>
          <w:rFonts w:ascii="Times New Roman" w:eastAsia="Times New Roman" w:hAnsi="Times New Roman" w:cs="Times New Roman"/>
          <w:color w:val="000000" w:themeColor="text1"/>
          <w:sz w:val="24"/>
        </w:rPr>
        <w:t>ostatnich dwóch lat</w:t>
      </w:r>
      <w:r w:rsidR="0074428E" w:rsidRPr="000B1397">
        <w:rPr>
          <w:rFonts w:ascii="Times New Roman" w:eastAsia="Times New Roman" w:hAnsi="Times New Roman" w:cs="Times New Roman"/>
          <w:color w:val="000000" w:themeColor="text1"/>
          <w:sz w:val="24"/>
        </w:rPr>
        <w:t xml:space="preserve"> takiego gwałtownego </w:t>
      </w:r>
      <w:r w:rsidR="006C5354" w:rsidRPr="000B1397">
        <w:rPr>
          <w:rFonts w:ascii="Times New Roman" w:eastAsia="Times New Roman" w:hAnsi="Times New Roman" w:cs="Times New Roman"/>
          <w:color w:val="000000" w:themeColor="text1"/>
          <w:sz w:val="24"/>
        </w:rPr>
        <w:t xml:space="preserve">przyspieszenia </w:t>
      </w:r>
      <w:r w:rsidR="00301D80" w:rsidRPr="000B1397">
        <w:rPr>
          <w:rFonts w:ascii="Times New Roman" w:eastAsia="Times New Roman" w:hAnsi="Times New Roman" w:cs="Times New Roman"/>
          <w:color w:val="000000" w:themeColor="text1"/>
          <w:sz w:val="24"/>
        </w:rPr>
        <w:t>ubywania</w:t>
      </w:r>
      <w:r w:rsidR="006C5354" w:rsidRPr="000B1397">
        <w:rPr>
          <w:rFonts w:ascii="Times New Roman" w:eastAsia="Times New Roman" w:hAnsi="Times New Roman" w:cs="Times New Roman"/>
          <w:color w:val="000000" w:themeColor="text1"/>
          <w:sz w:val="24"/>
        </w:rPr>
        <w:t xml:space="preserve"> ziemi </w:t>
      </w:r>
      <w:r w:rsidR="0074428E" w:rsidRPr="000B1397">
        <w:rPr>
          <w:rFonts w:ascii="Times New Roman" w:eastAsia="Times New Roman" w:hAnsi="Times New Roman" w:cs="Times New Roman"/>
          <w:color w:val="000000" w:themeColor="text1"/>
          <w:sz w:val="24"/>
        </w:rPr>
        <w:t xml:space="preserve">nie </w:t>
      </w:r>
      <w:r w:rsidR="003669AF" w:rsidRPr="000B1397">
        <w:rPr>
          <w:rFonts w:ascii="Times New Roman" w:eastAsia="Times New Roman" w:hAnsi="Times New Roman" w:cs="Times New Roman"/>
          <w:color w:val="000000" w:themeColor="text1"/>
          <w:sz w:val="24"/>
        </w:rPr>
        <w:t>potwierdzają. U</w:t>
      </w:r>
      <w:r w:rsidR="0074428E" w:rsidRPr="000B1397">
        <w:rPr>
          <w:rFonts w:ascii="Times New Roman" w:eastAsia="Times New Roman" w:hAnsi="Times New Roman" w:cs="Times New Roman"/>
          <w:color w:val="000000" w:themeColor="text1"/>
          <w:sz w:val="24"/>
        </w:rPr>
        <w:t>trzymywał się jednak</w:t>
      </w:r>
      <w:r w:rsidRPr="000B1397">
        <w:rPr>
          <w:rFonts w:ascii="Times New Roman" w:eastAsia="Times New Roman" w:hAnsi="Times New Roman" w:cs="Times New Roman"/>
          <w:color w:val="000000" w:themeColor="text1"/>
          <w:sz w:val="24"/>
        </w:rPr>
        <w:t xml:space="preserve"> dalej</w:t>
      </w:r>
      <w:r w:rsidR="0074428E" w:rsidRPr="000B1397">
        <w:rPr>
          <w:rFonts w:ascii="Times New Roman" w:eastAsia="Times New Roman" w:hAnsi="Times New Roman" w:cs="Times New Roman"/>
          <w:color w:val="000000" w:themeColor="text1"/>
          <w:sz w:val="24"/>
        </w:rPr>
        <w:t xml:space="preserve"> </w:t>
      </w:r>
      <w:r w:rsidR="006C5354" w:rsidRPr="000B1397">
        <w:rPr>
          <w:rFonts w:ascii="Times New Roman" w:eastAsia="Times New Roman" w:hAnsi="Times New Roman" w:cs="Times New Roman"/>
          <w:color w:val="000000" w:themeColor="text1"/>
          <w:sz w:val="24"/>
        </w:rPr>
        <w:t xml:space="preserve">trend </w:t>
      </w:r>
      <w:r w:rsidR="00E30516" w:rsidRPr="000B1397">
        <w:rPr>
          <w:rFonts w:ascii="Times New Roman" w:eastAsia="Times New Roman" w:hAnsi="Times New Roman" w:cs="Times New Roman"/>
          <w:color w:val="000000" w:themeColor="text1"/>
          <w:sz w:val="24"/>
        </w:rPr>
        <w:t>wyzbywania się</w:t>
      </w:r>
      <w:r w:rsidR="005D6D49" w:rsidRPr="000B1397">
        <w:rPr>
          <w:rFonts w:ascii="Times New Roman" w:eastAsia="Times New Roman" w:hAnsi="Times New Roman" w:cs="Times New Roman"/>
          <w:color w:val="000000" w:themeColor="text1"/>
          <w:sz w:val="24"/>
        </w:rPr>
        <w:t xml:space="preserve"> ziemi </w:t>
      </w:r>
      <w:r w:rsidR="006C5354" w:rsidRPr="000B1397">
        <w:rPr>
          <w:rFonts w:ascii="Times New Roman" w:eastAsia="Times New Roman" w:hAnsi="Times New Roman" w:cs="Times New Roman"/>
          <w:color w:val="000000" w:themeColor="text1"/>
          <w:sz w:val="24"/>
        </w:rPr>
        <w:t>obserwowany już od wielu</w:t>
      </w:r>
      <w:r w:rsidRPr="000B1397">
        <w:rPr>
          <w:rFonts w:ascii="Times New Roman" w:eastAsia="Times New Roman" w:hAnsi="Times New Roman" w:cs="Times New Roman"/>
          <w:color w:val="000000" w:themeColor="text1"/>
          <w:sz w:val="24"/>
        </w:rPr>
        <w:t xml:space="preserve"> lat </w:t>
      </w:r>
      <w:r w:rsidR="006C5354" w:rsidRPr="000B1397">
        <w:rPr>
          <w:rFonts w:ascii="Times New Roman" w:eastAsia="Times New Roman" w:hAnsi="Times New Roman" w:cs="Times New Roman"/>
          <w:color w:val="000000" w:themeColor="text1"/>
          <w:sz w:val="24"/>
        </w:rPr>
        <w:t>na poziomie 1% rocznie.</w:t>
      </w:r>
      <w:r w:rsidR="0074428E" w:rsidRPr="000B1397">
        <w:rPr>
          <w:rFonts w:ascii="Times New Roman" w:eastAsia="Times New Roman" w:hAnsi="Times New Roman" w:cs="Times New Roman"/>
          <w:color w:val="000000" w:themeColor="text1"/>
          <w:sz w:val="24"/>
        </w:rPr>
        <w:t xml:space="preserve"> </w:t>
      </w:r>
      <w:r w:rsidR="00301D80" w:rsidRPr="000B1397">
        <w:rPr>
          <w:rFonts w:ascii="Times New Roman" w:eastAsia="Times New Roman" w:hAnsi="Times New Roman" w:cs="Times New Roman"/>
          <w:color w:val="000000" w:themeColor="text1"/>
          <w:sz w:val="24"/>
        </w:rPr>
        <w:t xml:space="preserve">W 2016 r. </w:t>
      </w:r>
      <w:r w:rsidR="0008322A" w:rsidRPr="000B1397">
        <w:rPr>
          <w:rFonts w:ascii="Times New Roman" w:eastAsia="Times New Roman" w:hAnsi="Times New Roman" w:cs="Times New Roman"/>
          <w:color w:val="000000" w:themeColor="text1"/>
          <w:sz w:val="24"/>
        </w:rPr>
        <w:t>przec</w:t>
      </w:r>
      <w:r w:rsidR="00C07DE9" w:rsidRPr="000B1397">
        <w:rPr>
          <w:rFonts w:ascii="Times New Roman" w:eastAsia="Times New Roman" w:hAnsi="Times New Roman" w:cs="Times New Roman"/>
          <w:color w:val="000000" w:themeColor="text1"/>
          <w:sz w:val="24"/>
        </w:rPr>
        <w:t xml:space="preserve">iętna spółdzielnia </w:t>
      </w:r>
      <w:r w:rsidR="006C5354" w:rsidRPr="000B1397">
        <w:rPr>
          <w:rFonts w:ascii="Times New Roman" w:eastAsia="Times New Roman" w:hAnsi="Times New Roman" w:cs="Times New Roman"/>
          <w:color w:val="000000" w:themeColor="text1"/>
          <w:sz w:val="24"/>
        </w:rPr>
        <w:t>zmniejszyła powierzchnię o 2,3</w:t>
      </w:r>
      <w:r w:rsidR="0008322A" w:rsidRPr="000B1397">
        <w:rPr>
          <w:rFonts w:ascii="Times New Roman" w:eastAsia="Times New Roman" w:hAnsi="Times New Roman" w:cs="Times New Roman"/>
          <w:color w:val="000000" w:themeColor="text1"/>
          <w:sz w:val="24"/>
        </w:rPr>
        <w:t xml:space="preserve"> ha</w:t>
      </w:r>
      <w:r w:rsidR="00C07DE9" w:rsidRPr="000B1397">
        <w:rPr>
          <w:rFonts w:ascii="Times New Roman" w:eastAsia="Times New Roman" w:hAnsi="Times New Roman" w:cs="Times New Roman"/>
          <w:color w:val="000000" w:themeColor="text1"/>
          <w:sz w:val="24"/>
        </w:rPr>
        <w:t>,</w:t>
      </w:r>
      <w:r w:rsidR="0008322A" w:rsidRPr="000B1397">
        <w:rPr>
          <w:rFonts w:ascii="Times New Roman" w:eastAsia="Times New Roman" w:hAnsi="Times New Roman" w:cs="Times New Roman"/>
          <w:color w:val="000000" w:themeColor="text1"/>
          <w:sz w:val="24"/>
        </w:rPr>
        <w:t xml:space="preserve"> </w:t>
      </w:r>
      <w:r w:rsidR="00DF272A" w:rsidRPr="000B1397">
        <w:rPr>
          <w:rFonts w:ascii="Times New Roman" w:eastAsia="Times New Roman" w:hAnsi="Times New Roman" w:cs="Times New Roman"/>
          <w:color w:val="000000" w:themeColor="text1"/>
          <w:sz w:val="24"/>
        </w:rPr>
        <w:t>a</w:t>
      </w:r>
      <w:r w:rsidRPr="000B1397">
        <w:rPr>
          <w:rFonts w:ascii="Times New Roman" w:eastAsia="Times New Roman" w:hAnsi="Times New Roman" w:cs="Times New Roman"/>
          <w:color w:val="000000" w:themeColor="text1"/>
          <w:sz w:val="24"/>
        </w:rPr>
        <w:t>le</w:t>
      </w:r>
      <w:r w:rsidR="00DF272A" w:rsidRPr="000B1397">
        <w:rPr>
          <w:rFonts w:ascii="Times New Roman" w:eastAsia="Times New Roman" w:hAnsi="Times New Roman" w:cs="Times New Roman"/>
          <w:color w:val="000000" w:themeColor="text1"/>
          <w:sz w:val="24"/>
        </w:rPr>
        <w:t xml:space="preserve"> w</w:t>
      </w:r>
      <w:r w:rsidR="0000484E" w:rsidRPr="000B1397">
        <w:rPr>
          <w:rFonts w:ascii="Times New Roman" w:eastAsia="Times New Roman" w:hAnsi="Times New Roman" w:cs="Times New Roman"/>
          <w:color w:val="000000" w:themeColor="text1"/>
          <w:sz w:val="24"/>
        </w:rPr>
        <w:t xml:space="preserve"> </w:t>
      </w:r>
      <w:r w:rsidR="00DF272A" w:rsidRPr="000B1397">
        <w:rPr>
          <w:rFonts w:ascii="Times New Roman" w:eastAsia="Times New Roman" w:hAnsi="Times New Roman" w:cs="Times New Roman"/>
          <w:color w:val="000000" w:themeColor="text1"/>
          <w:sz w:val="24"/>
        </w:rPr>
        <w:t xml:space="preserve">ciągu ostatnich </w:t>
      </w:r>
      <w:r w:rsidR="00AD6734" w:rsidRPr="000B1397">
        <w:rPr>
          <w:rFonts w:ascii="Times New Roman" w:eastAsia="Times New Roman" w:hAnsi="Times New Roman" w:cs="Times New Roman"/>
          <w:color w:val="000000" w:themeColor="text1"/>
          <w:sz w:val="24"/>
        </w:rPr>
        <w:t>d</w:t>
      </w:r>
      <w:r w:rsidR="0074428E" w:rsidRPr="000B1397">
        <w:rPr>
          <w:rFonts w:ascii="Times New Roman" w:eastAsia="Times New Roman" w:hAnsi="Times New Roman" w:cs="Times New Roman"/>
          <w:color w:val="000000" w:themeColor="text1"/>
          <w:sz w:val="24"/>
        </w:rPr>
        <w:t>wó</w:t>
      </w:r>
      <w:r w:rsidR="00AD6734" w:rsidRPr="000B1397">
        <w:rPr>
          <w:rFonts w:ascii="Times New Roman" w:eastAsia="Times New Roman" w:hAnsi="Times New Roman" w:cs="Times New Roman"/>
          <w:color w:val="000000" w:themeColor="text1"/>
          <w:sz w:val="24"/>
        </w:rPr>
        <w:t>ch lat</w:t>
      </w:r>
      <w:r w:rsidR="004B0C6C"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zmniejszenie to już</w:t>
      </w:r>
      <w:r w:rsidR="004B0C6C" w:rsidRPr="000B1397">
        <w:rPr>
          <w:rFonts w:ascii="Times New Roman" w:eastAsia="Times New Roman" w:hAnsi="Times New Roman" w:cs="Times New Roman"/>
          <w:color w:val="000000" w:themeColor="text1"/>
          <w:sz w:val="24"/>
        </w:rPr>
        <w:t xml:space="preserve"> wyni</w:t>
      </w:r>
      <w:r w:rsidRPr="000B1397">
        <w:rPr>
          <w:rFonts w:ascii="Times New Roman" w:eastAsia="Times New Roman" w:hAnsi="Times New Roman" w:cs="Times New Roman"/>
          <w:color w:val="000000" w:themeColor="text1"/>
          <w:sz w:val="24"/>
        </w:rPr>
        <w:t xml:space="preserve">osło </w:t>
      </w:r>
      <w:r w:rsidR="006C5354" w:rsidRPr="000B1397">
        <w:rPr>
          <w:rFonts w:ascii="Times New Roman" w:eastAsia="Times New Roman" w:hAnsi="Times New Roman" w:cs="Times New Roman"/>
          <w:color w:val="000000" w:themeColor="text1"/>
          <w:sz w:val="24"/>
        </w:rPr>
        <w:t>9,2</w:t>
      </w:r>
      <w:r w:rsidR="00DF272A" w:rsidRPr="000B1397">
        <w:rPr>
          <w:rFonts w:ascii="Times New Roman" w:eastAsia="Times New Roman" w:hAnsi="Times New Roman" w:cs="Times New Roman"/>
          <w:color w:val="000000" w:themeColor="text1"/>
          <w:sz w:val="24"/>
        </w:rPr>
        <w:t xml:space="preserve"> ha</w:t>
      </w:r>
      <w:r w:rsidR="0008322A" w:rsidRPr="000B1397">
        <w:rPr>
          <w:rFonts w:ascii="Times New Roman" w:eastAsia="Times New Roman" w:hAnsi="Times New Roman" w:cs="Times New Roman"/>
          <w:color w:val="000000" w:themeColor="text1"/>
          <w:sz w:val="24"/>
        </w:rPr>
        <w:t>.</w:t>
      </w:r>
      <w:r w:rsidR="006C5354" w:rsidRPr="000B1397">
        <w:rPr>
          <w:rFonts w:ascii="Times New Roman" w:eastAsia="Times New Roman" w:hAnsi="Times New Roman" w:cs="Times New Roman"/>
          <w:color w:val="000000" w:themeColor="text1"/>
          <w:sz w:val="24"/>
        </w:rPr>
        <w:t xml:space="preserve"> Należy </w:t>
      </w:r>
      <w:r w:rsidR="00301D80" w:rsidRPr="000B1397">
        <w:rPr>
          <w:rFonts w:ascii="Times New Roman" w:eastAsia="Times New Roman" w:hAnsi="Times New Roman" w:cs="Times New Roman"/>
          <w:color w:val="000000" w:themeColor="text1"/>
          <w:sz w:val="24"/>
        </w:rPr>
        <w:t>podkreślić</w:t>
      </w:r>
      <w:r w:rsidR="005D6D49" w:rsidRPr="000B1397">
        <w:rPr>
          <w:rFonts w:ascii="Times New Roman" w:eastAsia="Times New Roman" w:hAnsi="Times New Roman" w:cs="Times New Roman"/>
          <w:color w:val="000000" w:themeColor="text1"/>
          <w:sz w:val="24"/>
        </w:rPr>
        <w:t>,</w:t>
      </w:r>
      <w:r w:rsidR="006C5354" w:rsidRPr="000B1397">
        <w:rPr>
          <w:rFonts w:ascii="Times New Roman" w:eastAsia="Times New Roman" w:hAnsi="Times New Roman" w:cs="Times New Roman"/>
          <w:color w:val="000000" w:themeColor="text1"/>
          <w:sz w:val="24"/>
        </w:rPr>
        <w:t xml:space="preserve"> że ubytek ziemi nie dotyczył wszystkich RSP</w:t>
      </w:r>
      <w:r w:rsidR="00854F17" w:rsidRPr="000B1397">
        <w:rPr>
          <w:rFonts w:ascii="Times New Roman" w:eastAsia="Times New Roman" w:hAnsi="Times New Roman" w:cs="Times New Roman"/>
          <w:color w:val="000000" w:themeColor="text1"/>
          <w:sz w:val="24"/>
        </w:rPr>
        <w:t>, choć spółdzielnie</w:t>
      </w:r>
      <w:r w:rsidR="005D6D49" w:rsidRPr="000B1397">
        <w:rPr>
          <w:rFonts w:ascii="Times New Roman" w:eastAsia="Times New Roman" w:hAnsi="Times New Roman" w:cs="Times New Roman"/>
          <w:color w:val="000000" w:themeColor="text1"/>
          <w:sz w:val="24"/>
        </w:rPr>
        <w:t>,</w:t>
      </w:r>
      <w:r w:rsidR="00854F17" w:rsidRPr="000B1397">
        <w:rPr>
          <w:rFonts w:ascii="Times New Roman" w:eastAsia="Times New Roman" w:hAnsi="Times New Roman" w:cs="Times New Roman"/>
          <w:color w:val="000000" w:themeColor="text1"/>
          <w:sz w:val="24"/>
        </w:rPr>
        <w:t xml:space="preserve"> w których ubyło w </w:t>
      </w:r>
      <w:r w:rsidR="00453DBD" w:rsidRPr="000B1397">
        <w:rPr>
          <w:rFonts w:ascii="Times New Roman" w:eastAsia="Times New Roman" w:hAnsi="Times New Roman" w:cs="Times New Roman"/>
          <w:color w:val="000000" w:themeColor="text1"/>
          <w:sz w:val="24"/>
        </w:rPr>
        <w:t>ciągu</w:t>
      </w:r>
      <w:r w:rsidR="00854F17" w:rsidRPr="000B1397">
        <w:rPr>
          <w:rFonts w:ascii="Times New Roman" w:eastAsia="Times New Roman" w:hAnsi="Times New Roman" w:cs="Times New Roman"/>
          <w:color w:val="000000" w:themeColor="text1"/>
          <w:sz w:val="24"/>
        </w:rPr>
        <w:t xml:space="preserve"> ostatnich dwóch lat gruntów</w:t>
      </w:r>
      <w:r w:rsidR="005D6D49" w:rsidRPr="000B1397">
        <w:rPr>
          <w:rFonts w:ascii="Times New Roman" w:eastAsia="Times New Roman" w:hAnsi="Times New Roman" w:cs="Times New Roman"/>
          <w:color w:val="000000" w:themeColor="text1"/>
          <w:sz w:val="24"/>
        </w:rPr>
        <w:t>,</w:t>
      </w:r>
      <w:r w:rsidR="00854F17" w:rsidRPr="000B1397">
        <w:rPr>
          <w:rFonts w:ascii="Times New Roman" w:eastAsia="Times New Roman" w:hAnsi="Times New Roman" w:cs="Times New Roman"/>
          <w:color w:val="000000" w:themeColor="text1"/>
          <w:sz w:val="24"/>
        </w:rPr>
        <w:t xml:space="preserve"> stanowiły niespełna połowę z analizowanej grupy (</w:t>
      </w:r>
      <w:r w:rsidR="00301D80" w:rsidRPr="000B1397">
        <w:rPr>
          <w:rFonts w:ascii="Times New Roman" w:eastAsia="Times New Roman" w:hAnsi="Times New Roman" w:cs="Times New Roman"/>
          <w:color w:val="000000" w:themeColor="text1"/>
          <w:sz w:val="24"/>
        </w:rPr>
        <w:t>4</w:t>
      </w:r>
      <w:r w:rsidR="00BB6894" w:rsidRPr="000B1397">
        <w:rPr>
          <w:rFonts w:ascii="Times New Roman" w:eastAsia="Times New Roman" w:hAnsi="Times New Roman" w:cs="Times New Roman"/>
          <w:color w:val="000000" w:themeColor="text1"/>
          <w:sz w:val="24"/>
        </w:rPr>
        <w:t>8</w:t>
      </w:r>
      <w:r w:rsidR="00301D80" w:rsidRPr="000B1397">
        <w:rPr>
          <w:rFonts w:ascii="Times New Roman" w:eastAsia="Times New Roman" w:hAnsi="Times New Roman" w:cs="Times New Roman"/>
          <w:color w:val="000000" w:themeColor="text1"/>
          <w:sz w:val="24"/>
        </w:rPr>
        <w:t xml:space="preserve">%). Przeciętnie </w:t>
      </w:r>
      <w:r w:rsidR="00BB6894" w:rsidRPr="000B1397">
        <w:rPr>
          <w:rFonts w:ascii="Times New Roman" w:eastAsia="Times New Roman" w:hAnsi="Times New Roman" w:cs="Times New Roman"/>
          <w:color w:val="000000" w:themeColor="text1"/>
          <w:sz w:val="24"/>
        </w:rPr>
        <w:t xml:space="preserve">zmniejszenie w grupie </w:t>
      </w:r>
      <w:r w:rsidR="00AB5406" w:rsidRPr="000B1397">
        <w:rPr>
          <w:rFonts w:ascii="Times New Roman" w:eastAsia="Times New Roman" w:hAnsi="Times New Roman" w:cs="Times New Roman"/>
          <w:color w:val="000000" w:themeColor="text1"/>
          <w:sz w:val="24"/>
        </w:rPr>
        <w:lastRenderedPageBreak/>
        <w:t xml:space="preserve">spółdzielni </w:t>
      </w:r>
      <w:r w:rsidR="00E30516" w:rsidRPr="000B1397">
        <w:rPr>
          <w:rFonts w:ascii="Times New Roman" w:eastAsia="Times New Roman" w:hAnsi="Times New Roman" w:cs="Times New Roman"/>
          <w:color w:val="000000" w:themeColor="text1"/>
          <w:sz w:val="24"/>
        </w:rPr>
        <w:t>redukuj</w:t>
      </w:r>
      <w:r w:rsidR="00AB5406" w:rsidRPr="000B1397">
        <w:rPr>
          <w:rFonts w:ascii="Times New Roman" w:eastAsia="Times New Roman" w:hAnsi="Times New Roman" w:cs="Times New Roman"/>
          <w:color w:val="000000" w:themeColor="text1"/>
          <w:sz w:val="24"/>
        </w:rPr>
        <w:t>ą</w:t>
      </w:r>
      <w:r w:rsidR="00E30516" w:rsidRPr="000B1397">
        <w:rPr>
          <w:rFonts w:ascii="Times New Roman" w:eastAsia="Times New Roman" w:hAnsi="Times New Roman" w:cs="Times New Roman"/>
          <w:color w:val="000000" w:themeColor="text1"/>
          <w:sz w:val="24"/>
        </w:rPr>
        <w:t>cych</w:t>
      </w:r>
      <w:r w:rsidR="00BB6894" w:rsidRPr="000B1397">
        <w:rPr>
          <w:rFonts w:ascii="Times New Roman" w:eastAsia="Times New Roman" w:hAnsi="Times New Roman" w:cs="Times New Roman"/>
          <w:color w:val="000000" w:themeColor="text1"/>
          <w:sz w:val="24"/>
        </w:rPr>
        <w:t xml:space="preserve"> </w:t>
      </w:r>
      <w:r w:rsidR="005D6D49" w:rsidRPr="000B1397">
        <w:rPr>
          <w:rFonts w:ascii="Times New Roman" w:eastAsia="Times New Roman" w:hAnsi="Times New Roman" w:cs="Times New Roman"/>
          <w:color w:val="000000" w:themeColor="text1"/>
          <w:sz w:val="24"/>
        </w:rPr>
        <w:t>powierzchnię</w:t>
      </w:r>
      <w:r w:rsidR="00BB6894" w:rsidRPr="000B1397">
        <w:rPr>
          <w:rFonts w:ascii="Times New Roman" w:eastAsia="Times New Roman" w:hAnsi="Times New Roman" w:cs="Times New Roman"/>
          <w:color w:val="000000" w:themeColor="text1"/>
          <w:sz w:val="24"/>
        </w:rPr>
        <w:t xml:space="preserve"> w latach 2014-2016</w:t>
      </w:r>
      <w:r w:rsidR="00301D80" w:rsidRPr="000B1397">
        <w:rPr>
          <w:rFonts w:ascii="Times New Roman" w:eastAsia="Times New Roman" w:hAnsi="Times New Roman" w:cs="Times New Roman"/>
          <w:color w:val="000000" w:themeColor="text1"/>
          <w:sz w:val="24"/>
        </w:rPr>
        <w:t xml:space="preserve"> </w:t>
      </w:r>
      <w:r w:rsidR="00453DBD" w:rsidRPr="000B1397">
        <w:rPr>
          <w:rFonts w:ascii="Times New Roman" w:eastAsia="Times New Roman" w:hAnsi="Times New Roman" w:cs="Times New Roman"/>
          <w:color w:val="000000" w:themeColor="text1"/>
          <w:sz w:val="24"/>
        </w:rPr>
        <w:t>to</w:t>
      </w:r>
      <w:r w:rsidR="00BB6894" w:rsidRPr="000B1397">
        <w:rPr>
          <w:rFonts w:ascii="Times New Roman" w:eastAsia="Times New Roman" w:hAnsi="Times New Roman" w:cs="Times New Roman"/>
          <w:color w:val="000000" w:themeColor="text1"/>
          <w:sz w:val="24"/>
        </w:rPr>
        <w:t xml:space="preserve"> 32 ha. Druga pod względem wielkości grupa</w:t>
      </w:r>
      <w:r w:rsidR="00AB5406" w:rsidRPr="000B1397">
        <w:rPr>
          <w:rFonts w:ascii="Times New Roman" w:eastAsia="Times New Roman" w:hAnsi="Times New Roman" w:cs="Times New Roman"/>
          <w:color w:val="000000" w:themeColor="text1"/>
          <w:sz w:val="24"/>
        </w:rPr>
        <w:t>,</w:t>
      </w:r>
      <w:r w:rsidR="00BB6894" w:rsidRPr="000B1397">
        <w:rPr>
          <w:rFonts w:ascii="Times New Roman" w:eastAsia="Times New Roman" w:hAnsi="Times New Roman" w:cs="Times New Roman"/>
          <w:color w:val="000000" w:themeColor="text1"/>
          <w:sz w:val="24"/>
        </w:rPr>
        <w:t xml:space="preserve"> </w:t>
      </w:r>
      <w:r w:rsidR="00453DBD" w:rsidRPr="000B1397">
        <w:rPr>
          <w:rFonts w:ascii="Times New Roman" w:eastAsia="Times New Roman" w:hAnsi="Times New Roman" w:cs="Times New Roman"/>
          <w:color w:val="000000" w:themeColor="text1"/>
          <w:sz w:val="24"/>
        </w:rPr>
        <w:t>to</w:t>
      </w:r>
      <w:r w:rsidR="00BB6894" w:rsidRPr="000B1397">
        <w:rPr>
          <w:rFonts w:ascii="Times New Roman" w:eastAsia="Times New Roman" w:hAnsi="Times New Roman" w:cs="Times New Roman"/>
          <w:color w:val="000000" w:themeColor="text1"/>
          <w:sz w:val="24"/>
        </w:rPr>
        <w:t xml:space="preserve"> spółdzielnie </w:t>
      </w:r>
      <w:r w:rsidR="001303E1" w:rsidRPr="000B1397">
        <w:rPr>
          <w:rFonts w:ascii="Times New Roman" w:eastAsia="Times New Roman" w:hAnsi="Times New Roman" w:cs="Times New Roman"/>
          <w:color w:val="000000" w:themeColor="text1"/>
          <w:sz w:val="24"/>
        </w:rPr>
        <w:t>utrzymujące posiadany areał</w:t>
      </w:r>
      <w:r w:rsidR="00C07DE9" w:rsidRPr="000B1397">
        <w:rPr>
          <w:rFonts w:ascii="Times New Roman" w:eastAsia="Times New Roman" w:hAnsi="Times New Roman" w:cs="Times New Roman"/>
          <w:color w:val="000000" w:themeColor="text1"/>
          <w:sz w:val="24"/>
        </w:rPr>
        <w:t xml:space="preserve"> bez zmian</w:t>
      </w:r>
      <w:r w:rsidR="00EB77A9" w:rsidRPr="000B1397">
        <w:rPr>
          <w:rFonts w:ascii="Times New Roman" w:eastAsia="Times New Roman" w:hAnsi="Times New Roman" w:cs="Times New Roman"/>
          <w:color w:val="000000" w:themeColor="text1"/>
          <w:sz w:val="24"/>
        </w:rPr>
        <w:t>;</w:t>
      </w:r>
      <w:r w:rsidR="001303E1" w:rsidRPr="000B1397">
        <w:rPr>
          <w:rFonts w:ascii="Times New Roman" w:eastAsia="Times New Roman" w:hAnsi="Times New Roman" w:cs="Times New Roman"/>
          <w:color w:val="000000" w:themeColor="text1"/>
          <w:sz w:val="24"/>
        </w:rPr>
        <w:t xml:space="preserve"> w ostat</w:t>
      </w:r>
      <w:r w:rsidR="00BB6894" w:rsidRPr="000B1397">
        <w:rPr>
          <w:rFonts w:ascii="Times New Roman" w:eastAsia="Times New Roman" w:hAnsi="Times New Roman" w:cs="Times New Roman"/>
          <w:color w:val="000000" w:themeColor="text1"/>
          <w:sz w:val="24"/>
        </w:rPr>
        <w:t>nich 2 latach</w:t>
      </w:r>
      <w:r w:rsidR="00C07DE9" w:rsidRPr="000B1397">
        <w:rPr>
          <w:rFonts w:ascii="Times New Roman" w:eastAsia="Times New Roman" w:hAnsi="Times New Roman" w:cs="Times New Roman"/>
          <w:color w:val="000000" w:themeColor="text1"/>
          <w:sz w:val="24"/>
        </w:rPr>
        <w:t xml:space="preserve"> było to </w:t>
      </w:r>
      <w:r w:rsidR="00BB6894" w:rsidRPr="000B1397">
        <w:rPr>
          <w:rFonts w:ascii="Times New Roman" w:eastAsia="Times New Roman" w:hAnsi="Times New Roman" w:cs="Times New Roman"/>
          <w:color w:val="000000" w:themeColor="text1"/>
          <w:sz w:val="24"/>
        </w:rPr>
        <w:t>26 RSP (32</w:t>
      </w:r>
      <w:r w:rsidR="00974169" w:rsidRPr="000B1397">
        <w:rPr>
          <w:rFonts w:ascii="Times New Roman" w:eastAsia="Times New Roman" w:hAnsi="Times New Roman" w:cs="Times New Roman"/>
          <w:color w:val="000000" w:themeColor="text1"/>
          <w:sz w:val="24"/>
        </w:rPr>
        <w:t>%</w:t>
      </w:r>
      <w:r w:rsidR="00C07DE9" w:rsidRPr="000B1397">
        <w:rPr>
          <w:rFonts w:ascii="Times New Roman" w:eastAsia="Times New Roman" w:hAnsi="Times New Roman" w:cs="Times New Roman"/>
          <w:color w:val="000000" w:themeColor="text1"/>
          <w:sz w:val="24"/>
        </w:rPr>
        <w:t xml:space="preserve">). </w:t>
      </w:r>
      <w:r w:rsidR="00BB6894" w:rsidRPr="000B1397">
        <w:rPr>
          <w:rFonts w:ascii="Times New Roman" w:eastAsia="Times New Roman" w:hAnsi="Times New Roman" w:cs="Times New Roman"/>
          <w:color w:val="000000" w:themeColor="text1"/>
          <w:sz w:val="24"/>
        </w:rPr>
        <w:t>Zwyczajowo</w:t>
      </w:r>
      <w:r w:rsidR="00C07DE9" w:rsidRPr="000B1397">
        <w:rPr>
          <w:rFonts w:ascii="Times New Roman" w:eastAsia="Times New Roman" w:hAnsi="Times New Roman" w:cs="Times New Roman"/>
          <w:color w:val="000000" w:themeColor="text1"/>
          <w:sz w:val="24"/>
        </w:rPr>
        <w:t xml:space="preserve"> najmniejsz</w:t>
      </w:r>
      <w:r w:rsidR="00017EF5" w:rsidRPr="000B1397">
        <w:rPr>
          <w:rFonts w:ascii="Times New Roman" w:eastAsia="Times New Roman" w:hAnsi="Times New Roman" w:cs="Times New Roman"/>
          <w:color w:val="000000" w:themeColor="text1"/>
          <w:sz w:val="24"/>
        </w:rPr>
        <w:t>ą</w:t>
      </w:r>
      <w:r w:rsidR="00C07DE9" w:rsidRPr="000B1397">
        <w:rPr>
          <w:rFonts w:ascii="Times New Roman" w:eastAsia="Times New Roman" w:hAnsi="Times New Roman" w:cs="Times New Roman"/>
          <w:color w:val="000000" w:themeColor="text1"/>
          <w:sz w:val="24"/>
        </w:rPr>
        <w:t xml:space="preserve"> grup</w:t>
      </w:r>
      <w:r w:rsidR="00453DBD" w:rsidRPr="000B1397">
        <w:rPr>
          <w:rFonts w:ascii="Times New Roman" w:eastAsia="Times New Roman" w:hAnsi="Times New Roman" w:cs="Times New Roman"/>
          <w:color w:val="000000" w:themeColor="text1"/>
          <w:sz w:val="24"/>
        </w:rPr>
        <w:t>ę stanowiły</w:t>
      </w:r>
      <w:r w:rsidR="00C07DE9" w:rsidRPr="000B1397">
        <w:rPr>
          <w:rFonts w:ascii="Times New Roman" w:eastAsia="Times New Roman" w:hAnsi="Times New Roman" w:cs="Times New Roman"/>
          <w:color w:val="000000" w:themeColor="text1"/>
          <w:sz w:val="24"/>
        </w:rPr>
        <w:t xml:space="preserve"> jednostki r</w:t>
      </w:r>
      <w:r w:rsidR="00A54D45" w:rsidRPr="000B1397">
        <w:rPr>
          <w:rFonts w:ascii="Times New Roman" w:eastAsia="Times New Roman" w:hAnsi="Times New Roman" w:cs="Times New Roman"/>
          <w:color w:val="000000" w:themeColor="text1"/>
          <w:sz w:val="24"/>
        </w:rPr>
        <w:t>ozwojowe, w których powierzchni</w:t>
      </w:r>
      <w:r w:rsidR="00C07DE9" w:rsidRPr="000B1397">
        <w:rPr>
          <w:rFonts w:ascii="Times New Roman" w:eastAsia="Times New Roman" w:hAnsi="Times New Roman" w:cs="Times New Roman"/>
          <w:color w:val="000000" w:themeColor="text1"/>
          <w:sz w:val="24"/>
        </w:rPr>
        <w:t xml:space="preserve"> gruntów przybyło</w:t>
      </w:r>
      <w:r w:rsidR="00A54D45" w:rsidRPr="000B1397">
        <w:rPr>
          <w:rFonts w:ascii="Times New Roman" w:eastAsia="Times New Roman" w:hAnsi="Times New Roman" w:cs="Times New Roman"/>
          <w:color w:val="000000" w:themeColor="text1"/>
          <w:sz w:val="24"/>
        </w:rPr>
        <w:t>;</w:t>
      </w:r>
      <w:r w:rsidR="00C07DE9" w:rsidRPr="000B1397">
        <w:rPr>
          <w:rFonts w:ascii="Times New Roman" w:eastAsia="Times New Roman" w:hAnsi="Times New Roman" w:cs="Times New Roman"/>
          <w:color w:val="000000" w:themeColor="text1"/>
          <w:sz w:val="24"/>
        </w:rPr>
        <w:t xml:space="preserve"> w ostatnim okre</w:t>
      </w:r>
      <w:r w:rsidR="0028212D" w:rsidRPr="000B1397">
        <w:rPr>
          <w:rFonts w:ascii="Times New Roman" w:eastAsia="Times New Roman" w:hAnsi="Times New Roman" w:cs="Times New Roman"/>
          <w:color w:val="000000" w:themeColor="text1"/>
          <w:sz w:val="24"/>
        </w:rPr>
        <w:t>sie takich spółdzielni było 16</w:t>
      </w:r>
      <w:r w:rsidR="00BB6894" w:rsidRPr="000B1397">
        <w:rPr>
          <w:rFonts w:ascii="Times New Roman" w:eastAsia="Times New Roman" w:hAnsi="Times New Roman" w:cs="Times New Roman"/>
          <w:color w:val="000000" w:themeColor="text1"/>
          <w:sz w:val="24"/>
        </w:rPr>
        <w:t xml:space="preserve"> (20%)</w:t>
      </w:r>
      <w:r w:rsidR="00A54D45" w:rsidRPr="000B1397">
        <w:rPr>
          <w:rFonts w:ascii="Times New Roman" w:eastAsia="Times New Roman" w:hAnsi="Times New Roman" w:cs="Times New Roman"/>
          <w:color w:val="000000" w:themeColor="text1"/>
          <w:sz w:val="24"/>
        </w:rPr>
        <w:t>;</w:t>
      </w:r>
      <w:r w:rsidR="00974169" w:rsidRPr="000B1397">
        <w:rPr>
          <w:rFonts w:ascii="Times New Roman" w:eastAsia="Times New Roman" w:hAnsi="Times New Roman" w:cs="Times New Roman"/>
          <w:color w:val="000000" w:themeColor="text1"/>
          <w:sz w:val="24"/>
        </w:rPr>
        <w:t xml:space="preserve"> </w:t>
      </w:r>
      <w:r w:rsidR="0074428E" w:rsidRPr="000B1397">
        <w:rPr>
          <w:rFonts w:ascii="Times New Roman" w:eastAsia="Times New Roman" w:hAnsi="Times New Roman" w:cs="Times New Roman"/>
          <w:color w:val="000000" w:themeColor="text1"/>
          <w:sz w:val="24"/>
        </w:rPr>
        <w:t xml:space="preserve">przeciętne powiększenie </w:t>
      </w:r>
      <w:r w:rsidR="00BB6894" w:rsidRPr="000B1397">
        <w:rPr>
          <w:rFonts w:ascii="Times New Roman" w:eastAsia="Times New Roman" w:hAnsi="Times New Roman" w:cs="Times New Roman"/>
          <w:color w:val="000000" w:themeColor="text1"/>
          <w:sz w:val="24"/>
        </w:rPr>
        <w:t>w tej grupie w latach 2014-2016 wyniosło</w:t>
      </w:r>
      <w:r w:rsidR="0074428E" w:rsidRPr="000B1397">
        <w:rPr>
          <w:rFonts w:ascii="Times New Roman" w:eastAsia="Times New Roman" w:hAnsi="Times New Roman" w:cs="Times New Roman"/>
          <w:color w:val="000000" w:themeColor="text1"/>
          <w:sz w:val="24"/>
        </w:rPr>
        <w:t xml:space="preserve"> </w:t>
      </w:r>
      <w:r w:rsidR="00BB6894" w:rsidRPr="000B1397">
        <w:rPr>
          <w:rFonts w:ascii="Times New Roman" w:eastAsia="Times New Roman" w:hAnsi="Times New Roman" w:cs="Times New Roman"/>
          <w:color w:val="000000" w:themeColor="text1"/>
          <w:sz w:val="24"/>
        </w:rPr>
        <w:t>28</w:t>
      </w:r>
      <w:r w:rsidR="002F7DBA" w:rsidRPr="000B1397">
        <w:rPr>
          <w:rFonts w:ascii="Times New Roman" w:eastAsia="Times New Roman" w:hAnsi="Times New Roman" w:cs="Times New Roman"/>
          <w:color w:val="000000" w:themeColor="text1"/>
          <w:sz w:val="24"/>
        </w:rPr>
        <w:t xml:space="preserve"> ha</w:t>
      </w:r>
      <w:r w:rsidR="00974169" w:rsidRPr="000B1397">
        <w:rPr>
          <w:rFonts w:ascii="Times New Roman" w:eastAsia="Times New Roman" w:hAnsi="Times New Roman" w:cs="Times New Roman"/>
          <w:color w:val="000000" w:themeColor="text1"/>
          <w:sz w:val="24"/>
        </w:rPr>
        <w:t>.</w:t>
      </w:r>
    </w:p>
    <w:p w:rsidR="007F7E0F" w:rsidRPr="000B1397" w:rsidRDefault="00BB6894" w:rsidP="00EA7CA9">
      <w:pPr>
        <w:spacing w:before="80" w:after="0" w:line="264" w:lineRule="auto"/>
        <w:ind w:firstLine="425"/>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Utrzymująca się już drugi rok niska</w:t>
      </w:r>
      <w:r w:rsidR="00CE7B96" w:rsidRPr="000B1397">
        <w:rPr>
          <w:rFonts w:ascii="Times New Roman" w:eastAsia="Times New Roman" w:hAnsi="Times New Roman" w:cs="Times New Roman"/>
          <w:color w:val="000000" w:themeColor="text1"/>
          <w:sz w:val="24"/>
        </w:rPr>
        <w:t xml:space="preserve"> rentownoś</w:t>
      </w:r>
      <w:r w:rsidRPr="000B1397">
        <w:rPr>
          <w:rFonts w:ascii="Times New Roman" w:eastAsia="Times New Roman" w:hAnsi="Times New Roman" w:cs="Times New Roman"/>
          <w:color w:val="000000" w:themeColor="text1"/>
          <w:sz w:val="24"/>
        </w:rPr>
        <w:t>ć</w:t>
      </w:r>
      <w:r w:rsidR="00CE7B96" w:rsidRPr="000B1397">
        <w:rPr>
          <w:rFonts w:ascii="Times New Roman" w:eastAsia="Times New Roman" w:hAnsi="Times New Roman" w:cs="Times New Roman"/>
          <w:color w:val="000000" w:themeColor="text1"/>
          <w:sz w:val="24"/>
        </w:rPr>
        <w:t xml:space="preserve"> oraz </w:t>
      </w:r>
      <w:r w:rsidRPr="000B1397">
        <w:rPr>
          <w:rFonts w:ascii="Times New Roman" w:eastAsia="Times New Roman" w:hAnsi="Times New Roman" w:cs="Times New Roman"/>
          <w:color w:val="000000" w:themeColor="text1"/>
          <w:sz w:val="24"/>
        </w:rPr>
        <w:t xml:space="preserve">brak </w:t>
      </w:r>
      <w:r w:rsidR="00017EF5" w:rsidRPr="000B1397">
        <w:rPr>
          <w:rFonts w:ascii="Times New Roman" w:eastAsia="Times New Roman" w:hAnsi="Times New Roman" w:cs="Times New Roman"/>
          <w:color w:val="000000" w:themeColor="text1"/>
          <w:sz w:val="24"/>
        </w:rPr>
        <w:t>wolnych środków spowodował wyraźne</w:t>
      </w:r>
      <w:r w:rsidR="00CE7B96" w:rsidRPr="000B1397">
        <w:rPr>
          <w:rFonts w:ascii="Times New Roman" w:eastAsia="Times New Roman" w:hAnsi="Times New Roman" w:cs="Times New Roman"/>
          <w:color w:val="000000" w:themeColor="text1"/>
          <w:sz w:val="24"/>
        </w:rPr>
        <w:t xml:space="preserve"> </w:t>
      </w:r>
      <w:r w:rsidR="00F2434C" w:rsidRPr="000B1397">
        <w:rPr>
          <w:rFonts w:ascii="Times New Roman" w:eastAsia="Times New Roman" w:hAnsi="Times New Roman" w:cs="Times New Roman"/>
          <w:color w:val="000000" w:themeColor="text1"/>
          <w:sz w:val="24"/>
        </w:rPr>
        <w:t>załamanie</w:t>
      </w:r>
      <w:r w:rsidR="00974169"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inwestycj</w:t>
      </w:r>
      <w:r w:rsidR="00F2434C" w:rsidRPr="000B1397">
        <w:rPr>
          <w:rFonts w:ascii="Times New Roman" w:eastAsia="Times New Roman" w:hAnsi="Times New Roman" w:cs="Times New Roman"/>
          <w:color w:val="000000" w:themeColor="text1"/>
          <w:sz w:val="24"/>
        </w:rPr>
        <w:t>i</w:t>
      </w:r>
      <w:r w:rsidR="00974169" w:rsidRPr="000B1397">
        <w:rPr>
          <w:rFonts w:ascii="Times New Roman" w:eastAsia="Times New Roman" w:hAnsi="Times New Roman" w:cs="Times New Roman"/>
          <w:color w:val="000000" w:themeColor="text1"/>
          <w:sz w:val="24"/>
        </w:rPr>
        <w:t xml:space="preserve"> w </w:t>
      </w:r>
      <w:r w:rsidRPr="000B1397">
        <w:rPr>
          <w:rFonts w:ascii="Times New Roman" w:eastAsia="Times New Roman" w:hAnsi="Times New Roman" w:cs="Times New Roman"/>
          <w:color w:val="000000" w:themeColor="text1"/>
          <w:sz w:val="24"/>
        </w:rPr>
        <w:t>RSP</w:t>
      </w:r>
      <w:r w:rsidR="00CE7B96" w:rsidRPr="000B1397">
        <w:rPr>
          <w:rFonts w:ascii="Times New Roman" w:eastAsia="Times New Roman" w:hAnsi="Times New Roman" w:cs="Times New Roman"/>
          <w:color w:val="000000" w:themeColor="text1"/>
          <w:sz w:val="24"/>
        </w:rPr>
        <w:t>.</w:t>
      </w:r>
      <w:r w:rsidR="00A30992" w:rsidRPr="000B1397">
        <w:rPr>
          <w:rFonts w:ascii="Times New Roman" w:eastAsia="Times New Roman" w:hAnsi="Times New Roman" w:cs="Times New Roman"/>
          <w:color w:val="000000" w:themeColor="text1"/>
          <w:sz w:val="24"/>
        </w:rPr>
        <w:t xml:space="preserve"> Należy przypomnieć, iż obok wspomnianych uwarunkowań</w:t>
      </w:r>
      <w:r w:rsidR="00497032" w:rsidRPr="000B1397">
        <w:rPr>
          <w:rFonts w:ascii="Times New Roman" w:eastAsia="Times New Roman" w:hAnsi="Times New Roman" w:cs="Times New Roman"/>
          <w:color w:val="000000" w:themeColor="text1"/>
          <w:sz w:val="24"/>
        </w:rPr>
        <w:t>,</w:t>
      </w:r>
      <w:r w:rsidR="00A30992" w:rsidRPr="000B1397">
        <w:rPr>
          <w:rFonts w:ascii="Times New Roman" w:eastAsia="Times New Roman" w:hAnsi="Times New Roman" w:cs="Times New Roman"/>
          <w:color w:val="000000" w:themeColor="text1"/>
          <w:sz w:val="24"/>
        </w:rPr>
        <w:t xml:space="preserve"> spółdzielnie zostały praktycznie pominięte, ze względu na wprowadzon</w:t>
      </w:r>
      <w:r w:rsidR="00F438E9">
        <w:rPr>
          <w:rFonts w:ascii="Times New Roman" w:eastAsia="Times New Roman" w:hAnsi="Times New Roman" w:cs="Times New Roman"/>
          <w:color w:val="000000" w:themeColor="text1"/>
          <w:sz w:val="24"/>
        </w:rPr>
        <w:t>e</w:t>
      </w:r>
      <w:r w:rsidR="00A30992" w:rsidRPr="000B1397">
        <w:rPr>
          <w:rFonts w:ascii="Times New Roman" w:eastAsia="Times New Roman" w:hAnsi="Times New Roman" w:cs="Times New Roman"/>
          <w:color w:val="000000" w:themeColor="text1"/>
          <w:sz w:val="24"/>
        </w:rPr>
        <w:t xml:space="preserve"> górn</w:t>
      </w:r>
      <w:r w:rsidR="00F438E9">
        <w:rPr>
          <w:rFonts w:ascii="Times New Roman" w:eastAsia="Times New Roman" w:hAnsi="Times New Roman" w:cs="Times New Roman"/>
          <w:color w:val="000000" w:themeColor="text1"/>
          <w:sz w:val="24"/>
        </w:rPr>
        <w:t>e</w:t>
      </w:r>
      <w:r w:rsidR="00A30992" w:rsidRPr="000B1397">
        <w:rPr>
          <w:rFonts w:ascii="Times New Roman" w:eastAsia="Times New Roman" w:hAnsi="Times New Roman" w:cs="Times New Roman"/>
          <w:color w:val="000000" w:themeColor="text1"/>
          <w:sz w:val="24"/>
        </w:rPr>
        <w:t xml:space="preserve"> limit</w:t>
      </w:r>
      <w:r w:rsidR="00F438E9">
        <w:rPr>
          <w:rFonts w:ascii="Times New Roman" w:eastAsia="Times New Roman" w:hAnsi="Times New Roman" w:cs="Times New Roman"/>
          <w:color w:val="000000" w:themeColor="text1"/>
          <w:sz w:val="24"/>
        </w:rPr>
        <w:t>y</w:t>
      </w:r>
      <w:r w:rsidR="00A30992" w:rsidRPr="000B1397">
        <w:rPr>
          <w:rFonts w:ascii="Times New Roman" w:eastAsia="Times New Roman" w:hAnsi="Times New Roman" w:cs="Times New Roman"/>
          <w:color w:val="000000" w:themeColor="text1"/>
          <w:sz w:val="24"/>
        </w:rPr>
        <w:t xml:space="preserve"> wielkości </w:t>
      </w:r>
      <w:r w:rsidR="00F438E9">
        <w:rPr>
          <w:rFonts w:ascii="Times New Roman" w:eastAsia="Times New Roman" w:hAnsi="Times New Roman" w:cs="Times New Roman"/>
          <w:color w:val="000000" w:themeColor="text1"/>
          <w:sz w:val="24"/>
        </w:rPr>
        <w:t>gospodarstwa i jego wartości ekonomicznej</w:t>
      </w:r>
      <w:r w:rsidR="00A30992" w:rsidRPr="000B1397">
        <w:rPr>
          <w:rFonts w:ascii="Times New Roman" w:eastAsia="Times New Roman" w:hAnsi="Times New Roman" w:cs="Times New Roman"/>
          <w:color w:val="000000" w:themeColor="text1"/>
          <w:sz w:val="24"/>
        </w:rPr>
        <w:t xml:space="preserve">, przy podziale nowych środków na </w:t>
      </w:r>
      <w:r w:rsidR="00F2434C" w:rsidRPr="000B1397">
        <w:rPr>
          <w:rFonts w:ascii="Times New Roman" w:eastAsia="Times New Roman" w:hAnsi="Times New Roman" w:cs="Times New Roman"/>
          <w:color w:val="000000" w:themeColor="text1"/>
          <w:sz w:val="24"/>
        </w:rPr>
        <w:t>inwestycje w</w:t>
      </w:r>
      <w:r w:rsidR="00A30992" w:rsidRPr="000B1397">
        <w:rPr>
          <w:rFonts w:ascii="Times New Roman" w:eastAsia="Times New Roman" w:hAnsi="Times New Roman" w:cs="Times New Roman"/>
          <w:color w:val="000000" w:themeColor="text1"/>
          <w:sz w:val="24"/>
        </w:rPr>
        <w:t xml:space="preserve"> gospodarstw</w:t>
      </w:r>
      <w:r w:rsidR="00F2434C" w:rsidRPr="000B1397">
        <w:rPr>
          <w:rFonts w:ascii="Times New Roman" w:eastAsia="Times New Roman" w:hAnsi="Times New Roman" w:cs="Times New Roman"/>
          <w:color w:val="000000" w:themeColor="text1"/>
          <w:sz w:val="24"/>
        </w:rPr>
        <w:t>ach</w:t>
      </w:r>
      <w:r w:rsidR="00A30992" w:rsidRPr="000B1397">
        <w:rPr>
          <w:rFonts w:ascii="Times New Roman" w:eastAsia="Times New Roman" w:hAnsi="Times New Roman" w:cs="Times New Roman"/>
          <w:color w:val="000000" w:themeColor="text1"/>
          <w:sz w:val="24"/>
        </w:rPr>
        <w:t xml:space="preserve"> z PROW 2014-2020. </w:t>
      </w:r>
      <w:r w:rsidR="00F2434C" w:rsidRPr="000B1397">
        <w:rPr>
          <w:rFonts w:ascii="Times New Roman" w:eastAsia="Times New Roman" w:hAnsi="Times New Roman" w:cs="Times New Roman"/>
          <w:color w:val="000000" w:themeColor="text1"/>
          <w:sz w:val="24"/>
        </w:rPr>
        <w:t>Wszystkie te okoliczności sprawiły, iż w 2016</w:t>
      </w:r>
      <w:r w:rsidR="00E30516" w:rsidRPr="000B1397">
        <w:rPr>
          <w:rFonts w:ascii="Times New Roman" w:eastAsia="Times New Roman" w:hAnsi="Times New Roman" w:cs="Times New Roman"/>
          <w:color w:val="000000" w:themeColor="text1"/>
          <w:sz w:val="24"/>
        </w:rPr>
        <w:t xml:space="preserve"> </w:t>
      </w:r>
      <w:r w:rsidR="00F2434C" w:rsidRPr="000B1397">
        <w:rPr>
          <w:rFonts w:ascii="Times New Roman" w:eastAsia="Times New Roman" w:hAnsi="Times New Roman" w:cs="Times New Roman"/>
          <w:color w:val="000000" w:themeColor="text1"/>
          <w:sz w:val="24"/>
        </w:rPr>
        <w:t>r. nakład</w:t>
      </w:r>
      <w:r w:rsidR="00E30516" w:rsidRPr="000B1397">
        <w:rPr>
          <w:rFonts w:ascii="Times New Roman" w:eastAsia="Times New Roman" w:hAnsi="Times New Roman" w:cs="Times New Roman"/>
          <w:color w:val="000000" w:themeColor="text1"/>
          <w:sz w:val="24"/>
        </w:rPr>
        <w:t>y inwestycyjne w spółdzielniach</w:t>
      </w:r>
      <w:r w:rsidR="00F2434C" w:rsidRPr="000B1397">
        <w:rPr>
          <w:rFonts w:ascii="Times New Roman" w:eastAsia="Times New Roman" w:hAnsi="Times New Roman" w:cs="Times New Roman"/>
          <w:color w:val="000000" w:themeColor="text1"/>
          <w:sz w:val="24"/>
        </w:rPr>
        <w:t xml:space="preserve"> nie przekroczyły wysokości odpisów amortyzacyjnych</w:t>
      </w:r>
      <w:r w:rsidR="00AB5406" w:rsidRPr="000B1397">
        <w:rPr>
          <w:rFonts w:ascii="Times New Roman" w:eastAsia="Times New Roman" w:hAnsi="Times New Roman" w:cs="Times New Roman"/>
          <w:color w:val="000000" w:themeColor="text1"/>
          <w:sz w:val="24"/>
        </w:rPr>
        <w:t>,</w:t>
      </w:r>
      <w:r w:rsidR="00F2434C" w:rsidRPr="000B1397">
        <w:rPr>
          <w:rFonts w:ascii="Times New Roman" w:eastAsia="Times New Roman" w:hAnsi="Times New Roman" w:cs="Times New Roman"/>
          <w:color w:val="000000" w:themeColor="text1"/>
          <w:sz w:val="24"/>
        </w:rPr>
        <w:t xml:space="preserve"> a stopa inwestycji wyniosła jedynie 0,98%.</w:t>
      </w:r>
    </w:p>
    <w:p w:rsidR="00F7712C" w:rsidRPr="000B1397" w:rsidRDefault="006972B9" w:rsidP="00EA7CA9">
      <w:pPr>
        <w:spacing w:before="80" w:after="0" w:line="264" w:lineRule="auto"/>
        <w:ind w:firstLine="425"/>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Dogłębna</w:t>
      </w:r>
      <w:r w:rsidR="001E22E9" w:rsidRPr="000B1397">
        <w:rPr>
          <w:rFonts w:ascii="Times New Roman" w:eastAsia="Times New Roman" w:hAnsi="Times New Roman" w:cs="Times New Roman"/>
          <w:color w:val="000000" w:themeColor="text1"/>
          <w:sz w:val="24"/>
        </w:rPr>
        <w:t xml:space="preserve"> analiza inwestycji </w:t>
      </w:r>
      <w:r w:rsidR="006D4C55" w:rsidRPr="000B1397">
        <w:rPr>
          <w:rFonts w:ascii="Times New Roman" w:eastAsia="Times New Roman" w:hAnsi="Times New Roman" w:cs="Times New Roman"/>
          <w:color w:val="000000" w:themeColor="text1"/>
          <w:sz w:val="24"/>
        </w:rPr>
        <w:t xml:space="preserve">w </w:t>
      </w:r>
      <w:r w:rsidR="00BA21E8" w:rsidRPr="000B1397">
        <w:rPr>
          <w:rFonts w:ascii="Times New Roman" w:eastAsia="Times New Roman" w:hAnsi="Times New Roman" w:cs="Times New Roman"/>
          <w:color w:val="000000" w:themeColor="text1"/>
          <w:sz w:val="24"/>
        </w:rPr>
        <w:t>spółdzielniach</w:t>
      </w:r>
      <w:r w:rsidR="00B465C1" w:rsidRPr="000B1397">
        <w:rPr>
          <w:rFonts w:ascii="Times New Roman" w:eastAsia="Times New Roman" w:hAnsi="Times New Roman" w:cs="Times New Roman"/>
          <w:color w:val="000000" w:themeColor="text1"/>
          <w:sz w:val="24"/>
        </w:rPr>
        <w:t xml:space="preserve"> </w:t>
      </w:r>
      <w:r w:rsidR="00BA21E8" w:rsidRPr="000B1397">
        <w:rPr>
          <w:rFonts w:ascii="Times New Roman" w:eastAsia="Times New Roman" w:hAnsi="Times New Roman" w:cs="Times New Roman"/>
          <w:color w:val="000000" w:themeColor="text1"/>
          <w:sz w:val="24"/>
        </w:rPr>
        <w:t>wykazała</w:t>
      </w:r>
      <w:r w:rsidR="0075102D" w:rsidRPr="000B1397">
        <w:rPr>
          <w:rFonts w:ascii="Times New Roman" w:eastAsia="Times New Roman" w:hAnsi="Times New Roman" w:cs="Times New Roman"/>
          <w:color w:val="000000" w:themeColor="text1"/>
          <w:sz w:val="24"/>
        </w:rPr>
        <w:t xml:space="preserve">, że </w:t>
      </w:r>
      <w:r w:rsidR="000C2B71" w:rsidRPr="000B1397">
        <w:rPr>
          <w:rFonts w:ascii="Times New Roman" w:eastAsia="Times New Roman" w:hAnsi="Times New Roman" w:cs="Times New Roman"/>
          <w:color w:val="000000" w:themeColor="text1"/>
          <w:sz w:val="24"/>
        </w:rPr>
        <w:t xml:space="preserve">w ciągu ostatnich 3 lat </w:t>
      </w:r>
      <w:r w:rsidR="001E22E9" w:rsidRPr="000B1397">
        <w:rPr>
          <w:rFonts w:ascii="Times New Roman" w:eastAsia="Times New Roman" w:hAnsi="Times New Roman" w:cs="Times New Roman"/>
          <w:color w:val="000000" w:themeColor="text1"/>
          <w:sz w:val="24"/>
        </w:rPr>
        <w:t>9</w:t>
      </w:r>
      <w:r w:rsidR="00073E5C" w:rsidRPr="000B1397">
        <w:rPr>
          <w:rFonts w:ascii="Times New Roman" w:eastAsia="Times New Roman" w:hAnsi="Times New Roman" w:cs="Times New Roman"/>
          <w:color w:val="000000" w:themeColor="text1"/>
          <w:sz w:val="24"/>
        </w:rPr>
        <w:t>%</w:t>
      </w:r>
      <w:r w:rsidR="000151DB"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z nich</w:t>
      </w:r>
      <w:r w:rsidR="00B465C1" w:rsidRPr="000B1397">
        <w:rPr>
          <w:rFonts w:ascii="Times New Roman" w:eastAsia="Times New Roman" w:hAnsi="Times New Roman" w:cs="Times New Roman"/>
          <w:color w:val="000000" w:themeColor="text1"/>
          <w:sz w:val="24"/>
        </w:rPr>
        <w:t xml:space="preserve"> nie </w:t>
      </w:r>
      <w:r w:rsidR="001E22E9" w:rsidRPr="000B1397">
        <w:rPr>
          <w:rFonts w:ascii="Times New Roman" w:eastAsia="Times New Roman" w:hAnsi="Times New Roman" w:cs="Times New Roman"/>
          <w:color w:val="000000" w:themeColor="text1"/>
          <w:sz w:val="24"/>
        </w:rPr>
        <w:t>prowadziła żadnych inwestycji</w:t>
      </w:r>
      <w:r w:rsidR="00073E5C" w:rsidRPr="000B1397">
        <w:rPr>
          <w:rFonts w:ascii="Times New Roman" w:eastAsia="Times New Roman" w:hAnsi="Times New Roman" w:cs="Times New Roman"/>
          <w:color w:val="000000" w:themeColor="text1"/>
          <w:sz w:val="24"/>
        </w:rPr>
        <w:t xml:space="preserve">. Dalsze </w:t>
      </w:r>
      <w:r w:rsidR="001E22E9" w:rsidRPr="000B1397">
        <w:rPr>
          <w:rFonts w:ascii="Times New Roman" w:eastAsia="Times New Roman" w:hAnsi="Times New Roman" w:cs="Times New Roman"/>
          <w:color w:val="000000" w:themeColor="text1"/>
          <w:sz w:val="24"/>
        </w:rPr>
        <w:t>6</w:t>
      </w:r>
      <w:r w:rsidR="00073E5C" w:rsidRPr="000B1397">
        <w:rPr>
          <w:rFonts w:ascii="Times New Roman" w:eastAsia="Times New Roman" w:hAnsi="Times New Roman" w:cs="Times New Roman"/>
          <w:color w:val="000000" w:themeColor="text1"/>
          <w:sz w:val="24"/>
        </w:rPr>
        <w:t>%</w:t>
      </w:r>
      <w:r w:rsidR="001E22E9" w:rsidRPr="000B1397">
        <w:rPr>
          <w:rFonts w:ascii="Times New Roman" w:eastAsia="Times New Roman" w:hAnsi="Times New Roman" w:cs="Times New Roman"/>
          <w:color w:val="000000" w:themeColor="text1"/>
          <w:sz w:val="24"/>
        </w:rPr>
        <w:t xml:space="preserve"> zbiorowości w tym okresie przeprowadziło jedynie </w:t>
      </w:r>
      <w:r w:rsidR="0075102D" w:rsidRPr="000B1397">
        <w:rPr>
          <w:rFonts w:ascii="Times New Roman" w:eastAsia="Times New Roman" w:hAnsi="Times New Roman" w:cs="Times New Roman"/>
          <w:color w:val="000000" w:themeColor="text1"/>
          <w:sz w:val="24"/>
        </w:rPr>
        <w:t>inwestycje na niewielk</w:t>
      </w:r>
      <w:r w:rsidR="001A635C" w:rsidRPr="000B1397">
        <w:rPr>
          <w:rFonts w:ascii="Times New Roman" w:eastAsia="Times New Roman" w:hAnsi="Times New Roman" w:cs="Times New Roman"/>
          <w:color w:val="000000" w:themeColor="text1"/>
          <w:sz w:val="24"/>
        </w:rPr>
        <w:t>ą</w:t>
      </w:r>
      <w:r w:rsidR="0075102D" w:rsidRPr="000B1397">
        <w:rPr>
          <w:rFonts w:ascii="Times New Roman" w:eastAsia="Times New Roman" w:hAnsi="Times New Roman" w:cs="Times New Roman"/>
          <w:color w:val="000000" w:themeColor="text1"/>
          <w:sz w:val="24"/>
        </w:rPr>
        <w:t xml:space="preserve"> skalę</w:t>
      </w:r>
      <w:r w:rsidR="001E22E9" w:rsidRPr="000B1397">
        <w:rPr>
          <w:rFonts w:ascii="Times New Roman" w:eastAsia="Times New Roman" w:hAnsi="Times New Roman" w:cs="Times New Roman"/>
          <w:color w:val="000000" w:themeColor="text1"/>
          <w:sz w:val="24"/>
        </w:rPr>
        <w:t xml:space="preserve">. Nieco </w:t>
      </w:r>
      <w:r w:rsidR="00453DBD" w:rsidRPr="000B1397">
        <w:rPr>
          <w:rFonts w:ascii="Times New Roman" w:eastAsia="Times New Roman" w:hAnsi="Times New Roman" w:cs="Times New Roman"/>
          <w:color w:val="000000" w:themeColor="text1"/>
          <w:sz w:val="24"/>
        </w:rPr>
        <w:t>większa, gdyż</w:t>
      </w:r>
      <w:r w:rsidRPr="000B1397">
        <w:rPr>
          <w:rFonts w:ascii="Times New Roman" w:eastAsia="Times New Roman" w:hAnsi="Times New Roman" w:cs="Times New Roman"/>
          <w:color w:val="000000" w:themeColor="text1"/>
          <w:sz w:val="24"/>
        </w:rPr>
        <w:t xml:space="preserve"> stanowiąca 28%</w:t>
      </w:r>
      <w:r w:rsidR="001E22E9" w:rsidRPr="000B1397">
        <w:rPr>
          <w:rFonts w:ascii="Times New Roman" w:eastAsia="Times New Roman" w:hAnsi="Times New Roman" w:cs="Times New Roman"/>
          <w:color w:val="000000" w:themeColor="text1"/>
          <w:sz w:val="24"/>
        </w:rPr>
        <w:t xml:space="preserve"> </w:t>
      </w:r>
      <w:r w:rsidR="00453DBD" w:rsidRPr="000B1397">
        <w:rPr>
          <w:rFonts w:ascii="Times New Roman" w:eastAsia="Times New Roman" w:hAnsi="Times New Roman" w:cs="Times New Roman"/>
          <w:color w:val="000000" w:themeColor="text1"/>
          <w:sz w:val="24"/>
        </w:rPr>
        <w:t>była grupa,</w:t>
      </w:r>
      <w:r w:rsidRPr="000B1397">
        <w:rPr>
          <w:rFonts w:ascii="Times New Roman" w:eastAsia="Times New Roman" w:hAnsi="Times New Roman" w:cs="Times New Roman"/>
          <w:color w:val="000000" w:themeColor="text1"/>
          <w:sz w:val="24"/>
        </w:rPr>
        <w:t xml:space="preserve"> </w:t>
      </w:r>
      <w:r w:rsidR="001E22E9" w:rsidRPr="000B1397">
        <w:rPr>
          <w:rFonts w:ascii="Times New Roman" w:eastAsia="Times New Roman" w:hAnsi="Times New Roman" w:cs="Times New Roman"/>
          <w:color w:val="000000" w:themeColor="text1"/>
          <w:sz w:val="24"/>
        </w:rPr>
        <w:t xml:space="preserve">która prowadziła </w:t>
      </w:r>
      <w:r w:rsidRPr="000B1397">
        <w:rPr>
          <w:rFonts w:ascii="Times New Roman" w:eastAsia="Times New Roman" w:hAnsi="Times New Roman" w:cs="Times New Roman"/>
          <w:color w:val="000000" w:themeColor="text1"/>
          <w:sz w:val="24"/>
        </w:rPr>
        <w:t xml:space="preserve">inwestycje na nieco większą skalę, </w:t>
      </w:r>
      <w:r w:rsidR="00453DBD" w:rsidRPr="000B1397">
        <w:rPr>
          <w:rFonts w:ascii="Times New Roman" w:eastAsia="Times New Roman" w:hAnsi="Times New Roman" w:cs="Times New Roman"/>
          <w:color w:val="000000" w:themeColor="text1"/>
          <w:sz w:val="24"/>
        </w:rPr>
        <w:t xml:space="preserve">choć </w:t>
      </w:r>
      <w:r w:rsidR="001E22E9" w:rsidRPr="000B1397">
        <w:rPr>
          <w:rFonts w:ascii="Times New Roman" w:eastAsia="Times New Roman" w:hAnsi="Times New Roman" w:cs="Times New Roman"/>
          <w:color w:val="000000" w:themeColor="text1"/>
          <w:sz w:val="24"/>
        </w:rPr>
        <w:t>nie przekraczające jednak poziomu amortyzacji (stopa inwestycji 50-99%)</w:t>
      </w:r>
      <w:r w:rsidRPr="000B1397">
        <w:rPr>
          <w:rFonts w:ascii="Times New Roman" w:eastAsia="Times New Roman" w:hAnsi="Times New Roman" w:cs="Times New Roman"/>
          <w:color w:val="000000" w:themeColor="text1"/>
          <w:sz w:val="24"/>
        </w:rPr>
        <w:t>.</w:t>
      </w:r>
      <w:r w:rsidR="001E22E9"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Największą</w:t>
      </w:r>
      <w:r w:rsidR="00BD4303"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 xml:space="preserve">zbiorowością pozostawały spółdzielnie rozwojowe stanowiące </w:t>
      </w:r>
      <w:r w:rsidR="00BD4303" w:rsidRPr="000B1397">
        <w:rPr>
          <w:rFonts w:ascii="Times New Roman" w:eastAsia="Times New Roman" w:hAnsi="Times New Roman" w:cs="Times New Roman"/>
          <w:color w:val="000000" w:themeColor="text1"/>
          <w:sz w:val="24"/>
        </w:rPr>
        <w:t>57</w:t>
      </w:r>
      <w:r w:rsidR="00073E5C" w:rsidRPr="000B1397">
        <w:rPr>
          <w:rFonts w:ascii="Times New Roman" w:eastAsia="Times New Roman" w:hAnsi="Times New Roman" w:cs="Times New Roman"/>
          <w:color w:val="000000" w:themeColor="text1"/>
          <w:sz w:val="24"/>
        </w:rPr>
        <w:t>%</w:t>
      </w:r>
      <w:r w:rsidR="00A54D45" w:rsidRPr="000B1397">
        <w:rPr>
          <w:rFonts w:ascii="Times New Roman" w:eastAsia="Times New Roman" w:hAnsi="Times New Roman" w:cs="Times New Roman"/>
          <w:color w:val="000000" w:themeColor="text1"/>
          <w:sz w:val="24"/>
        </w:rPr>
        <w:t>,</w:t>
      </w:r>
      <w:r w:rsidR="00E30516" w:rsidRPr="000B1397">
        <w:rPr>
          <w:rFonts w:ascii="Times New Roman" w:eastAsia="Times New Roman" w:hAnsi="Times New Roman" w:cs="Times New Roman"/>
          <w:color w:val="000000" w:themeColor="text1"/>
          <w:sz w:val="24"/>
        </w:rPr>
        <w:t xml:space="preserve"> które</w:t>
      </w:r>
      <w:r w:rsidR="00EB77A9" w:rsidRPr="000B1397">
        <w:rPr>
          <w:rFonts w:ascii="Times New Roman" w:eastAsia="Times New Roman" w:hAnsi="Times New Roman" w:cs="Times New Roman"/>
          <w:color w:val="000000" w:themeColor="text1"/>
          <w:sz w:val="24"/>
        </w:rPr>
        <w:t xml:space="preserve"> wykazywa</w:t>
      </w:r>
      <w:r w:rsidRPr="000B1397">
        <w:rPr>
          <w:rFonts w:ascii="Times New Roman" w:eastAsia="Times New Roman" w:hAnsi="Times New Roman" w:cs="Times New Roman"/>
          <w:color w:val="000000" w:themeColor="text1"/>
          <w:sz w:val="24"/>
        </w:rPr>
        <w:t>ły</w:t>
      </w:r>
      <w:r w:rsidR="0075102D" w:rsidRPr="000B1397">
        <w:rPr>
          <w:rFonts w:ascii="Times New Roman" w:eastAsia="Times New Roman" w:hAnsi="Times New Roman" w:cs="Times New Roman"/>
          <w:color w:val="000000" w:themeColor="text1"/>
          <w:sz w:val="24"/>
        </w:rPr>
        <w:t xml:space="preserve"> rozszerzony stopień reprodukcji majątku</w:t>
      </w:r>
      <w:r w:rsidR="00086E06" w:rsidRPr="000B1397">
        <w:rPr>
          <w:rFonts w:ascii="Times New Roman" w:eastAsia="Times New Roman" w:hAnsi="Times New Roman" w:cs="Times New Roman"/>
          <w:color w:val="000000" w:themeColor="text1"/>
          <w:sz w:val="24"/>
        </w:rPr>
        <w:t>.</w:t>
      </w:r>
      <w:r w:rsidRPr="000B1397">
        <w:rPr>
          <w:rFonts w:ascii="Times New Roman" w:eastAsia="Times New Roman" w:hAnsi="Times New Roman" w:cs="Times New Roman"/>
          <w:color w:val="000000" w:themeColor="text1"/>
          <w:sz w:val="24"/>
        </w:rPr>
        <w:t xml:space="preserve"> W</w:t>
      </w:r>
      <w:r w:rsidR="004A46F9" w:rsidRPr="000B1397">
        <w:rPr>
          <w:rFonts w:ascii="Times New Roman" w:eastAsia="Times New Roman" w:hAnsi="Times New Roman" w:cs="Times New Roman"/>
          <w:color w:val="000000" w:themeColor="text1"/>
          <w:sz w:val="24"/>
        </w:rPr>
        <w:t xml:space="preserve"> niektórych spółdzielniach</w:t>
      </w:r>
      <w:r w:rsidR="00497032" w:rsidRPr="000B1397">
        <w:rPr>
          <w:rFonts w:ascii="Times New Roman" w:eastAsia="Times New Roman" w:hAnsi="Times New Roman" w:cs="Times New Roman"/>
          <w:color w:val="000000" w:themeColor="text1"/>
          <w:sz w:val="24"/>
        </w:rPr>
        <w:t>,</w:t>
      </w:r>
      <w:r w:rsidR="004A46F9" w:rsidRPr="000B1397">
        <w:rPr>
          <w:rFonts w:ascii="Times New Roman" w:eastAsia="Times New Roman" w:hAnsi="Times New Roman" w:cs="Times New Roman"/>
          <w:color w:val="000000" w:themeColor="text1"/>
          <w:sz w:val="24"/>
        </w:rPr>
        <w:t xml:space="preserve"> o</w:t>
      </w:r>
      <w:r w:rsidR="00F7712C" w:rsidRPr="000B1397">
        <w:rPr>
          <w:rFonts w:ascii="Times New Roman" w:eastAsia="Times New Roman" w:hAnsi="Times New Roman" w:cs="Times New Roman"/>
          <w:color w:val="000000" w:themeColor="text1"/>
          <w:sz w:val="24"/>
        </w:rPr>
        <w:t xml:space="preserve">prócz inwestycji prowadzonych ze środków własnych lub </w:t>
      </w:r>
      <w:r w:rsidR="004A46F9" w:rsidRPr="000B1397">
        <w:rPr>
          <w:rFonts w:ascii="Times New Roman" w:eastAsia="Times New Roman" w:hAnsi="Times New Roman" w:cs="Times New Roman"/>
          <w:color w:val="000000" w:themeColor="text1"/>
          <w:sz w:val="24"/>
        </w:rPr>
        <w:t xml:space="preserve">z </w:t>
      </w:r>
      <w:r w:rsidR="00F7712C" w:rsidRPr="000B1397">
        <w:rPr>
          <w:rFonts w:ascii="Times New Roman" w:eastAsia="Times New Roman" w:hAnsi="Times New Roman" w:cs="Times New Roman"/>
          <w:color w:val="000000" w:themeColor="text1"/>
          <w:sz w:val="24"/>
        </w:rPr>
        <w:t>kredytu</w:t>
      </w:r>
      <w:r w:rsidR="001A635C" w:rsidRPr="000B1397">
        <w:rPr>
          <w:rFonts w:ascii="Times New Roman" w:eastAsia="Times New Roman" w:hAnsi="Times New Roman" w:cs="Times New Roman"/>
          <w:color w:val="000000" w:themeColor="text1"/>
          <w:sz w:val="24"/>
        </w:rPr>
        <w:t>,</w:t>
      </w:r>
      <w:r w:rsidR="00F7712C" w:rsidRPr="000B1397">
        <w:rPr>
          <w:rFonts w:ascii="Times New Roman" w:eastAsia="Times New Roman" w:hAnsi="Times New Roman" w:cs="Times New Roman"/>
          <w:color w:val="000000" w:themeColor="text1"/>
          <w:sz w:val="24"/>
        </w:rPr>
        <w:t xml:space="preserve"> </w:t>
      </w:r>
      <w:r w:rsidR="004A46F9" w:rsidRPr="000B1397">
        <w:rPr>
          <w:rFonts w:ascii="Times New Roman" w:eastAsia="Times New Roman" w:hAnsi="Times New Roman" w:cs="Times New Roman"/>
          <w:color w:val="000000" w:themeColor="text1"/>
          <w:sz w:val="24"/>
        </w:rPr>
        <w:t>decydowano się na leasing maszyn i urządzeń</w:t>
      </w:r>
      <w:r w:rsidR="00F7712C" w:rsidRPr="000B1397">
        <w:rPr>
          <w:rFonts w:ascii="Times New Roman" w:eastAsia="Times New Roman" w:hAnsi="Times New Roman" w:cs="Times New Roman"/>
          <w:color w:val="000000" w:themeColor="text1"/>
          <w:sz w:val="24"/>
        </w:rPr>
        <w:t>. Ten rodzaj finansowania inwestycji obecny był w</w:t>
      </w:r>
      <w:r w:rsidR="004A46F9"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 xml:space="preserve">latach 2014-2016 </w:t>
      </w:r>
      <w:r w:rsidR="00073E5C" w:rsidRPr="000B1397">
        <w:rPr>
          <w:rFonts w:ascii="Times New Roman" w:eastAsia="Times New Roman" w:hAnsi="Times New Roman" w:cs="Times New Roman"/>
          <w:color w:val="000000" w:themeColor="text1"/>
          <w:sz w:val="24"/>
        </w:rPr>
        <w:t>w</w:t>
      </w:r>
      <w:r w:rsidR="004A46F9" w:rsidRPr="000B1397">
        <w:rPr>
          <w:rFonts w:ascii="Times New Roman" w:eastAsia="Times New Roman" w:hAnsi="Times New Roman" w:cs="Times New Roman"/>
          <w:color w:val="000000" w:themeColor="text1"/>
          <w:sz w:val="24"/>
        </w:rPr>
        <w:t xml:space="preserve"> 1</w:t>
      </w:r>
      <w:r w:rsidRPr="000B1397">
        <w:rPr>
          <w:rFonts w:ascii="Times New Roman" w:eastAsia="Times New Roman" w:hAnsi="Times New Roman" w:cs="Times New Roman"/>
          <w:color w:val="000000" w:themeColor="text1"/>
          <w:sz w:val="24"/>
        </w:rPr>
        <w:t>0 RSP</w:t>
      </w:r>
      <w:r w:rsidR="00F7712C" w:rsidRPr="000B1397">
        <w:rPr>
          <w:rFonts w:ascii="Times New Roman" w:eastAsia="Times New Roman" w:hAnsi="Times New Roman" w:cs="Times New Roman"/>
          <w:color w:val="000000" w:themeColor="text1"/>
          <w:sz w:val="24"/>
        </w:rPr>
        <w:t>,</w:t>
      </w:r>
      <w:r w:rsidR="00B92FF7" w:rsidRPr="000B1397">
        <w:rPr>
          <w:rFonts w:ascii="Times New Roman" w:eastAsia="Times New Roman" w:hAnsi="Times New Roman" w:cs="Times New Roman"/>
          <w:color w:val="000000" w:themeColor="text1"/>
          <w:sz w:val="24"/>
        </w:rPr>
        <w:t xml:space="preserve"> a</w:t>
      </w:r>
      <w:r w:rsidR="00F7712C" w:rsidRPr="000B1397">
        <w:rPr>
          <w:rFonts w:ascii="Times New Roman" w:eastAsia="Times New Roman" w:hAnsi="Times New Roman" w:cs="Times New Roman"/>
          <w:color w:val="000000" w:themeColor="text1"/>
          <w:sz w:val="24"/>
        </w:rPr>
        <w:t xml:space="preserve"> przeciętna wartość </w:t>
      </w:r>
      <w:r w:rsidR="00073E5C" w:rsidRPr="000B1397">
        <w:rPr>
          <w:rFonts w:ascii="Times New Roman" w:eastAsia="Times New Roman" w:hAnsi="Times New Roman" w:cs="Times New Roman"/>
          <w:color w:val="000000" w:themeColor="text1"/>
          <w:sz w:val="24"/>
        </w:rPr>
        <w:t>zawartej</w:t>
      </w:r>
      <w:r w:rsidR="004A46F9" w:rsidRPr="000B1397">
        <w:rPr>
          <w:rFonts w:ascii="Times New Roman" w:eastAsia="Times New Roman" w:hAnsi="Times New Roman" w:cs="Times New Roman"/>
          <w:color w:val="000000" w:themeColor="text1"/>
          <w:sz w:val="24"/>
        </w:rPr>
        <w:t xml:space="preserve"> umowy leasingowej wynosiła 4</w:t>
      </w:r>
      <w:r w:rsidRPr="000B1397">
        <w:rPr>
          <w:rFonts w:ascii="Times New Roman" w:eastAsia="Times New Roman" w:hAnsi="Times New Roman" w:cs="Times New Roman"/>
          <w:color w:val="000000" w:themeColor="text1"/>
          <w:sz w:val="24"/>
        </w:rPr>
        <w:t xml:space="preserve">49 tys. zł. </w:t>
      </w:r>
      <w:r w:rsidR="00F7712C" w:rsidRPr="000B1397">
        <w:rPr>
          <w:rFonts w:ascii="Times New Roman" w:eastAsia="Times New Roman" w:hAnsi="Times New Roman" w:cs="Times New Roman"/>
          <w:color w:val="000000" w:themeColor="text1"/>
          <w:sz w:val="24"/>
        </w:rPr>
        <w:t xml:space="preserve"> </w:t>
      </w:r>
    </w:p>
    <w:p w:rsidR="007E7F33" w:rsidRPr="000B1397" w:rsidRDefault="00A3712B" w:rsidP="00EA7CA9">
      <w:pPr>
        <w:spacing w:before="80" w:after="0" w:line="264" w:lineRule="auto"/>
        <w:ind w:firstLine="425"/>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Przyjęto, że na żywotność spółdzielni o</w:t>
      </w:r>
      <w:r w:rsidR="00215C75" w:rsidRPr="000B1397">
        <w:rPr>
          <w:rFonts w:ascii="Times New Roman" w:eastAsia="Times New Roman" w:hAnsi="Times New Roman" w:cs="Times New Roman"/>
          <w:color w:val="000000" w:themeColor="text1"/>
          <w:sz w:val="24"/>
        </w:rPr>
        <w:t>bok inwestycji,</w:t>
      </w:r>
      <w:r w:rsidR="00460E4C" w:rsidRPr="000B1397">
        <w:rPr>
          <w:rFonts w:ascii="Times New Roman" w:eastAsia="Times New Roman" w:hAnsi="Times New Roman" w:cs="Times New Roman"/>
          <w:color w:val="000000" w:themeColor="text1"/>
          <w:sz w:val="24"/>
        </w:rPr>
        <w:t xml:space="preserve"> decydują</w:t>
      </w:r>
      <w:r w:rsidRPr="000B1397">
        <w:rPr>
          <w:rFonts w:ascii="Times New Roman" w:eastAsia="Times New Roman" w:hAnsi="Times New Roman" w:cs="Times New Roman"/>
          <w:color w:val="000000" w:themeColor="text1"/>
          <w:sz w:val="24"/>
        </w:rPr>
        <w:t>cy wpływ</w:t>
      </w:r>
      <w:r w:rsidR="00215C75"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 xml:space="preserve">ma </w:t>
      </w:r>
      <w:r w:rsidR="007E7F33" w:rsidRPr="000B1397">
        <w:rPr>
          <w:rFonts w:ascii="Times New Roman" w:eastAsia="Times New Roman" w:hAnsi="Times New Roman" w:cs="Times New Roman"/>
          <w:color w:val="000000" w:themeColor="text1"/>
          <w:sz w:val="24"/>
        </w:rPr>
        <w:t>poziom opłaty</w:t>
      </w:r>
      <w:r w:rsidR="00B92FF7" w:rsidRPr="000B1397">
        <w:rPr>
          <w:rFonts w:ascii="Times New Roman" w:eastAsia="Times New Roman" w:hAnsi="Times New Roman" w:cs="Times New Roman"/>
          <w:color w:val="000000" w:themeColor="text1"/>
          <w:sz w:val="24"/>
        </w:rPr>
        <w:t xml:space="preserve"> pracy</w:t>
      </w:r>
      <w:r w:rsidR="007E7F33" w:rsidRPr="000B1397">
        <w:rPr>
          <w:rFonts w:ascii="Times New Roman" w:eastAsia="Times New Roman" w:hAnsi="Times New Roman" w:cs="Times New Roman"/>
          <w:color w:val="000000" w:themeColor="text1"/>
          <w:sz w:val="24"/>
        </w:rPr>
        <w:t xml:space="preserve"> własnej</w:t>
      </w:r>
      <w:r w:rsidRPr="000B1397">
        <w:rPr>
          <w:rFonts w:ascii="Times New Roman" w:eastAsia="Times New Roman" w:hAnsi="Times New Roman" w:cs="Times New Roman"/>
          <w:color w:val="000000" w:themeColor="text1"/>
          <w:sz w:val="24"/>
        </w:rPr>
        <w:t xml:space="preserve"> ustalany przez jej</w:t>
      </w:r>
      <w:r w:rsidR="007E7F33" w:rsidRPr="000B1397">
        <w:rPr>
          <w:rFonts w:ascii="Times New Roman" w:eastAsia="Times New Roman" w:hAnsi="Times New Roman" w:cs="Times New Roman"/>
          <w:color w:val="000000" w:themeColor="text1"/>
          <w:sz w:val="24"/>
        </w:rPr>
        <w:t xml:space="preserve"> członków. </w:t>
      </w:r>
      <w:r w:rsidRPr="000B1397">
        <w:rPr>
          <w:rFonts w:ascii="Times New Roman" w:eastAsia="Times New Roman" w:hAnsi="Times New Roman" w:cs="Times New Roman"/>
          <w:color w:val="000000" w:themeColor="text1"/>
          <w:sz w:val="24"/>
        </w:rPr>
        <w:t>W</w:t>
      </w:r>
      <w:r w:rsidR="007E7F33" w:rsidRPr="000B1397">
        <w:rPr>
          <w:rFonts w:ascii="Times New Roman" w:eastAsia="Times New Roman" w:hAnsi="Times New Roman" w:cs="Times New Roman"/>
          <w:color w:val="000000" w:themeColor="text1"/>
          <w:sz w:val="24"/>
        </w:rPr>
        <w:t xml:space="preserve"> </w:t>
      </w:r>
      <w:r w:rsidR="00215C75" w:rsidRPr="000B1397">
        <w:rPr>
          <w:rFonts w:ascii="Times New Roman" w:eastAsia="Times New Roman" w:hAnsi="Times New Roman" w:cs="Times New Roman"/>
          <w:color w:val="000000" w:themeColor="text1"/>
          <w:sz w:val="24"/>
        </w:rPr>
        <w:t>latach dekoniunktury</w:t>
      </w:r>
      <w:r w:rsidR="007E7F33" w:rsidRPr="000B1397">
        <w:rPr>
          <w:rFonts w:ascii="Times New Roman" w:eastAsia="Times New Roman" w:hAnsi="Times New Roman" w:cs="Times New Roman"/>
          <w:color w:val="000000" w:themeColor="text1"/>
          <w:sz w:val="24"/>
        </w:rPr>
        <w:t xml:space="preserve"> obserwować można było</w:t>
      </w:r>
      <w:r w:rsidRPr="000B1397">
        <w:rPr>
          <w:rFonts w:ascii="Times New Roman" w:eastAsia="Times New Roman" w:hAnsi="Times New Roman" w:cs="Times New Roman"/>
          <w:color w:val="000000" w:themeColor="text1"/>
          <w:sz w:val="24"/>
        </w:rPr>
        <w:t xml:space="preserve"> zwykle </w:t>
      </w:r>
      <w:r w:rsidR="007E7F33" w:rsidRPr="000B1397">
        <w:rPr>
          <w:rFonts w:ascii="Times New Roman" w:eastAsia="Times New Roman" w:hAnsi="Times New Roman" w:cs="Times New Roman"/>
          <w:color w:val="000000" w:themeColor="text1"/>
          <w:sz w:val="24"/>
        </w:rPr>
        <w:t>zwiększ</w:t>
      </w:r>
      <w:r w:rsidR="005A4CD9" w:rsidRPr="000B1397">
        <w:rPr>
          <w:rFonts w:ascii="Times New Roman" w:eastAsia="Times New Roman" w:hAnsi="Times New Roman" w:cs="Times New Roman"/>
          <w:color w:val="000000" w:themeColor="text1"/>
          <w:sz w:val="24"/>
        </w:rPr>
        <w:t>on</w:t>
      </w:r>
      <w:r w:rsidR="00215C75" w:rsidRPr="000B1397">
        <w:rPr>
          <w:rFonts w:ascii="Times New Roman" w:eastAsia="Times New Roman" w:hAnsi="Times New Roman" w:cs="Times New Roman"/>
          <w:color w:val="000000" w:themeColor="text1"/>
          <w:sz w:val="24"/>
        </w:rPr>
        <w:t>ą liczbę spółdzielni</w:t>
      </w:r>
      <w:r w:rsidR="00A21CCD" w:rsidRPr="000B1397">
        <w:rPr>
          <w:rFonts w:ascii="Times New Roman" w:eastAsia="Times New Roman" w:hAnsi="Times New Roman" w:cs="Times New Roman"/>
          <w:color w:val="000000" w:themeColor="text1"/>
          <w:sz w:val="24"/>
        </w:rPr>
        <w:t>,</w:t>
      </w:r>
      <w:r w:rsidR="007E7F33" w:rsidRPr="000B1397">
        <w:rPr>
          <w:rFonts w:ascii="Times New Roman" w:eastAsia="Times New Roman" w:hAnsi="Times New Roman" w:cs="Times New Roman"/>
          <w:color w:val="000000" w:themeColor="text1"/>
          <w:sz w:val="24"/>
        </w:rPr>
        <w:t xml:space="preserve"> gdzie opłata </w:t>
      </w:r>
      <w:r w:rsidR="00A54D45" w:rsidRPr="000B1397">
        <w:rPr>
          <w:rFonts w:ascii="Times New Roman" w:eastAsia="Times New Roman" w:hAnsi="Times New Roman" w:cs="Times New Roman"/>
          <w:color w:val="000000" w:themeColor="text1"/>
          <w:sz w:val="24"/>
        </w:rPr>
        <w:t>ta</w:t>
      </w:r>
      <w:r w:rsidR="00B92FF7" w:rsidRPr="000B1397">
        <w:rPr>
          <w:rFonts w:ascii="Times New Roman" w:eastAsia="Times New Roman" w:hAnsi="Times New Roman" w:cs="Times New Roman"/>
          <w:color w:val="000000" w:themeColor="text1"/>
          <w:sz w:val="24"/>
        </w:rPr>
        <w:t xml:space="preserve"> przekraczała wypracowany dochód</w:t>
      </w:r>
      <w:r w:rsidR="00215C75"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 xml:space="preserve">Podobną prawidłowość </w:t>
      </w:r>
      <w:r w:rsidR="007D0EC6" w:rsidRPr="000B1397">
        <w:rPr>
          <w:rFonts w:ascii="Times New Roman" w:eastAsia="Times New Roman" w:hAnsi="Times New Roman" w:cs="Times New Roman"/>
          <w:color w:val="000000" w:themeColor="text1"/>
          <w:sz w:val="24"/>
        </w:rPr>
        <w:t>zaobserwowano</w:t>
      </w:r>
      <w:r w:rsidRPr="000B1397">
        <w:rPr>
          <w:rFonts w:ascii="Times New Roman" w:eastAsia="Times New Roman" w:hAnsi="Times New Roman" w:cs="Times New Roman"/>
          <w:color w:val="000000" w:themeColor="text1"/>
          <w:sz w:val="24"/>
        </w:rPr>
        <w:t xml:space="preserve"> również w 2015 i 2016</w:t>
      </w:r>
      <w:r w:rsidR="00215C75" w:rsidRPr="000B1397">
        <w:rPr>
          <w:rFonts w:ascii="Times New Roman" w:eastAsia="Times New Roman" w:hAnsi="Times New Roman" w:cs="Times New Roman"/>
          <w:color w:val="000000" w:themeColor="text1"/>
          <w:sz w:val="24"/>
        </w:rPr>
        <w:t xml:space="preserve"> roku</w:t>
      </w:r>
      <w:r w:rsidR="007D0EC6" w:rsidRPr="000B1397">
        <w:rPr>
          <w:rFonts w:ascii="Times New Roman" w:eastAsia="Times New Roman" w:hAnsi="Times New Roman" w:cs="Times New Roman"/>
          <w:color w:val="000000" w:themeColor="text1"/>
          <w:sz w:val="24"/>
        </w:rPr>
        <w:t>.</w:t>
      </w:r>
      <w:r w:rsidR="00215C75" w:rsidRPr="000B1397">
        <w:rPr>
          <w:rFonts w:ascii="Times New Roman" w:eastAsia="Times New Roman" w:hAnsi="Times New Roman" w:cs="Times New Roman"/>
          <w:color w:val="000000" w:themeColor="text1"/>
          <w:sz w:val="24"/>
        </w:rPr>
        <w:t xml:space="preserve"> </w:t>
      </w:r>
      <w:r w:rsidR="007D0EC6" w:rsidRPr="000B1397">
        <w:rPr>
          <w:rFonts w:ascii="Times New Roman" w:eastAsia="Times New Roman" w:hAnsi="Times New Roman" w:cs="Times New Roman"/>
          <w:color w:val="000000" w:themeColor="text1"/>
          <w:sz w:val="24"/>
        </w:rPr>
        <w:t>Według sprawozdań finansowych</w:t>
      </w:r>
      <w:r w:rsidR="00497032" w:rsidRPr="000B1397">
        <w:rPr>
          <w:rFonts w:ascii="Times New Roman" w:eastAsia="Times New Roman" w:hAnsi="Times New Roman" w:cs="Times New Roman"/>
          <w:color w:val="000000" w:themeColor="text1"/>
          <w:sz w:val="24"/>
        </w:rPr>
        <w:t>,</w:t>
      </w:r>
      <w:r w:rsidR="007D0EC6" w:rsidRPr="000B1397">
        <w:rPr>
          <w:rFonts w:ascii="Times New Roman" w:eastAsia="Times New Roman" w:hAnsi="Times New Roman" w:cs="Times New Roman"/>
          <w:color w:val="000000" w:themeColor="text1"/>
          <w:sz w:val="24"/>
        </w:rPr>
        <w:t xml:space="preserve"> </w:t>
      </w:r>
      <w:r w:rsidR="00215C75" w:rsidRPr="000B1397">
        <w:rPr>
          <w:rFonts w:ascii="Times New Roman" w:eastAsia="Times New Roman" w:hAnsi="Times New Roman" w:cs="Times New Roman"/>
          <w:color w:val="000000" w:themeColor="text1"/>
          <w:sz w:val="24"/>
        </w:rPr>
        <w:t>udział</w:t>
      </w:r>
      <w:r w:rsidR="007E7F33" w:rsidRPr="000B1397">
        <w:rPr>
          <w:rFonts w:ascii="Times New Roman" w:eastAsia="Times New Roman" w:hAnsi="Times New Roman" w:cs="Times New Roman"/>
          <w:color w:val="000000" w:themeColor="text1"/>
          <w:sz w:val="24"/>
        </w:rPr>
        <w:t xml:space="preserve"> spółdzielni „prz</w:t>
      </w:r>
      <w:r w:rsidR="00215C75" w:rsidRPr="000B1397">
        <w:rPr>
          <w:rFonts w:ascii="Times New Roman" w:eastAsia="Times New Roman" w:hAnsi="Times New Roman" w:cs="Times New Roman"/>
          <w:color w:val="000000" w:themeColor="text1"/>
          <w:sz w:val="24"/>
        </w:rPr>
        <w:t>ejadających majątek” wzrósł z 16</w:t>
      </w:r>
      <w:r w:rsidR="007D0EC6" w:rsidRPr="000B1397">
        <w:rPr>
          <w:rFonts w:ascii="Times New Roman" w:eastAsia="Times New Roman" w:hAnsi="Times New Roman" w:cs="Times New Roman"/>
          <w:color w:val="000000" w:themeColor="text1"/>
          <w:sz w:val="24"/>
        </w:rPr>
        <w:t>% w 2014</w:t>
      </w:r>
      <w:r w:rsidR="00653615" w:rsidRPr="000B1397">
        <w:rPr>
          <w:rFonts w:ascii="Times New Roman" w:eastAsia="Times New Roman" w:hAnsi="Times New Roman" w:cs="Times New Roman"/>
          <w:color w:val="000000" w:themeColor="text1"/>
          <w:sz w:val="24"/>
        </w:rPr>
        <w:t> </w:t>
      </w:r>
      <w:r w:rsidR="007D0EC6" w:rsidRPr="000B1397">
        <w:rPr>
          <w:rFonts w:ascii="Times New Roman" w:eastAsia="Times New Roman" w:hAnsi="Times New Roman" w:cs="Times New Roman"/>
          <w:color w:val="000000" w:themeColor="text1"/>
          <w:sz w:val="24"/>
        </w:rPr>
        <w:t>r. do 20</w:t>
      </w:r>
      <w:r w:rsidR="00A21CCD" w:rsidRPr="000B1397">
        <w:rPr>
          <w:rFonts w:ascii="Times New Roman" w:eastAsia="Times New Roman" w:hAnsi="Times New Roman" w:cs="Times New Roman"/>
          <w:color w:val="000000" w:themeColor="text1"/>
          <w:sz w:val="24"/>
        </w:rPr>
        <w:t>%</w:t>
      </w:r>
      <w:r w:rsidR="007D0EC6" w:rsidRPr="000B1397">
        <w:rPr>
          <w:rFonts w:ascii="Times New Roman" w:eastAsia="Times New Roman" w:hAnsi="Times New Roman" w:cs="Times New Roman"/>
          <w:color w:val="000000" w:themeColor="text1"/>
          <w:sz w:val="24"/>
        </w:rPr>
        <w:t xml:space="preserve"> w 2016</w:t>
      </w:r>
      <w:r w:rsidR="00653615" w:rsidRPr="000B1397">
        <w:rPr>
          <w:rFonts w:ascii="Times New Roman" w:eastAsia="Times New Roman" w:hAnsi="Times New Roman" w:cs="Times New Roman"/>
          <w:color w:val="000000" w:themeColor="text1"/>
          <w:sz w:val="24"/>
        </w:rPr>
        <w:t> </w:t>
      </w:r>
      <w:r w:rsidR="007D0EC6" w:rsidRPr="000B1397">
        <w:rPr>
          <w:rFonts w:ascii="Times New Roman" w:eastAsia="Times New Roman" w:hAnsi="Times New Roman" w:cs="Times New Roman"/>
          <w:color w:val="000000" w:themeColor="text1"/>
          <w:sz w:val="24"/>
        </w:rPr>
        <w:t>r.,</w:t>
      </w:r>
      <w:r w:rsidR="00CF1E3E" w:rsidRPr="000B1397">
        <w:rPr>
          <w:rFonts w:ascii="Times New Roman" w:eastAsia="Times New Roman" w:hAnsi="Times New Roman" w:cs="Times New Roman"/>
          <w:color w:val="000000" w:themeColor="text1"/>
          <w:sz w:val="24"/>
        </w:rPr>
        <w:t xml:space="preserve"> </w:t>
      </w:r>
      <w:r w:rsidR="007D0EC6" w:rsidRPr="000B1397">
        <w:rPr>
          <w:rFonts w:ascii="Times New Roman" w:eastAsia="Times New Roman" w:hAnsi="Times New Roman" w:cs="Times New Roman"/>
          <w:color w:val="000000" w:themeColor="text1"/>
          <w:sz w:val="24"/>
        </w:rPr>
        <w:t>o</w:t>
      </w:r>
      <w:r w:rsidR="00215C75" w:rsidRPr="000B1397">
        <w:rPr>
          <w:rFonts w:ascii="Times New Roman" w:eastAsia="Times New Roman" w:hAnsi="Times New Roman" w:cs="Times New Roman"/>
          <w:color w:val="000000" w:themeColor="text1"/>
          <w:sz w:val="24"/>
        </w:rPr>
        <w:t>bniżył się udział</w:t>
      </w:r>
      <w:r w:rsidR="00CF1E3E" w:rsidRPr="000B1397">
        <w:rPr>
          <w:rFonts w:ascii="Times New Roman" w:eastAsia="Times New Roman" w:hAnsi="Times New Roman" w:cs="Times New Roman"/>
          <w:color w:val="000000" w:themeColor="text1"/>
          <w:sz w:val="24"/>
        </w:rPr>
        <w:t xml:space="preserve"> spółdzielni „egzystujących”, czyli rozdysponowujących na op</w:t>
      </w:r>
      <w:r w:rsidR="00B92FF7" w:rsidRPr="000B1397">
        <w:rPr>
          <w:rFonts w:ascii="Times New Roman" w:eastAsia="Times New Roman" w:hAnsi="Times New Roman" w:cs="Times New Roman"/>
          <w:color w:val="000000" w:themeColor="text1"/>
          <w:sz w:val="24"/>
        </w:rPr>
        <w:t>łatę pracy cały wypracowany dochód</w:t>
      </w:r>
      <w:r w:rsidR="00A54D45" w:rsidRPr="000B1397">
        <w:rPr>
          <w:rFonts w:ascii="Times New Roman" w:eastAsia="Times New Roman" w:hAnsi="Times New Roman" w:cs="Times New Roman"/>
          <w:color w:val="000000" w:themeColor="text1"/>
          <w:sz w:val="24"/>
        </w:rPr>
        <w:t>;</w:t>
      </w:r>
      <w:r w:rsidR="00CF1E3E" w:rsidRPr="000B1397">
        <w:rPr>
          <w:rFonts w:ascii="Times New Roman" w:eastAsia="Times New Roman" w:hAnsi="Times New Roman" w:cs="Times New Roman"/>
          <w:color w:val="000000" w:themeColor="text1"/>
          <w:sz w:val="24"/>
        </w:rPr>
        <w:t xml:space="preserve"> w </w:t>
      </w:r>
      <w:r w:rsidR="007D0EC6" w:rsidRPr="000B1397">
        <w:rPr>
          <w:rFonts w:ascii="Times New Roman" w:eastAsia="Times New Roman" w:hAnsi="Times New Roman" w:cs="Times New Roman"/>
          <w:color w:val="000000" w:themeColor="text1"/>
          <w:sz w:val="24"/>
        </w:rPr>
        <w:t>latach 2015-2016</w:t>
      </w:r>
      <w:r w:rsidR="00215C75" w:rsidRPr="000B1397">
        <w:rPr>
          <w:rFonts w:ascii="Times New Roman" w:eastAsia="Times New Roman" w:hAnsi="Times New Roman" w:cs="Times New Roman"/>
          <w:color w:val="000000" w:themeColor="text1"/>
          <w:sz w:val="24"/>
        </w:rPr>
        <w:t xml:space="preserve"> było ich 10</w:t>
      </w:r>
      <w:r w:rsidR="00A21CCD" w:rsidRPr="000B1397">
        <w:rPr>
          <w:rFonts w:ascii="Times New Roman" w:eastAsia="Times New Roman" w:hAnsi="Times New Roman" w:cs="Times New Roman"/>
          <w:color w:val="000000" w:themeColor="text1"/>
          <w:sz w:val="24"/>
        </w:rPr>
        <w:t>%</w:t>
      </w:r>
      <w:r w:rsidR="00B92FF7" w:rsidRPr="000B1397">
        <w:rPr>
          <w:rFonts w:ascii="Times New Roman" w:eastAsia="Times New Roman" w:hAnsi="Times New Roman" w:cs="Times New Roman"/>
          <w:color w:val="000000" w:themeColor="text1"/>
          <w:sz w:val="24"/>
        </w:rPr>
        <w:t>,</w:t>
      </w:r>
      <w:r w:rsidR="00215C75" w:rsidRPr="000B1397">
        <w:rPr>
          <w:rFonts w:ascii="Times New Roman" w:eastAsia="Times New Roman" w:hAnsi="Times New Roman" w:cs="Times New Roman"/>
          <w:color w:val="000000" w:themeColor="text1"/>
          <w:sz w:val="24"/>
        </w:rPr>
        <w:t xml:space="preserve"> wobec 13</w:t>
      </w:r>
      <w:r w:rsidR="00A21CCD" w:rsidRPr="000B1397">
        <w:rPr>
          <w:rFonts w:ascii="Times New Roman" w:eastAsia="Times New Roman" w:hAnsi="Times New Roman" w:cs="Times New Roman"/>
          <w:color w:val="000000" w:themeColor="text1"/>
          <w:sz w:val="24"/>
        </w:rPr>
        <w:t>%</w:t>
      </w:r>
      <w:r w:rsidR="007D0EC6" w:rsidRPr="000B1397">
        <w:rPr>
          <w:rFonts w:ascii="Times New Roman" w:eastAsia="Times New Roman" w:hAnsi="Times New Roman" w:cs="Times New Roman"/>
          <w:color w:val="000000" w:themeColor="text1"/>
          <w:sz w:val="24"/>
        </w:rPr>
        <w:t xml:space="preserve"> w roku 2014</w:t>
      </w:r>
      <w:r w:rsidR="00653615" w:rsidRPr="000B1397">
        <w:rPr>
          <w:rFonts w:ascii="Times New Roman" w:eastAsia="Times New Roman" w:hAnsi="Times New Roman" w:cs="Times New Roman"/>
          <w:color w:val="000000" w:themeColor="text1"/>
          <w:sz w:val="24"/>
        </w:rPr>
        <w:t>.</w:t>
      </w:r>
      <w:r w:rsidR="00CF1E3E" w:rsidRPr="000B1397">
        <w:rPr>
          <w:rFonts w:ascii="Times New Roman" w:eastAsia="Times New Roman" w:hAnsi="Times New Roman" w:cs="Times New Roman"/>
          <w:color w:val="000000" w:themeColor="text1"/>
          <w:sz w:val="24"/>
        </w:rPr>
        <w:t xml:space="preserve"> Mimo</w:t>
      </w:r>
      <w:r w:rsidR="00215C75" w:rsidRPr="000B1397">
        <w:rPr>
          <w:rFonts w:ascii="Times New Roman" w:eastAsia="Times New Roman" w:hAnsi="Times New Roman" w:cs="Times New Roman"/>
          <w:color w:val="000000" w:themeColor="text1"/>
          <w:sz w:val="24"/>
        </w:rPr>
        <w:t xml:space="preserve"> </w:t>
      </w:r>
      <w:r w:rsidR="007D0EC6" w:rsidRPr="000B1397">
        <w:rPr>
          <w:rFonts w:ascii="Times New Roman" w:eastAsia="Times New Roman" w:hAnsi="Times New Roman" w:cs="Times New Roman"/>
          <w:color w:val="000000" w:themeColor="text1"/>
          <w:sz w:val="24"/>
        </w:rPr>
        <w:t>niskiej dochodowości produkcji na przestrzeni ostatnich lat, okazało się, iż 70% RSP prowadziło odpowiedzialną politykę płacową.</w:t>
      </w:r>
    </w:p>
    <w:p w:rsidR="004B701A" w:rsidRPr="000B1397" w:rsidRDefault="004B701A" w:rsidP="000B1397">
      <w:pPr>
        <w:spacing w:before="120" w:after="120" w:line="264" w:lineRule="auto"/>
        <w:jc w:val="both"/>
        <w:rPr>
          <w:rFonts w:ascii="Times New Roman" w:hAnsi="Times New Roman" w:cs="Times New Roman"/>
          <w:b/>
          <w:color w:val="000000" w:themeColor="text1"/>
          <w:sz w:val="24"/>
          <w:szCs w:val="24"/>
        </w:rPr>
      </w:pPr>
      <w:r w:rsidRPr="000B1397">
        <w:rPr>
          <w:rFonts w:ascii="Times New Roman" w:hAnsi="Times New Roman" w:cs="Times New Roman"/>
          <w:b/>
          <w:color w:val="000000" w:themeColor="text1"/>
          <w:sz w:val="24"/>
          <w:szCs w:val="24"/>
        </w:rPr>
        <w:t>Wyniki a ukierunkowanie produkcyjne</w:t>
      </w:r>
    </w:p>
    <w:p w:rsidR="004B701A" w:rsidRPr="000B1397" w:rsidRDefault="004B701A"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 xml:space="preserve">W rankingowej ankiecie każda spółdzielnia określiła sama, na podstawie dominującej </w:t>
      </w:r>
      <w:r w:rsidR="000F78FE" w:rsidRPr="000B1397">
        <w:rPr>
          <w:rFonts w:ascii="Times New Roman" w:hAnsi="Times New Roman" w:cs="Times New Roman"/>
          <w:color w:val="000000" w:themeColor="text1"/>
          <w:sz w:val="24"/>
          <w:szCs w:val="24"/>
        </w:rPr>
        <w:t>wartości</w:t>
      </w:r>
      <w:r w:rsidRPr="000B1397">
        <w:rPr>
          <w:rFonts w:ascii="Times New Roman" w:hAnsi="Times New Roman" w:cs="Times New Roman"/>
          <w:color w:val="000000" w:themeColor="text1"/>
          <w:sz w:val="24"/>
          <w:szCs w:val="24"/>
        </w:rPr>
        <w:t xml:space="preserve"> sprzedaży, jaki</w:t>
      </w:r>
      <w:r w:rsidR="00CF1E3E" w:rsidRPr="000B1397">
        <w:rPr>
          <w:rFonts w:ascii="Times New Roman" w:hAnsi="Times New Roman" w:cs="Times New Roman"/>
          <w:color w:val="000000" w:themeColor="text1"/>
          <w:sz w:val="24"/>
          <w:szCs w:val="24"/>
        </w:rPr>
        <w:t xml:space="preserve"> kierunek produkcji</w:t>
      </w:r>
      <w:r w:rsidRPr="000B1397">
        <w:rPr>
          <w:rFonts w:ascii="Times New Roman" w:hAnsi="Times New Roman" w:cs="Times New Roman"/>
          <w:color w:val="000000" w:themeColor="text1"/>
          <w:sz w:val="24"/>
          <w:szCs w:val="24"/>
        </w:rPr>
        <w:t xml:space="preserve"> w danym roku w </w:t>
      </w:r>
      <w:r w:rsidR="00AD5647" w:rsidRPr="000B1397">
        <w:rPr>
          <w:rFonts w:ascii="Times New Roman" w:hAnsi="Times New Roman" w:cs="Times New Roman"/>
          <w:color w:val="000000" w:themeColor="text1"/>
          <w:sz w:val="24"/>
          <w:szCs w:val="24"/>
        </w:rPr>
        <w:t>niej przeważał</w:t>
      </w:r>
      <w:r w:rsidRPr="000B1397">
        <w:rPr>
          <w:rFonts w:ascii="Times New Roman" w:hAnsi="Times New Roman" w:cs="Times New Roman"/>
          <w:color w:val="000000" w:themeColor="text1"/>
          <w:sz w:val="24"/>
          <w:szCs w:val="24"/>
        </w:rPr>
        <w:t>.</w:t>
      </w:r>
      <w:r w:rsidR="007D0EC6" w:rsidRPr="000B1397">
        <w:rPr>
          <w:rFonts w:ascii="Times New Roman" w:hAnsi="Times New Roman" w:cs="Times New Roman"/>
          <w:color w:val="000000" w:themeColor="text1"/>
          <w:sz w:val="24"/>
          <w:szCs w:val="24"/>
        </w:rPr>
        <w:t xml:space="preserve"> Umożliwia to </w:t>
      </w:r>
      <w:r w:rsidR="00086E06" w:rsidRPr="000B1397">
        <w:rPr>
          <w:rFonts w:ascii="Times New Roman" w:hAnsi="Times New Roman" w:cs="Times New Roman"/>
          <w:color w:val="000000" w:themeColor="text1"/>
          <w:sz w:val="24"/>
          <w:szCs w:val="24"/>
        </w:rPr>
        <w:t>nam</w:t>
      </w:r>
      <w:r w:rsidR="007D0EC6" w:rsidRPr="000B1397">
        <w:rPr>
          <w:rFonts w:ascii="Times New Roman" w:hAnsi="Times New Roman" w:cs="Times New Roman"/>
          <w:color w:val="000000" w:themeColor="text1"/>
          <w:sz w:val="24"/>
          <w:szCs w:val="24"/>
        </w:rPr>
        <w:t xml:space="preserve"> grupowanie spółdzielni według dominujących kierunków produkcyjnych, tzw. ukierunkowania produkcyjnego (UP).</w:t>
      </w:r>
      <w:r w:rsidRPr="000B1397">
        <w:rPr>
          <w:rFonts w:ascii="Times New Roman" w:hAnsi="Times New Roman" w:cs="Times New Roman"/>
          <w:color w:val="000000" w:themeColor="text1"/>
          <w:sz w:val="24"/>
          <w:szCs w:val="24"/>
        </w:rPr>
        <w:t xml:space="preserve"> </w:t>
      </w:r>
      <w:r w:rsidR="000F78FE" w:rsidRPr="000B1397">
        <w:rPr>
          <w:rFonts w:ascii="Times New Roman" w:hAnsi="Times New Roman" w:cs="Times New Roman"/>
          <w:color w:val="000000" w:themeColor="text1"/>
          <w:sz w:val="24"/>
          <w:szCs w:val="24"/>
        </w:rPr>
        <w:t>Tradycyjnie już</w:t>
      </w:r>
      <w:r w:rsidRPr="000B1397">
        <w:rPr>
          <w:rFonts w:ascii="Times New Roman" w:hAnsi="Times New Roman" w:cs="Times New Roman"/>
          <w:color w:val="000000" w:themeColor="text1"/>
          <w:sz w:val="24"/>
          <w:szCs w:val="24"/>
        </w:rPr>
        <w:t xml:space="preserve"> analizie poddano trzy </w:t>
      </w:r>
      <w:r w:rsidR="007D0EC6" w:rsidRPr="000B1397">
        <w:rPr>
          <w:rFonts w:ascii="Times New Roman" w:hAnsi="Times New Roman" w:cs="Times New Roman"/>
          <w:color w:val="000000" w:themeColor="text1"/>
          <w:sz w:val="24"/>
          <w:szCs w:val="24"/>
        </w:rPr>
        <w:t>z nich</w:t>
      </w:r>
      <w:r w:rsidRPr="000B1397">
        <w:rPr>
          <w:rFonts w:ascii="Times New Roman" w:hAnsi="Times New Roman" w:cs="Times New Roman"/>
          <w:color w:val="000000" w:themeColor="text1"/>
          <w:sz w:val="24"/>
          <w:szCs w:val="24"/>
        </w:rPr>
        <w:t>, wyróżniając grupę spółdzielni roślinnych (uprawy polowe, warzywnictwo, ogrodnictwo), zwierzęcych (chów i hodowla zwierząt) oraz wielostronnych (uprawy polowe połączone z chowem zwierząt)</w:t>
      </w:r>
      <w:r w:rsidR="005A4CD9" w:rsidRPr="000B1397">
        <w:rPr>
          <w:rFonts w:ascii="Times New Roman" w:hAnsi="Times New Roman" w:cs="Times New Roman"/>
          <w:color w:val="000000" w:themeColor="text1"/>
          <w:sz w:val="24"/>
          <w:szCs w:val="24"/>
        </w:rPr>
        <w:t xml:space="preserve"> </w:t>
      </w:r>
      <w:r w:rsidR="00653615" w:rsidRPr="000B1397">
        <w:rPr>
          <w:rFonts w:ascii="Times New Roman" w:hAnsi="Times New Roman" w:cs="Times New Roman"/>
          <w:color w:val="000000" w:themeColor="text1"/>
          <w:sz w:val="24"/>
          <w:szCs w:val="24"/>
        </w:rPr>
        <w:t xml:space="preserve">– </w:t>
      </w:r>
      <w:r w:rsidR="005A4CD9" w:rsidRPr="000B1397">
        <w:rPr>
          <w:rFonts w:ascii="Times New Roman" w:hAnsi="Times New Roman" w:cs="Times New Roman"/>
          <w:color w:val="000000" w:themeColor="text1"/>
          <w:sz w:val="24"/>
          <w:szCs w:val="24"/>
        </w:rPr>
        <w:t>t</w:t>
      </w:r>
      <w:r w:rsidR="00215C75" w:rsidRPr="000B1397">
        <w:rPr>
          <w:rFonts w:ascii="Times New Roman" w:hAnsi="Times New Roman" w:cs="Times New Roman"/>
          <w:color w:val="000000" w:themeColor="text1"/>
          <w:sz w:val="24"/>
          <w:szCs w:val="24"/>
        </w:rPr>
        <w:t>abela 4</w:t>
      </w:r>
      <w:r w:rsidRPr="000B1397">
        <w:rPr>
          <w:rFonts w:ascii="Times New Roman" w:hAnsi="Times New Roman" w:cs="Times New Roman"/>
          <w:color w:val="000000" w:themeColor="text1"/>
          <w:sz w:val="24"/>
          <w:szCs w:val="24"/>
        </w:rPr>
        <w:t xml:space="preserve">. </w:t>
      </w:r>
      <w:r w:rsidR="003672A6" w:rsidRPr="000B1397">
        <w:rPr>
          <w:rFonts w:ascii="Times New Roman" w:hAnsi="Times New Roman" w:cs="Times New Roman"/>
          <w:color w:val="000000" w:themeColor="text1"/>
          <w:sz w:val="24"/>
          <w:szCs w:val="24"/>
        </w:rPr>
        <w:t>W tej analizie</w:t>
      </w:r>
      <w:r w:rsidR="00237D22" w:rsidRPr="000B1397">
        <w:rPr>
          <w:rFonts w:ascii="Times New Roman" w:hAnsi="Times New Roman" w:cs="Times New Roman"/>
          <w:color w:val="000000" w:themeColor="text1"/>
          <w:sz w:val="24"/>
          <w:szCs w:val="24"/>
        </w:rPr>
        <w:t xml:space="preserve"> </w:t>
      </w:r>
      <w:r w:rsidRPr="000B1397">
        <w:rPr>
          <w:rFonts w:ascii="Times New Roman" w:hAnsi="Times New Roman" w:cs="Times New Roman"/>
          <w:color w:val="000000" w:themeColor="text1"/>
          <w:sz w:val="24"/>
          <w:szCs w:val="24"/>
        </w:rPr>
        <w:t xml:space="preserve">zbiorowość </w:t>
      </w:r>
      <w:r w:rsidR="003672A6" w:rsidRPr="000B1397">
        <w:rPr>
          <w:rFonts w:ascii="Times New Roman" w:hAnsi="Times New Roman" w:cs="Times New Roman"/>
          <w:color w:val="000000" w:themeColor="text1"/>
          <w:sz w:val="24"/>
          <w:szCs w:val="24"/>
        </w:rPr>
        <w:t>taką stanowiło</w:t>
      </w:r>
      <w:r w:rsidRPr="000B1397">
        <w:rPr>
          <w:rFonts w:ascii="Times New Roman" w:hAnsi="Times New Roman" w:cs="Times New Roman"/>
          <w:color w:val="000000" w:themeColor="text1"/>
          <w:sz w:val="24"/>
          <w:szCs w:val="24"/>
        </w:rPr>
        <w:t xml:space="preserve"> </w:t>
      </w:r>
      <w:r w:rsidR="005A0D5D" w:rsidRPr="000B1397">
        <w:rPr>
          <w:rFonts w:ascii="Times New Roman" w:hAnsi="Times New Roman" w:cs="Times New Roman"/>
          <w:color w:val="000000" w:themeColor="text1"/>
          <w:sz w:val="24"/>
          <w:szCs w:val="24"/>
        </w:rPr>
        <w:t>8</w:t>
      </w:r>
      <w:r w:rsidR="00EE0327" w:rsidRPr="000B1397">
        <w:rPr>
          <w:rFonts w:ascii="Times New Roman" w:hAnsi="Times New Roman" w:cs="Times New Roman"/>
          <w:color w:val="000000" w:themeColor="text1"/>
          <w:sz w:val="24"/>
          <w:szCs w:val="24"/>
        </w:rPr>
        <w:t>0</w:t>
      </w:r>
      <w:r w:rsidR="00AD4FEF" w:rsidRPr="000B1397">
        <w:rPr>
          <w:rFonts w:ascii="Times New Roman" w:hAnsi="Times New Roman" w:cs="Times New Roman"/>
          <w:color w:val="000000" w:themeColor="text1"/>
          <w:sz w:val="24"/>
          <w:szCs w:val="24"/>
        </w:rPr>
        <w:t xml:space="preserve"> </w:t>
      </w:r>
      <w:r w:rsidR="005A0D5D" w:rsidRPr="000B1397">
        <w:rPr>
          <w:rFonts w:ascii="Times New Roman" w:hAnsi="Times New Roman" w:cs="Times New Roman"/>
          <w:color w:val="000000" w:themeColor="text1"/>
          <w:sz w:val="24"/>
          <w:szCs w:val="24"/>
        </w:rPr>
        <w:t>spółdzielni, które w latach 201</w:t>
      </w:r>
      <w:r w:rsidR="00EE0327" w:rsidRPr="000B1397">
        <w:rPr>
          <w:rFonts w:ascii="Times New Roman" w:hAnsi="Times New Roman" w:cs="Times New Roman"/>
          <w:color w:val="000000" w:themeColor="text1"/>
          <w:sz w:val="24"/>
          <w:szCs w:val="24"/>
        </w:rPr>
        <w:t>4</w:t>
      </w:r>
      <w:r w:rsidR="005A0D5D" w:rsidRPr="000B1397">
        <w:rPr>
          <w:rFonts w:ascii="Times New Roman" w:hAnsi="Times New Roman" w:cs="Times New Roman"/>
          <w:color w:val="000000" w:themeColor="text1"/>
          <w:sz w:val="24"/>
          <w:szCs w:val="24"/>
        </w:rPr>
        <w:t>-201</w:t>
      </w:r>
      <w:r w:rsidR="00EE0327" w:rsidRPr="000B1397">
        <w:rPr>
          <w:rFonts w:ascii="Times New Roman" w:hAnsi="Times New Roman" w:cs="Times New Roman"/>
          <w:color w:val="000000" w:themeColor="text1"/>
          <w:sz w:val="24"/>
          <w:szCs w:val="24"/>
        </w:rPr>
        <w:t>6</w:t>
      </w:r>
      <w:r w:rsidRPr="000B1397">
        <w:rPr>
          <w:rFonts w:ascii="Times New Roman" w:hAnsi="Times New Roman" w:cs="Times New Roman"/>
          <w:color w:val="000000" w:themeColor="text1"/>
          <w:sz w:val="24"/>
          <w:szCs w:val="24"/>
        </w:rPr>
        <w:t xml:space="preserve"> b</w:t>
      </w:r>
      <w:r w:rsidR="005A0D5D" w:rsidRPr="000B1397">
        <w:rPr>
          <w:rFonts w:ascii="Times New Roman" w:hAnsi="Times New Roman" w:cs="Times New Roman"/>
          <w:color w:val="000000" w:themeColor="text1"/>
          <w:sz w:val="24"/>
          <w:szCs w:val="24"/>
        </w:rPr>
        <w:t>rały udział w rankingu, w tym 4</w:t>
      </w:r>
      <w:r w:rsidR="00EE0327" w:rsidRPr="000B1397">
        <w:rPr>
          <w:rFonts w:ascii="Times New Roman" w:hAnsi="Times New Roman" w:cs="Times New Roman"/>
          <w:color w:val="000000" w:themeColor="text1"/>
          <w:sz w:val="24"/>
          <w:szCs w:val="24"/>
        </w:rPr>
        <w:t>3</w:t>
      </w:r>
      <w:r w:rsidR="00127F84" w:rsidRPr="000B1397">
        <w:rPr>
          <w:rFonts w:ascii="Times New Roman" w:hAnsi="Times New Roman" w:cs="Times New Roman"/>
          <w:color w:val="000000" w:themeColor="text1"/>
          <w:sz w:val="24"/>
          <w:szCs w:val="24"/>
        </w:rPr>
        <w:t xml:space="preserve"> o ukierunkowaniu roślinnym, 1</w:t>
      </w:r>
      <w:r w:rsidR="005A0D5D" w:rsidRPr="000B1397">
        <w:rPr>
          <w:rFonts w:ascii="Times New Roman" w:hAnsi="Times New Roman" w:cs="Times New Roman"/>
          <w:color w:val="000000" w:themeColor="text1"/>
          <w:sz w:val="24"/>
          <w:szCs w:val="24"/>
        </w:rPr>
        <w:t>5</w:t>
      </w:r>
      <w:r w:rsidRPr="000B1397">
        <w:rPr>
          <w:rFonts w:ascii="Times New Roman" w:hAnsi="Times New Roman" w:cs="Times New Roman"/>
          <w:color w:val="000000" w:themeColor="text1"/>
          <w:sz w:val="24"/>
          <w:szCs w:val="24"/>
        </w:rPr>
        <w:t xml:space="preserve"> </w:t>
      </w:r>
      <w:r w:rsidR="006B66D2" w:rsidRPr="000B1397">
        <w:rPr>
          <w:rFonts w:ascii="Times New Roman" w:hAnsi="Times New Roman" w:cs="Times New Roman"/>
          <w:color w:val="000000" w:themeColor="text1"/>
          <w:sz w:val="24"/>
          <w:szCs w:val="24"/>
        </w:rPr>
        <w:t xml:space="preserve">– </w:t>
      </w:r>
      <w:r w:rsidRPr="000B1397">
        <w:rPr>
          <w:rFonts w:ascii="Times New Roman" w:hAnsi="Times New Roman" w:cs="Times New Roman"/>
          <w:color w:val="000000" w:themeColor="text1"/>
          <w:sz w:val="24"/>
          <w:szCs w:val="24"/>
        </w:rPr>
        <w:t>o ukierunkowaniu zwierzęcym i 2</w:t>
      </w:r>
      <w:r w:rsidR="00EE0327" w:rsidRPr="000B1397">
        <w:rPr>
          <w:rFonts w:ascii="Times New Roman" w:hAnsi="Times New Roman" w:cs="Times New Roman"/>
          <w:color w:val="000000" w:themeColor="text1"/>
          <w:sz w:val="24"/>
          <w:szCs w:val="24"/>
        </w:rPr>
        <w:t>2</w:t>
      </w:r>
      <w:r w:rsidRPr="000B1397">
        <w:rPr>
          <w:rFonts w:ascii="Times New Roman" w:hAnsi="Times New Roman" w:cs="Times New Roman"/>
          <w:color w:val="000000" w:themeColor="text1"/>
          <w:sz w:val="24"/>
          <w:szCs w:val="24"/>
        </w:rPr>
        <w:t xml:space="preserve"> </w:t>
      </w:r>
      <w:r w:rsidR="006B66D2" w:rsidRPr="000B1397">
        <w:rPr>
          <w:rFonts w:ascii="Times New Roman" w:hAnsi="Times New Roman" w:cs="Times New Roman"/>
          <w:color w:val="000000" w:themeColor="text1"/>
          <w:sz w:val="24"/>
          <w:szCs w:val="24"/>
        </w:rPr>
        <w:t xml:space="preserve">– </w:t>
      </w:r>
      <w:r w:rsidRPr="000B1397">
        <w:rPr>
          <w:rFonts w:ascii="Times New Roman" w:hAnsi="Times New Roman" w:cs="Times New Roman"/>
          <w:color w:val="000000" w:themeColor="text1"/>
          <w:sz w:val="24"/>
          <w:szCs w:val="24"/>
        </w:rPr>
        <w:t>prowadzących działalnoś</w:t>
      </w:r>
      <w:r w:rsidR="002C55F6" w:rsidRPr="000B1397">
        <w:rPr>
          <w:rFonts w:ascii="Times New Roman" w:hAnsi="Times New Roman" w:cs="Times New Roman"/>
          <w:color w:val="000000" w:themeColor="text1"/>
          <w:sz w:val="24"/>
          <w:szCs w:val="24"/>
        </w:rPr>
        <w:t>ć</w:t>
      </w:r>
      <w:r w:rsidRPr="000B1397">
        <w:rPr>
          <w:rFonts w:ascii="Times New Roman" w:hAnsi="Times New Roman" w:cs="Times New Roman"/>
          <w:color w:val="000000" w:themeColor="text1"/>
          <w:sz w:val="24"/>
          <w:szCs w:val="24"/>
        </w:rPr>
        <w:t xml:space="preserve"> wielostronną.</w:t>
      </w:r>
    </w:p>
    <w:p w:rsidR="00C47A2D" w:rsidRPr="000B1397" w:rsidRDefault="00E417C9"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 xml:space="preserve">Spółdzielnie o ukierunkowaniu </w:t>
      </w:r>
      <w:r w:rsidR="00E80D3D" w:rsidRPr="000B1397">
        <w:rPr>
          <w:rFonts w:ascii="Times New Roman" w:hAnsi="Times New Roman" w:cs="Times New Roman"/>
          <w:color w:val="000000" w:themeColor="text1"/>
          <w:sz w:val="24"/>
          <w:szCs w:val="24"/>
        </w:rPr>
        <w:t>zwierzęcym</w:t>
      </w:r>
      <w:r w:rsidR="00C47A2D" w:rsidRPr="000B1397">
        <w:rPr>
          <w:rFonts w:ascii="Times New Roman" w:hAnsi="Times New Roman" w:cs="Times New Roman"/>
          <w:color w:val="000000" w:themeColor="text1"/>
          <w:sz w:val="24"/>
          <w:szCs w:val="24"/>
        </w:rPr>
        <w:t xml:space="preserve"> w ostatnim roku</w:t>
      </w:r>
      <w:r w:rsidR="00E30516" w:rsidRPr="000B1397">
        <w:rPr>
          <w:rFonts w:ascii="Times New Roman" w:hAnsi="Times New Roman" w:cs="Times New Roman"/>
          <w:color w:val="000000" w:themeColor="text1"/>
          <w:sz w:val="24"/>
          <w:szCs w:val="24"/>
        </w:rPr>
        <w:t>,</w:t>
      </w:r>
      <w:r w:rsidR="00C47A2D" w:rsidRPr="000B1397">
        <w:rPr>
          <w:rFonts w:ascii="Times New Roman" w:hAnsi="Times New Roman" w:cs="Times New Roman"/>
          <w:color w:val="000000" w:themeColor="text1"/>
          <w:sz w:val="24"/>
          <w:szCs w:val="24"/>
        </w:rPr>
        <w:t xml:space="preserve"> jak i </w:t>
      </w:r>
      <w:r w:rsidR="00F77336" w:rsidRPr="000B1397">
        <w:rPr>
          <w:rFonts w:ascii="Times New Roman" w:hAnsi="Times New Roman" w:cs="Times New Roman"/>
          <w:color w:val="000000" w:themeColor="text1"/>
          <w:sz w:val="24"/>
          <w:szCs w:val="24"/>
        </w:rPr>
        <w:t xml:space="preserve">w </w:t>
      </w:r>
      <w:r w:rsidR="00C47A2D" w:rsidRPr="000B1397">
        <w:rPr>
          <w:rFonts w:ascii="Times New Roman" w:hAnsi="Times New Roman" w:cs="Times New Roman"/>
          <w:color w:val="000000" w:themeColor="text1"/>
          <w:sz w:val="24"/>
          <w:szCs w:val="24"/>
        </w:rPr>
        <w:t>całym trzyleciu charakteryzowały się najniższą dochodowością prowadzonej działalności.</w:t>
      </w:r>
      <w:r w:rsidR="00F77336" w:rsidRPr="000B1397">
        <w:rPr>
          <w:rFonts w:ascii="Times New Roman" w:hAnsi="Times New Roman" w:cs="Times New Roman"/>
          <w:color w:val="000000" w:themeColor="text1"/>
          <w:sz w:val="24"/>
          <w:szCs w:val="24"/>
        </w:rPr>
        <w:t xml:space="preserve"> </w:t>
      </w:r>
      <w:r w:rsidR="00A03870" w:rsidRPr="000B1397">
        <w:rPr>
          <w:rFonts w:ascii="Times New Roman" w:hAnsi="Times New Roman" w:cs="Times New Roman"/>
          <w:color w:val="000000" w:themeColor="text1"/>
          <w:sz w:val="24"/>
          <w:szCs w:val="24"/>
        </w:rPr>
        <w:t>Sytuacja</w:t>
      </w:r>
      <w:r w:rsidR="00F77336" w:rsidRPr="000B1397">
        <w:rPr>
          <w:rFonts w:ascii="Times New Roman" w:hAnsi="Times New Roman" w:cs="Times New Roman"/>
          <w:color w:val="000000" w:themeColor="text1"/>
          <w:sz w:val="24"/>
          <w:szCs w:val="24"/>
        </w:rPr>
        <w:t xml:space="preserve"> ta jednak uległa od 2015 r. poprawie</w:t>
      </w:r>
      <w:r w:rsidR="00A03870" w:rsidRPr="000B1397">
        <w:rPr>
          <w:rFonts w:ascii="Times New Roman" w:hAnsi="Times New Roman" w:cs="Times New Roman"/>
          <w:color w:val="000000" w:themeColor="text1"/>
          <w:sz w:val="24"/>
          <w:szCs w:val="24"/>
        </w:rPr>
        <w:t xml:space="preserve"> na skutek </w:t>
      </w:r>
      <w:r w:rsidR="009953CC" w:rsidRPr="000B1397">
        <w:rPr>
          <w:rFonts w:ascii="Times New Roman" w:hAnsi="Times New Roman" w:cs="Times New Roman"/>
          <w:color w:val="000000" w:themeColor="text1"/>
          <w:sz w:val="24"/>
          <w:szCs w:val="24"/>
        </w:rPr>
        <w:t>wzrostu</w:t>
      </w:r>
      <w:r w:rsidR="00A03870" w:rsidRPr="000B1397">
        <w:rPr>
          <w:rFonts w:ascii="Times New Roman" w:hAnsi="Times New Roman" w:cs="Times New Roman"/>
          <w:color w:val="000000" w:themeColor="text1"/>
          <w:sz w:val="24"/>
          <w:szCs w:val="24"/>
        </w:rPr>
        <w:t xml:space="preserve"> opłacalności produkcji zwierzęcej, </w:t>
      </w:r>
      <w:r w:rsidR="00A03870" w:rsidRPr="000B1397">
        <w:rPr>
          <w:rFonts w:ascii="Times New Roman" w:hAnsi="Times New Roman" w:cs="Times New Roman"/>
          <w:color w:val="000000" w:themeColor="text1"/>
          <w:sz w:val="24"/>
          <w:szCs w:val="24"/>
        </w:rPr>
        <w:lastRenderedPageBreak/>
        <w:t xml:space="preserve">dochodowość w tej grupie wzrosła o 2,3 p.p. </w:t>
      </w:r>
      <w:r w:rsidR="00705D05" w:rsidRPr="000B1397">
        <w:rPr>
          <w:rFonts w:ascii="Times New Roman" w:hAnsi="Times New Roman" w:cs="Times New Roman"/>
          <w:color w:val="000000" w:themeColor="text1"/>
          <w:sz w:val="24"/>
          <w:szCs w:val="24"/>
        </w:rPr>
        <w:t>Należy jednak pamiętać</w:t>
      </w:r>
      <w:r w:rsidR="009953CC" w:rsidRPr="000B1397">
        <w:rPr>
          <w:rFonts w:ascii="Times New Roman" w:hAnsi="Times New Roman" w:cs="Times New Roman"/>
          <w:color w:val="000000" w:themeColor="text1"/>
          <w:sz w:val="24"/>
          <w:szCs w:val="24"/>
        </w:rPr>
        <w:t>,</w:t>
      </w:r>
      <w:r w:rsidR="00705D05" w:rsidRPr="000B1397">
        <w:rPr>
          <w:rFonts w:ascii="Times New Roman" w:hAnsi="Times New Roman" w:cs="Times New Roman"/>
          <w:color w:val="000000" w:themeColor="text1"/>
          <w:sz w:val="24"/>
          <w:szCs w:val="24"/>
        </w:rPr>
        <w:t xml:space="preserve"> iż to właśnie ta grupa charakteryzuje się najwyższym poziomem przychodów, co </w:t>
      </w:r>
      <w:r w:rsidR="00454542" w:rsidRPr="000B1397">
        <w:rPr>
          <w:rFonts w:ascii="Times New Roman" w:hAnsi="Times New Roman" w:cs="Times New Roman"/>
          <w:color w:val="000000" w:themeColor="text1"/>
          <w:sz w:val="24"/>
          <w:szCs w:val="24"/>
        </w:rPr>
        <w:t xml:space="preserve">powinno </w:t>
      </w:r>
      <w:r w:rsidR="00705D05" w:rsidRPr="000B1397">
        <w:rPr>
          <w:rFonts w:ascii="Times New Roman" w:hAnsi="Times New Roman" w:cs="Times New Roman"/>
          <w:color w:val="000000" w:themeColor="text1"/>
          <w:sz w:val="24"/>
          <w:szCs w:val="24"/>
        </w:rPr>
        <w:t>jej</w:t>
      </w:r>
      <w:r w:rsidR="009953CC" w:rsidRPr="000B1397">
        <w:rPr>
          <w:rFonts w:ascii="Times New Roman" w:hAnsi="Times New Roman" w:cs="Times New Roman"/>
          <w:color w:val="000000" w:themeColor="text1"/>
          <w:sz w:val="24"/>
          <w:szCs w:val="24"/>
        </w:rPr>
        <w:t xml:space="preserve"> w pewnym stopniu</w:t>
      </w:r>
      <w:r w:rsidR="00454542" w:rsidRPr="000B1397">
        <w:rPr>
          <w:rFonts w:ascii="Times New Roman" w:hAnsi="Times New Roman" w:cs="Times New Roman"/>
          <w:color w:val="000000" w:themeColor="text1"/>
          <w:sz w:val="24"/>
          <w:szCs w:val="24"/>
        </w:rPr>
        <w:t xml:space="preserve"> rekompensować</w:t>
      </w:r>
      <w:r w:rsidR="00705D05" w:rsidRPr="000B1397">
        <w:rPr>
          <w:rFonts w:ascii="Times New Roman" w:hAnsi="Times New Roman" w:cs="Times New Roman"/>
          <w:color w:val="000000" w:themeColor="text1"/>
          <w:sz w:val="24"/>
          <w:szCs w:val="24"/>
        </w:rPr>
        <w:t xml:space="preserve"> niższą dochodowość. </w:t>
      </w:r>
    </w:p>
    <w:p w:rsidR="00454542" w:rsidRPr="000B1397" w:rsidRDefault="00454542"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Należ</w:t>
      </w:r>
      <w:r w:rsidR="00E30516" w:rsidRPr="000B1397">
        <w:rPr>
          <w:rFonts w:ascii="Times New Roman" w:hAnsi="Times New Roman" w:cs="Times New Roman"/>
          <w:color w:val="000000" w:themeColor="text1"/>
          <w:sz w:val="24"/>
          <w:szCs w:val="24"/>
        </w:rPr>
        <w:t>y</w:t>
      </w:r>
      <w:r w:rsidRPr="000B1397">
        <w:rPr>
          <w:rFonts w:ascii="Times New Roman" w:hAnsi="Times New Roman" w:cs="Times New Roman"/>
          <w:color w:val="000000" w:themeColor="text1"/>
          <w:sz w:val="24"/>
          <w:szCs w:val="24"/>
        </w:rPr>
        <w:t xml:space="preserve"> również </w:t>
      </w:r>
      <w:r w:rsidR="00C07AC9" w:rsidRPr="000B1397">
        <w:rPr>
          <w:rFonts w:ascii="Times New Roman" w:hAnsi="Times New Roman" w:cs="Times New Roman"/>
          <w:color w:val="000000" w:themeColor="text1"/>
          <w:sz w:val="24"/>
          <w:szCs w:val="24"/>
        </w:rPr>
        <w:t>podkreślić</w:t>
      </w:r>
      <w:r w:rsidRPr="000B1397">
        <w:rPr>
          <w:rFonts w:ascii="Times New Roman" w:hAnsi="Times New Roman" w:cs="Times New Roman"/>
          <w:color w:val="000000" w:themeColor="text1"/>
          <w:sz w:val="24"/>
          <w:szCs w:val="24"/>
        </w:rPr>
        <w:t>, iż funkcjonujący w Polsce od dwóch lat system</w:t>
      </w:r>
      <w:r w:rsidR="00497032" w:rsidRPr="000B1397">
        <w:rPr>
          <w:rFonts w:ascii="Times New Roman" w:hAnsi="Times New Roman" w:cs="Times New Roman"/>
          <w:color w:val="000000" w:themeColor="text1"/>
          <w:sz w:val="24"/>
          <w:szCs w:val="24"/>
        </w:rPr>
        <w:t xml:space="preserve"> dopłat do produkcji zwierzęcej </w:t>
      </w:r>
      <w:r w:rsidRPr="000B1397">
        <w:rPr>
          <w:rFonts w:ascii="Times New Roman" w:hAnsi="Times New Roman" w:cs="Times New Roman"/>
          <w:color w:val="000000" w:themeColor="text1"/>
          <w:sz w:val="24"/>
          <w:szCs w:val="24"/>
        </w:rPr>
        <w:t xml:space="preserve">uwzględnia jedynie niewielkie </w:t>
      </w:r>
      <w:r w:rsidR="00215C75" w:rsidRPr="000B1397">
        <w:rPr>
          <w:rFonts w:ascii="Times New Roman" w:hAnsi="Times New Roman" w:cs="Times New Roman"/>
          <w:color w:val="000000" w:themeColor="text1"/>
          <w:sz w:val="24"/>
          <w:szCs w:val="24"/>
        </w:rPr>
        <w:t>gospodarstwa utrzymujące przeżuwacze</w:t>
      </w:r>
      <w:r w:rsidR="00653615" w:rsidRPr="000B1397">
        <w:rPr>
          <w:rFonts w:ascii="Times New Roman" w:hAnsi="Times New Roman" w:cs="Times New Roman"/>
          <w:color w:val="000000" w:themeColor="text1"/>
          <w:sz w:val="24"/>
          <w:szCs w:val="24"/>
        </w:rPr>
        <w:t>.</w:t>
      </w:r>
      <w:r w:rsidR="00215C75" w:rsidRPr="000B1397">
        <w:rPr>
          <w:rFonts w:ascii="Times New Roman" w:hAnsi="Times New Roman" w:cs="Times New Roman"/>
          <w:color w:val="000000" w:themeColor="text1"/>
          <w:sz w:val="24"/>
          <w:szCs w:val="24"/>
        </w:rPr>
        <w:t xml:space="preserve"> </w:t>
      </w:r>
      <w:r w:rsidR="00653615" w:rsidRPr="000B1397">
        <w:rPr>
          <w:rFonts w:ascii="Times New Roman" w:hAnsi="Times New Roman" w:cs="Times New Roman"/>
          <w:color w:val="000000" w:themeColor="text1"/>
          <w:sz w:val="24"/>
          <w:szCs w:val="24"/>
        </w:rPr>
        <w:t>T</w:t>
      </w:r>
      <w:r w:rsidR="00215C75" w:rsidRPr="000B1397">
        <w:rPr>
          <w:rFonts w:ascii="Times New Roman" w:hAnsi="Times New Roman" w:cs="Times New Roman"/>
          <w:color w:val="000000" w:themeColor="text1"/>
          <w:sz w:val="24"/>
          <w:szCs w:val="24"/>
        </w:rPr>
        <w:t>e utrzymujące</w:t>
      </w:r>
      <w:r w:rsidR="00C07AC9" w:rsidRPr="000B1397">
        <w:rPr>
          <w:rFonts w:ascii="Times New Roman" w:hAnsi="Times New Roman" w:cs="Times New Roman"/>
          <w:color w:val="000000" w:themeColor="text1"/>
          <w:sz w:val="24"/>
          <w:szCs w:val="24"/>
        </w:rPr>
        <w:t xml:space="preserve"> inne zwierzęta</w:t>
      </w:r>
      <w:r w:rsidR="00497032" w:rsidRPr="000B1397">
        <w:rPr>
          <w:rFonts w:ascii="Times New Roman" w:hAnsi="Times New Roman" w:cs="Times New Roman"/>
          <w:color w:val="000000" w:themeColor="text1"/>
          <w:sz w:val="24"/>
          <w:szCs w:val="24"/>
        </w:rPr>
        <w:t>,</w:t>
      </w:r>
      <w:r w:rsidR="00C07AC9" w:rsidRPr="000B1397">
        <w:rPr>
          <w:rFonts w:ascii="Times New Roman" w:hAnsi="Times New Roman" w:cs="Times New Roman"/>
          <w:color w:val="000000" w:themeColor="text1"/>
          <w:sz w:val="24"/>
          <w:szCs w:val="24"/>
        </w:rPr>
        <w:t xml:space="preserve"> jak</w:t>
      </w:r>
      <w:r w:rsidR="00215C75" w:rsidRPr="000B1397">
        <w:rPr>
          <w:rFonts w:ascii="Times New Roman" w:hAnsi="Times New Roman" w:cs="Times New Roman"/>
          <w:color w:val="000000" w:themeColor="text1"/>
          <w:sz w:val="24"/>
          <w:szCs w:val="24"/>
        </w:rPr>
        <w:t xml:space="preserve"> trzod</w:t>
      </w:r>
      <w:r w:rsidR="00C07AC9" w:rsidRPr="000B1397">
        <w:rPr>
          <w:rFonts w:ascii="Times New Roman" w:hAnsi="Times New Roman" w:cs="Times New Roman"/>
          <w:color w:val="000000" w:themeColor="text1"/>
          <w:sz w:val="24"/>
          <w:szCs w:val="24"/>
        </w:rPr>
        <w:t xml:space="preserve">a i drób (dominujące w </w:t>
      </w:r>
      <w:r w:rsidR="00215C75" w:rsidRPr="000B1397">
        <w:rPr>
          <w:rFonts w:ascii="Times New Roman" w:hAnsi="Times New Roman" w:cs="Times New Roman"/>
          <w:color w:val="000000" w:themeColor="text1"/>
          <w:sz w:val="24"/>
          <w:szCs w:val="24"/>
        </w:rPr>
        <w:t>RSP</w:t>
      </w:r>
      <w:r w:rsidR="00C07AC9" w:rsidRPr="000B1397">
        <w:rPr>
          <w:rFonts w:ascii="Times New Roman" w:hAnsi="Times New Roman" w:cs="Times New Roman"/>
          <w:color w:val="000000" w:themeColor="text1"/>
          <w:sz w:val="24"/>
          <w:szCs w:val="24"/>
        </w:rPr>
        <w:t>)</w:t>
      </w:r>
      <w:r w:rsidR="00A54D45" w:rsidRPr="000B1397">
        <w:rPr>
          <w:rFonts w:ascii="Times New Roman" w:hAnsi="Times New Roman" w:cs="Times New Roman"/>
          <w:color w:val="000000" w:themeColor="text1"/>
          <w:sz w:val="24"/>
          <w:szCs w:val="24"/>
        </w:rPr>
        <w:t>,</w:t>
      </w:r>
      <w:r w:rsidR="00215C75" w:rsidRPr="000B1397">
        <w:rPr>
          <w:rFonts w:ascii="Times New Roman" w:hAnsi="Times New Roman" w:cs="Times New Roman"/>
          <w:color w:val="000000" w:themeColor="text1"/>
          <w:sz w:val="24"/>
          <w:szCs w:val="24"/>
        </w:rPr>
        <w:t xml:space="preserve"> są </w:t>
      </w:r>
      <w:r w:rsidR="00C07AC9" w:rsidRPr="000B1397">
        <w:rPr>
          <w:rFonts w:ascii="Times New Roman" w:hAnsi="Times New Roman" w:cs="Times New Roman"/>
          <w:color w:val="000000" w:themeColor="text1"/>
          <w:sz w:val="24"/>
          <w:szCs w:val="24"/>
        </w:rPr>
        <w:t xml:space="preserve">tej </w:t>
      </w:r>
      <w:r w:rsidRPr="000B1397">
        <w:rPr>
          <w:rFonts w:ascii="Times New Roman" w:hAnsi="Times New Roman" w:cs="Times New Roman"/>
          <w:color w:val="000000" w:themeColor="text1"/>
          <w:sz w:val="24"/>
          <w:szCs w:val="24"/>
        </w:rPr>
        <w:t>płatności pozbawione</w:t>
      </w:r>
      <w:r w:rsidR="00215C75" w:rsidRPr="000B1397">
        <w:rPr>
          <w:rFonts w:ascii="Times New Roman" w:hAnsi="Times New Roman" w:cs="Times New Roman"/>
          <w:color w:val="000000" w:themeColor="text1"/>
          <w:sz w:val="24"/>
          <w:szCs w:val="24"/>
        </w:rPr>
        <w:t xml:space="preserve">. </w:t>
      </w:r>
    </w:p>
    <w:p w:rsidR="00454542" w:rsidRPr="000B1397" w:rsidRDefault="00454542"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Mimo dużej skali prowadzonej działalności</w:t>
      </w:r>
      <w:r w:rsidR="00497032"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spółdzielnie </w:t>
      </w:r>
      <w:r w:rsidR="00F438E9">
        <w:rPr>
          <w:rFonts w:ascii="Times New Roman" w:hAnsi="Times New Roman" w:cs="Times New Roman"/>
          <w:color w:val="000000" w:themeColor="text1"/>
          <w:sz w:val="24"/>
          <w:szCs w:val="24"/>
        </w:rPr>
        <w:t>o ukierunkowaniu zwierzęcym</w:t>
      </w:r>
      <w:r w:rsidRPr="000B1397">
        <w:rPr>
          <w:rFonts w:ascii="Times New Roman" w:hAnsi="Times New Roman" w:cs="Times New Roman"/>
          <w:color w:val="000000" w:themeColor="text1"/>
          <w:sz w:val="24"/>
          <w:szCs w:val="24"/>
        </w:rPr>
        <w:t xml:space="preserve"> posiadały wciąż najniższe wskaźniki </w:t>
      </w:r>
      <w:r w:rsidR="0050413A" w:rsidRPr="000B1397">
        <w:rPr>
          <w:rFonts w:ascii="Times New Roman" w:hAnsi="Times New Roman" w:cs="Times New Roman"/>
          <w:color w:val="000000" w:themeColor="text1"/>
          <w:sz w:val="24"/>
          <w:szCs w:val="24"/>
        </w:rPr>
        <w:t>dochodowości pracy oraz wartości dodanej na pracownika. Może to świadczyć o zbyt dużym stanie zatrudnienia, które w tej grupie</w:t>
      </w:r>
      <w:r w:rsidR="00294070" w:rsidRPr="000B1397">
        <w:rPr>
          <w:rFonts w:ascii="Times New Roman" w:hAnsi="Times New Roman" w:cs="Times New Roman"/>
          <w:color w:val="000000" w:themeColor="text1"/>
          <w:sz w:val="24"/>
          <w:szCs w:val="24"/>
        </w:rPr>
        <w:t xml:space="preserve"> w 2016 r.</w:t>
      </w:r>
      <w:r w:rsidR="00B34B4E" w:rsidRPr="000B1397">
        <w:rPr>
          <w:rFonts w:ascii="Times New Roman" w:hAnsi="Times New Roman" w:cs="Times New Roman"/>
          <w:color w:val="000000" w:themeColor="text1"/>
          <w:sz w:val="24"/>
          <w:szCs w:val="24"/>
        </w:rPr>
        <w:t>,</w:t>
      </w:r>
      <w:r w:rsidR="00294070" w:rsidRPr="000B1397">
        <w:rPr>
          <w:rFonts w:ascii="Times New Roman" w:hAnsi="Times New Roman" w:cs="Times New Roman"/>
          <w:color w:val="000000" w:themeColor="text1"/>
          <w:sz w:val="24"/>
          <w:szCs w:val="24"/>
        </w:rPr>
        <w:t xml:space="preserve"> jednak</w:t>
      </w:r>
      <w:r w:rsidR="0050413A" w:rsidRPr="000B1397">
        <w:rPr>
          <w:rFonts w:ascii="Times New Roman" w:hAnsi="Times New Roman" w:cs="Times New Roman"/>
          <w:color w:val="000000" w:themeColor="text1"/>
          <w:sz w:val="24"/>
          <w:szCs w:val="24"/>
        </w:rPr>
        <w:t xml:space="preserve"> </w:t>
      </w:r>
      <w:r w:rsidR="00AA6FA2" w:rsidRPr="000B1397">
        <w:rPr>
          <w:rFonts w:ascii="Times New Roman" w:hAnsi="Times New Roman" w:cs="Times New Roman"/>
          <w:color w:val="000000" w:themeColor="text1"/>
          <w:sz w:val="24"/>
          <w:szCs w:val="24"/>
        </w:rPr>
        <w:t>jeszcze się powiększyło. Niestety, po pewnym zatrzymaniu ubywania ziemi w tej grupie w ostatnim roku to zjawisko wyraźnie się pogłębiło. Niepokojącym był również, mimo poprawy dochodowości działalności</w:t>
      </w:r>
      <w:r w:rsidR="00664450" w:rsidRPr="000B1397">
        <w:rPr>
          <w:rFonts w:ascii="Times New Roman" w:hAnsi="Times New Roman" w:cs="Times New Roman"/>
          <w:color w:val="000000" w:themeColor="text1"/>
          <w:sz w:val="24"/>
          <w:szCs w:val="24"/>
        </w:rPr>
        <w:t>,</w:t>
      </w:r>
      <w:r w:rsidR="00AA6FA2" w:rsidRPr="000B1397">
        <w:rPr>
          <w:rFonts w:ascii="Times New Roman" w:hAnsi="Times New Roman" w:cs="Times New Roman"/>
          <w:color w:val="000000" w:themeColor="text1"/>
          <w:sz w:val="24"/>
          <w:szCs w:val="24"/>
        </w:rPr>
        <w:t xml:space="preserve"> głęboki regres wskaźnika generowania gotówki operacyjnej</w:t>
      </w:r>
      <w:r w:rsidR="00130A00" w:rsidRPr="000B1397">
        <w:rPr>
          <w:rFonts w:ascii="Times New Roman" w:hAnsi="Times New Roman" w:cs="Times New Roman"/>
          <w:color w:val="000000" w:themeColor="text1"/>
          <w:sz w:val="24"/>
          <w:szCs w:val="24"/>
        </w:rPr>
        <w:t>. Obniżył się on w latach 2014-2016 z 4% do 1%, co świadczy o bardzo niskiej nadwyżce operacyjnej w tej grupie. Ta sytuacja z pewnością miała wpływ na zahamowanie</w:t>
      </w:r>
      <w:r w:rsidR="00B34B4E" w:rsidRPr="000B1397">
        <w:rPr>
          <w:rFonts w:ascii="Times New Roman" w:hAnsi="Times New Roman" w:cs="Times New Roman"/>
          <w:color w:val="000000" w:themeColor="text1"/>
          <w:sz w:val="24"/>
          <w:szCs w:val="24"/>
        </w:rPr>
        <w:t>, w niej inwestycji</w:t>
      </w:r>
      <w:r w:rsidR="00130A00" w:rsidRPr="000B1397">
        <w:rPr>
          <w:rFonts w:ascii="Times New Roman" w:hAnsi="Times New Roman" w:cs="Times New Roman"/>
          <w:color w:val="000000" w:themeColor="text1"/>
          <w:sz w:val="24"/>
          <w:szCs w:val="24"/>
        </w:rPr>
        <w:t>. Należy przypomnieć, że w ostatnich kilku latach to właśnie ta grupa spółdzielni charakteryzowała się najwyższą stopą inwestowania, podczas gdy w ostatni</w:t>
      </w:r>
      <w:r w:rsidR="00B34B4E" w:rsidRPr="000B1397">
        <w:rPr>
          <w:rFonts w:ascii="Times New Roman" w:hAnsi="Times New Roman" w:cs="Times New Roman"/>
          <w:color w:val="000000" w:themeColor="text1"/>
          <w:sz w:val="24"/>
          <w:szCs w:val="24"/>
        </w:rPr>
        <w:t>m</w:t>
      </w:r>
      <w:r w:rsidR="00130A00" w:rsidRPr="000B1397">
        <w:rPr>
          <w:rFonts w:ascii="Times New Roman" w:hAnsi="Times New Roman" w:cs="Times New Roman"/>
          <w:color w:val="000000" w:themeColor="text1"/>
          <w:sz w:val="24"/>
          <w:szCs w:val="24"/>
        </w:rPr>
        <w:t xml:space="preserve"> roku nie osiągnęła nawet reprodukcji prostej. Zła sytuacja dochodowa tej grupy spółdzielni, niekorzystne uwarunkowa</w:t>
      </w:r>
      <w:r w:rsidR="00B17C41" w:rsidRPr="000B1397">
        <w:rPr>
          <w:rFonts w:ascii="Times New Roman" w:hAnsi="Times New Roman" w:cs="Times New Roman"/>
          <w:color w:val="000000" w:themeColor="text1"/>
          <w:sz w:val="24"/>
          <w:szCs w:val="24"/>
        </w:rPr>
        <w:t>nia prawne, sprawiły</w:t>
      </w:r>
      <w:r w:rsidR="00664450" w:rsidRPr="000B1397">
        <w:rPr>
          <w:rFonts w:ascii="Times New Roman" w:hAnsi="Times New Roman" w:cs="Times New Roman"/>
          <w:color w:val="000000" w:themeColor="text1"/>
          <w:sz w:val="24"/>
          <w:szCs w:val="24"/>
        </w:rPr>
        <w:t>,</w:t>
      </w:r>
      <w:r w:rsidR="00B17C41" w:rsidRPr="000B1397">
        <w:rPr>
          <w:rFonts w:ascii="Times New Roman" w:hAnsi="Times New Roman" w:cs="Times New Roman"/>
          <w:color w:val="000000" w:themeColor="text1"/>
          <w:sz w:val="24"/>
          <w:szCs w:val="24"/>
        </w:rPr>
        <w:t xml:space="preserve"> iż grupa o ukierunkowaniu zwierzęcym</w:t>
      </w:r>
      <w:r w:rsidR="00130A00" w:rsidRPr="000B1397">
        <w:rPr>
          <w:rFonts w:ascii="Times New Roman" w:hAnsi="Times New Roman" w:cs="Times New Roman"/>
          <w:color w:val="000000" w:themeColor="text1"/>
          <w:sz w:val="24"/>
          <w:szCs w:val="24"/>
        </w:rPr>
        <w:t xml:space="preserve"> znalazła się</w:t>
      </w:r>
      <w:r w:rsidR="00B34B4E" w:rsidRPr="000B1397">
        <w:rPr>
          <w:rFonts w:ascii="Times New Roman" w:hAnsi="Times New Roman" w:cs="Times New Roman"/>
          <w:color w:val="000000" w:themeColor="text1"/>
          <w:sz w:val="24"/>
          <w:szCs w:val="24"/>
        </w:rPr>
        <w:t xml:space="preserve"> w</w:t>
      </w:r>
      <w:r w:rsidR="00130A00" w:rsidRPr="000B1397">
        <w:rPr>
          <w:rFonts w:ascii="Times New Roman" w:hAnsi="Times New Roman" w:cs="Times New Roman"/>
          <w:color w:val="000000" w:themeColor="text1"/>
          <w:sz w:val="24"/>
          <w:szCs w:val="24"/>
        </w:rPr>
        <w:t xml:space="preserve"> </w:t>
      </w:r>
      <w:r w:rsidR="00B17C41" w:rsidRPr="000B1397">
        <w:rPr>
          <w:rFonts w:ascii="Times New Roman" w:hAnsi="Times New Roman" w:cs="Times New Roman"/>
          <w:color w:val="000000" w:themeColor="text1"/>
          <w:sz w:val="24"/>
          <w:szCs w:val="24"/>
        </w:rPr>
        <w:t>bardzo</w:t>
      </w:r>
      <w:r w:rsidR="00130A00" w:rsidRPr="000B1397">
        <w:rPr>
          <w:rFonts w:ascii="Times New Roman" w:hAnsi="Times New Roman" w:cs="Times New Roman"/>
          <w:color w:val="000000" w:themeColor="text1"/>
          <w:sz w:val="24"/>
          <w:szCs w:val="24"/>
        </w:rPr>
        <w:t xml:space="preserve"> trudnej sytuacji</w:t>
      </w:r>
      <w:r w:rsidR="00B17C41" w:rsidRPr="000B1397">
        <w:rPr>
          <w:rFonts w:ascii="Times New Roman" w:hAnsi="Times New Roman" w:cs="Times New Roman"/>
          <w:color w:val="000000" w:themeColor="text1"/>
          <w:sz w:val="24"/>
          <w:szCs w:val="24"/>
        </w:rPr>
        <w:t xml:space="preserve"> wymagającej natychmiastowych działań naprawczych.</w:t>
      </w:r>
    </w:p>
    <w:p w:rsidR="00CA236C" w:rsidRPr="000B1397" w:rsidRDefault="00B17C41"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S</w:t>
      </w:r>
      <w:r w:rsidR="001E2280" w:rsidRPr="000B1397">
        <w:rPr>
          <w:rFonts w:ascii="Times New Roman" w:hAnsi="Times New Roman" w:cs="Times New Roman"/>
          <w:color w:val="000000" w:themeColor="text1"/>
          <w:sz w:val="24"/>
          <w:szCs w:val="24"/>
        </w:rPr>
        <w:t>półdzielnie wielostronne</w:t>
      </w:r>
      <w:r w:rsidR="007D2D5A" w:rsidRPr="000B1397">
        <w:rPr>
          <w:rFonts w:ascii="Times New Roman" w:hAnsi="Times New Roman" w:cs="Times New Roman"/>
          <w:color w:val="000000" w:themeColor="text1"/>
          <w:sz w:val="24"/>
          <w:szCs w:val="24"/>
        </w:rPr>
        <w:t xml:space="preserve"> </w:t>
      </w:r>
      <w:r w:rsidR="003C31E9" w:rsidRPr="000B1397">
        <w:rPr>
          <w:rFonts w:ascii="Times New Roman" w:hAnsi="Times New Roman" w:cs="Times New Roman"/>
          <w:color w:val="000000" w:themeColor="text1"/>
          <w:sz w:val="24"/>
          <w:szCs w:val="24"/>
        </w:rPr>
        <w:t xml:space="preserve">w </w:t>
      </w:r>
      <w:r w:rsidR="00CD62BD" w:rsidRPr="000B1397">
        <w:rPr>
          <w:rFonts w:ascii="Times New Roman" w:hAnsi="Times New Roman" w:cs="Times New Roman"/>
          <w:color w:val="000000" w:themeColor="text1"/>
          <w:sz w:val="24"/>
          <w:szCs w:val="24"/>
        </w:rPr>
        <w:t xml:space="preserve">roku 2015 i </w:t>
      </w:r>
      <w:r w:rsidRPr="000B1397">
        <w:rPr>
          <w:rFonts w:ascii="Times New Roman" w:hAnsi="Times New Roman" w:cs="Times New Roman"/>
          <w:color w:val="000000" w:themeColor="text1"/>
          <w:sz w:val="24"/>
          <w:szCs w:val="24"/>
        </w:rPr>
        <w:t>2016</w:t>
      </w:r>
      <w:r w:rsidR="003C31E9" w:rsidRPr="000B1397">
        <w:rPr>
          <w:rFonts w:ascii="Times New Roman" w:hAnsi="Times New Roman" w:cs="Times New Roman"/>
          <w:color w:val="000000" w:themeColor="text1"/>
          <w:sz w:val="24"/>
          <w:szCs w:val="24"/>
        </w:rPr>
        <w:t xml:space="preserve"> </w:t>
      </w:r>
      <w:r w:rsidR="00523A26" w:rsidRPr="000B1397">
        <w:rPr>
          <w:rFonts w:ascii="Times New Roman" w:hAnsi="Times New Roman" w:cs="Times New Roman"/>
          <w:color w:val="000000" w:themeColor="text1"/>
          <w:sz w:val="24"/>
          <w:szCs w:val="24"/>
        </w:rPr>
        <w:t>charakteryzował</w:t>
      </w:r>
      <w:r w:rsidR="003C31E9" w:rsidRPr="000B1397">
        <w:rPr>
          <w:rFonts w:ascii="Times New Roman" w:hAnsi="Times New Roman" w:cs="Times New Roman"/>
          <w:color w:val="000000" w:themeColor="text1"/>
          <w:sz w:val="24"/>
          <w:szCs w:val="24"/>
        </w:rPr>
        <w:t>y</w:t>
      </w:r>
      <w:r w:rsidR="00523A26" w:rsidRPr="000B1397">
        <w:rPr>
          <w:rFonts w:ascii="Times New Roman" w:hAnsi="Times New Roman" w:cs="Times New Roman"/>
          <w:color w:val="000000" w:themeColor="text1"/>
          <w:sz w:val="24"/>
          <w:szCs w:val="24"/>
        </w:rPr>
        <w:t xml:space="preserve"> się najwyższym wskaźnikiem dochodowości działalności gospodarczej</w:t>
      </w:r>
      <w:r w:rsidR="00B34B4E" w:rsidRPr="000B1397">
        <w:rPr>
          <w:rFonts w:ascii="Times New Roman" w:hAnsi="Times New Roman" w:cs="Times New Roman"/>
          <w:color w:val="000000" w:themeColor="text1"/>
          <w:sz w:val="24"/>
          <w:szCs w:val="24"/>
        </w:rPr>
        <w:t>;</w:t>
      </w:r>
      <w:r w:rsidR="00CD62BD" w:rsidRPr="000B1397">
        <w:rPr>
          <w:rFonts w:ascii="Times New Roman" w:hAnsi="Times New Roman" w:cs="Times New Roman"/>
          <w:color w:val="000000" w:themeColor="text1"/>
          <w:sz w:val="24"/>
          <w:szCs w:val="24"/>
        </w:rPr>
        <w:t xml:space="preserve"> było to</w:t>
      </w:r>
      <w:r w:rsidR="002B3DB1" w:rsidRPr="000B1397">
        <w:rPr>
          <w:rFonts w:ascii="Times New Roman" w:hAnsi="Times New Roman" w:cs="Times New Roman"/>
          <w:color w:val="000000" w:themeColor="text1"/>
          <w:sz w:val="24"/>
          <w:szCs w:val="24"/>
        </w:rPr>
        <w:t xml:space="preserve"> </w:t>
      </w:r>
      <w:r w:rsidRPr="000B1397">
        <w:rPr>
          <w:rFonts w:ascii="Times New Roman" w:hAnsi="Times New Roman" w:cs="Times New Roman"/>
          <w:color w:val="000000" w:themeColor="text1"/>
          <w:sz w:val="24"/>
          <w:szCs w:val="24"/>
        </w:rPr>
        <w:t>odpowiednio 25,2</w:t>
      </w:r>
      <w:r w:rsidR="00CD62BD"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w:t>
      </w:r>
      <w:r w:rsidR="00CD62BD" w:rsidRPr="000B1397">
        <w:rPr>
          <w:rFonts w:ascii="Times New Roman" w:hAnsi="Times New Roman" w:cs="Times New Roman"/>
          <w:color w:val="000000" w:themeColor="text1"/>
          <w:sz w:val="24"/>
          <w:szCs w:val="24"/>
        </w:rPr>
        <w:t xml:space="preserve">i 22,4%. Tak jak </w:t>
      </w:r>
      <w:r w:rsidR="007D7666" w:rsidRPr="000B1397">
        <w:rPr>
          <w:rFonts w:ascii="Times New Roman" w:hAnsi="Times New Roman" w:cs="Times New Roman"/>
          <w:color w:val="000000" w:themeColor="text1"/>
          <w:sz w:val="24"/>
          <w:szCs w:val="24"/>
        </w:rPr>
        <w:t>przypadku RSP z produkcja zwierzęcą, również i tu</w:t>
      </w:r>
      <w:r w:rsidR="00CD62BD" w:rsidRPr="000B1397">
        <w:rPr>
          <w:rFonts w:ascii="Times New Roman" w:hAnsi="Times New Roman" w:cs="Times New Roman"/>
          <w:color w:val="000000" w:themeColor="text1"/>
          <w:sz w:val="24"/>
          <w:szCs w:val="24"/>
        </w:rPr>
        <w:t xml:space="preserve"> wskaźnik ten uleg</w:t>
      </w:r>
      <w:r w:rsidR="007D7666" w:rsidRPr="000B1397">
        <w:rPr>
          <w:rFonts w:ascii="Times New Roman" w:hAnsi="Times New Roman" w:cs="Times New Roman"/>
          <w:color w:val="000000" w:themeColor="text1"/>
          <w:sz w:val="24"/>
          <w:szCs w:val="24"/>
        </w:rPr>
        <w:t>ł w ostatnim roku obniżeniu.</w:t>
      </w:r>
      <w:r w:rsidR="00E35127" w:rsidRPr="000B1397">
        <w:rPr>
          <w:rFonts w:ascii="Times New Roman" w:hAnsi="Times New Roman" w:cs="Times New Roman"/>
          <w:color w:val="000000" w:themeColor="text1"/>
          <w:sz w:val="24"/>
          <w:szCs w:val="24"/>
        </w:rPr>
        <w:t xml:space="preserve"> Należy zwrócić uwagę, że w spółdzielniach wielostronnych silniejszej korekcie</w:t>
      </w:r>
      <w:r w:rsidR="00756B98" w:rsidRPr="000B1397">
        <w:rPr>
          <w:rFonts w:ascii="Times New Roman" w:hAnsi="Times New Roman" w:cs="Times New Roman"/>
          <w:color w:val="000000" w:themeColor="text1"/>
          <w:sz w:val="24"/>
          <w:szCs w:val="24"/>
        </w:rPr>
        <w:t>, niż w przypadku RSP z produkcją zwierzęcą,</w:t>
      </w:r>
      <w:r w:rsidR="00E35127" w:rsidRPr="000B1397">
        <w:rPr>
          <w:rFonts w:ascii="Times New Roman" w:hAnsi="Times New Roman" w:cs="Times New Roman"/>
          <w:color w:val="000000" w:themeColor="text1"/>
          <w:sz w:val="24"/>
          <w:szCs w:val="24"/>
        </w:rPr>
        <w:t xml:space="preserve"> uległ wskaźnik wartości dodanej (spadek o 3,2 p.p.).</w:t>
      </w:r>
      <w:r w:rsidR="00756B98" w:rsidRPr="000B1397">
        <w:rPr>
          <w:rFonts w:ascii="Times New Roman" w:hAnsi="Times New Roman" w:cs="Times New Roman"/>
          <w:color w:val="000000" w:themeColor="text1"/>
          <w:sz w:val="24"/>
          <w:szCs w:val="24"/>
        </w:rPr>
        <w:t xml:space="preserve"> Było to prawdopodobnie spowodowane </w:t>
      </w:r>
      <w:r w:rsidR="005A36A3" w:rsidRPr="000B1397">
        <w:rPr>
          <w:rFonts w:ascii="Times New Roman" w:hAnsi="Times New Roman" w:cs="Times New Roman"/>
          <w:color w:val="000000" w:themeColor="text1"/>
          <w:sz w:val="24"/>
          <w:szCs w:val="24"/>
        </w:rPr>
        <w:t xml:space="preserve">obniżeniem w </w:t>
      </w:r>
      <w:r w:rsidR="00A93566" w:rsidRPr="000B1397">
        <w:rPr>
          <w:rFonts w:ascii="Times New Roman" w:hAnsi="Times New Roman" w:cs="Times New Roman"/>
          <w:color w:val="000000" w:themeColor="text1"/>
          <w:sz w:val="24"/>
          <w:szCs w:val="24"/>
        </w:rPr>
        <w:t>ostatnim roku</w:t>
      </w:r>
      <w:r w:rsidR="005A36A3" w:rsidRPr="000B1397">
        <w:rPr>
          <w:rFonts w:ascii="Times New Roman" w:hAnsi="Times New Roman" w:cs="Times New Roman"/>
          <w:color w:val="000000" w:themeColor="text1"/>
          <w:sz w:val="24"/>
          <w:szCs w:val="24"/>
        </w:rPr>
        <w:t xml:space="preserve"> przychodów o 300 tys. zł</w:t>
      </w:r>
      <w:r w:rsidR="00756B98" w:rsidRPr="000B1397">
        <w:rPr>
          <w:rFonts w:ascii="Times New Roman" w:hAnsi="Times New Roman" w:cs="Times New Roman"/>
          <w:color w:val="000000" w:themeColor="text1"/>
          <w:sz w:val="24"/>
          <w:szCs w:val="24"/>
        </w:rPr>
        <w:t xml:space="preserve"> w grupie RSP wielostronnych. W omawianej grupie </w:t>
      </w:r>
      <w:r w:rsidR="005A36A3" w:rsidRPr="000B1397">
        <w:rPr>
          <w:rFonts w:ascii="Times New Roman" w:hAnsi="Times New Roman" w:cs="Times New Roman"/>
          <w:color w:val="000000" w:themeColor="text1"/>
          <w:sz w:val="24"/>
          <w:szCs w:val="24"/>
        </w:rPr>
        <w:t>najsilniej</w:t>
      </w:r>
      <w:r w:rsidR="00756B98" w:rsidRPr="000B1397">
        <w:rPr>
          <w:rFonts w:ascii="Times New Roman" w:hAnsi="Times New Roman" w:cs="Times New Roman"/>
          <w:color w:val="000000" w:themeColor="text1"/>
          <w:sz w:val="24"/>
          <w:szCs w:val="24"/>
        </w:rPr>
        <w:t xml:space="preserve"> </w:t>
      </w:r>
      <w:r w:rsidR="005A36A3" w:rsidRPr="000B1397">
        <w:rPr>
          <w:rFonts w:ascii="Times New Roman" w:hAnsi="Times New Roman" w:cs="Times New Roman"/>
          <w:color w:val="000000" w:themeColor="text1"/>
          <w:sz w:val="24"/>
          <w:szCs w:val="24"/>
        </w:rPr>
        <w:t>ograniczano</w:t>
      </w:r>
      <w:r w:rsidR="00756B98" w:rsidRPr="000B1397">
        <w:rPr>
          <w:rFonts w:ascii="Times New Roman" w:hAnsi="Times New Roman" w:cs="Times New Roman"/>
          <w:color w:val="000000" w:themeColor="text1"/>
          <w:sz w:val="24"/>
          <w:szCs w:val="24"/>
        </w:rPr>
        <w:t xml:space="preserve"> zatrudnienie</w:t>
      </w:r>
      <w:r w:rsidR="005A36A3" w:rsidRPr="000B1397">
        <w:rPr>
          <w:rFonts w:ascii="Times New Roman" w:hAnsi="Times New Roman" w:cs="Times New Roman"/>
          <w:color w:val="000000" w:themeColor="text1"/>
          <w:sz w:val="24"/>
          <w:szCs w:val="24"/>
        </w:rPr>
        <w:t xml:space="preserve">, choć zmiany te dotyczyły jedynie </w:t>
      </w:r>
      <w:r w:rsidR="00A93566" w:rsidRPr="000B1397">
        <w:rPr>
          <w:rFonts w:ascii="Times New Roman" w:hAnsi="Times New Roman" w:cs="Times New Roman"/>
          <w:color w:val="000000" w:themeColor="text1"/>
          <w:sz w:val="24"/>
          <w:szCs w:val="24"/>
        </w:rPr>
        <w:t>2016</w:t>
      </w:r>
      <w:r w:rsidR="005A36A3" w:rsidRPr="000B1397">
        <w:rPr>
          <w:rFonts w:ascii="Times New Roman" w:hAnsi="Times New Roman" w:cs="Times New Roman"/>
          <w:color w:val="000000" w:themeColor="text1"/>
          <w:sz w:val="24"/>
          <w:szCs w:val="24"/>
        </w:rPr>
        <w:t xml:space="preserve"> </w:t>
      </w:r>
      <w:r w:rsidR="000B1397" w:rsidRPr="000B1397">
        <w:rPr>
          <w:rFonts w:ascii="Times New Roman" w:hAnsi="Times New Roman" w:cs="Times New Roman"/>
          <w:color w:val="000000" w:themeColor="text1"/>
          <w:sz w:val="24"/>
          <w:szCs w:val="24"/>
        </w:rPr>
        <w:t>r.</w:t>
      </w:r>
      <w:r w:rsidR="00A93566" w:rsidRPr="000B1397">
        <w:rPr>
          <w:rFonts w:ascii="Times New Roman" w:hAnsi="Times New Roman" w:cs="Times New Roman"/>
          <w:color w:val="000000" w:themeColor="text1"/>
          <w:sz w:val="24"/>
          <w:szCs w:val="24"/>
        </w:rPr>
        <w:t xml:space="preserve"> i mogły być związane z reorganizacją produkcji lub likwidacją chowu zwierząt. Należy zauważyć, że RSP wielostronne były jedynym u</w:t>
      </w:r>
      <w:r w:rsidR="00E30516" w:rsidRPr="000B1397">
        <w:rPr>
          <w:rFonts w:ascii="Times New Roman" w:hAnsi="Times New Roman" w:cs="Times New Roman"/>
          <w:color w:val="000000" w:themeColor="text1"/>
          <w:sz w:val="24"/>
          <w:szCs w:val="24"/>
        </w:rPr>
        <w:t>kierunkowaniem</w:t>
      </w:r>
      <w:r w:rsidR="00A93566" w:rsidRPr="000B1397">
        <w:rPr>
          <w:rFonts w:ascii="Times New Roman" w:hAnsi="Times New Roman" w:cs="Times New Roman"/>
          <w:color w:val="000000" w:themeColor="text1"/>
          <w:sz w:val="24"/>
          <w:szCs w:val="24"/>
        </w:rPr>
        <w:t>, które nie wpisywało się w trend ubytku</w:t>
      </w:r>
      <w:r w:rsidR="001841DC" w:rsidRPr="000B1397">
        <w:rPr>
          <w:rFonts w:ascii="Times New Roman" w:hAnsi="Times New Roman" w:cs="Times New Roman"/>
          <w:color w:val="000000" w:themeColor="text1"/>
          <w:sz w:val="24"/>
          <w:szCs w:val="24"/>
        </w:rPr>
        <w:t xml:space="preserve"> posiadanej ziemi, choć zmiana ta dotyczy jedynie ostatniego roku, daje to pozytywny przykład innym.</w:t>
      </w:r>
      <w:r w:rsidR="001C0C7F" w:rsidRPr="000B1397">
        <w:rPr>
          <w:rFonts w:ascii="Times New Roman" w:hAnsi="Times New Roman" w:cs="Times New Roman"/>
          <w:color w:val="000000" w:themeColor="text1"/>
          <w:sz w:val="24"/>
          <w:szCs w:val="24"/>
        </w:rPr>
        <w:t xml:space="preserve"> W RSP o ukierunkowaniu wielostronnym, podobnie jak w zwierzęcym, silnej korekcie uległ wskaźnik generowania gotówki operacyjnej. Największy spadek tego wskaźnika, bo o 3,2 p.p. zaobserwowano w 2016 </w:t>
      </w:r>
      <w:r w:rsidR="005A45DC" w:rsidRPr="000B1397">
        <w:rPr>
          <w:rFonts w:ascii="Times New Roman" w:hAnsi="Times New Roman" w:cs="Times New Roman"/>
          <w:color w:val="000000" w:themeColor="text1"/>
          <w:sz w:val="24"/>
          <w:szCs w:val="24"/>
        </w:rPr>
        <w:t>r. Naturalną konsekwencją braku wolnych środków finansowych było ograniczenie inwestycji</w:t>
      </w:r>
      <w:r w:rsidR="00B34B4E" w:rsidRPr="000B1397">
        <w:rPr>
          <w:rFonts w:ascii="Times New Roman" w:hAnsi="Times New Roman" w:cs="Times New Roman"/>
          <w:color w:val="000000" w:themeColor="text1"/>
          <w:sz w:val="24"/>
          <w:szCs w:val="24"/>
        </w:rPr>
        <w:t>;</w:t>
      </w:r>
      <w:r w:rsidR="005A45DC" w:rsidRPr="000B1397">
        <w:rPr>
          <w:rFonts w:ascii="Times New Roman" w:hAnsi="Times New Roman" w:cs="Times New Roman"/>
          <w:color w:val="000000" w:themeColor="text1"/>
          <w:sz w:val="24"/>
          <w:szCs w:val="24"/>
        </w:rPr>
        <w:t xml:space="preserve"> stopa inwestowania w omawianej grupie wyniosła 0,85 i była najniższa w całej zbiorowości.</w:t>
      </w:r>
      <w:r w:rsidR="007D36FE" w:rsidRPr="000B1397">
        <w:rPr>
          <w:rFonts w:ascii="Times New Roman" w:hAnsi="Times New Roman" w:cs="Times New Roman"/>
          <w:color w:val="000000" w:themeColor="text1"/>
          <w:sz w:val="24"/>
          <w:szCs w:val="24"/>
        </w:rPr>
        <w:t xml:space="preserve"> Wydaje się jednak, że mimo tych niekorzystnych wyników w 2016 roku, spółdzielnie łączące w równym stopniu produkcję roślinną ze zwierzęcą są niezagrożone, gdyż wciąż mogą zaproponować swoim członkom relatywnie wysoką, przekraczającą 50 tys. zł na osobę opłatę pracy.</w:t>
      </w:r>
    </w:p>
    <w:p w:rsidR="00F44B90" w:rsidRDefault="00F44B90" w:rsidP="00EA7CA9">
      <w:pPr>
        <w:spacing w:before="80" w:after="0" w:line="264" w:lineRule="auto"/>
        <w:ind w:firstLine="425"/>
        <w:jc w:val="both"/>
        <w:rPr>
          <w:rFonts w:ascii="Times New Roman" w:hAnsi="Times New Roman" w:cs="Times New Roman"/>
          <w:color w:val="000000" w:themeColor="text1"/>
          <w:sz w:val="24"/>
          <w:szCs w:val="24"/>
        </w:rPr>
      </w:pPr>
      <w:r w:rsidRPr="000B1397">
        <w:rPr>
          <w:rFonts w:ascii="Times New Roman" w:hAnsi="Times New Roman" w:cs="Times New Roman"/>
          <w:color w:val="000000" w:themeColor="text1"/>
          <w:sz w:val="24"/>
          <w:szCs w:val="24"/>
        </w:rPr>
        <w:t>Rok 2016 dla s</w:t>
      </w:r>
      <w:r w:rsidR="00CA236C" w:rsidRPr="000B1397">
        <w:rPr>
          <w:rFonts w:ascii="Times New Roman" w:hAnsi="Times New Roman" w:cs="Times New Roman"/>
          <w:color w:val="000000" w:themeColor="text1"/>
          <w:sz w:val="24"/>
          <w:szCs w:val="24"/>
        </w:rPr>
        <w:t xml:space="preserve">półdzielni o ukierunkowaniu roślinnym </w:t>
      </w:r>
      <w:r w:rsidRPr="000B1397">
        <w:rPr>
          <w:rFonts w:ascii="Times New Roman" w:hAnsi="Times New Roman" w:cs="Times New Roman"/>
          <w:color w:val="000000" w:themeColor="text1"/>
          <w:sz w:val="24"/>
          <w:szCs w:val="24"/>
        </w:rPr>
        <w:t>był już kolejnym</w:t>
      </w:r>
      <w:r w:rsidR="004D65FF" w:rsidRPr="000B1397">
        <w:rPr>
          <w:rFonts w:ascii="Times New Roman" w:hAnsi="Times New Roman" w:cs="Times New Roman"/>
          <w:color w:val="000000" w:themeColor="text1"/>
          <w:sz w:val="24"/>
          <w:szCs w:val="24"/>
        </w:rPr>
        <w:t>,</w:t>
      </w:r>
      <w:r w:rsidRPr="000B1397">
        <w:rPr>
          <w:rFonts w:ascii="Times New Roman" w:hAnsi="Times New Roman" w:cs="Times New Roman"/>
          <w:color w:val="000000" w:themeColor="text1"/>
          <w:sz w:val="24"/>
          <w:szCs w:val="24"/>
        </w:rPr>
        <w:t xml:space="preserve"> kiedy anomalie pogodowe miały niekorzystny wpływ na wielkość produkcji. Niższe plony, przy spadku notowań zbóż skutkowały w 2016 r. dalszym </w:t>
      </w:r>
      <w:r w:rsidR="004D65FF" w:rsidRPr="000B1397">
        <w:rPr>
          <w:rFonts w:ascii="Times New Roman" w:hAnsi="Times New Roman" w:cs="Times New Roman"/>
          <w:color w:val="000000" w:themeColor="text1"/>
          <w:sz w:val="24"/>
          <w:szCs w:val="24"/>
        </w:rPr>
        <w:t>ograniczeniem</w:t>
      </w:r>
      <w:r w:rsidRPr="000B1397">
        <w:rPr>
          <w:rFonts w:ascii="Times New Roman" w:hAnsi="Times New Roman" w:cs="Times New Roman"/>
          <w:color w:val="000000" w:themeColor="text1"/>
          <w:sz w:val="24"/>
          <w:szCs w:val="24"/>
        </w:rPr>
        <w:t xml:space="preserve"> przychodów ze sprzedaży. Należy jednak podkreślić, że zdecydowana większość z tej grupy RSP ubezpieczyła swoje plony, a otrzymane odszkodowania znacząco poprawiły</w:t>
      </w:r>
      <w:r w:rsidR="004D65FF" w:rsidRPr="000B1397">
        <w:rPr>
          <w:rFonts w:ascii="Times New Roman" w:hAnsi="Times New Roman" w:cs="Times New Roman"/>
          <w:color w:val="000000" w:themeColor="text1"/>
          <w:sz w:val="24"/>
          <w:szCs w:val="24"/>
        </w:rPr>
        <w:t xml:space="preserve"> ich</w:t>
      </w:r>
      <w:r w:rsidR="00294070" w:rsidRPr="000B1397">
        <w:rPr>
          <w:rFonts w:ascii="Times New Roman" w:hAnsi="Times New Roman" w:cs="Times New Roman"/>
          <w:color w:val="000000" w:themeColor="text1"/>
          <w:sz w:val="24"/>
          <w:szCs w:val="24"/>
        </w:rPr>
        <w:t xml:space="preserve"> kond</w:t>
      </w:r>
      <w:r w:rsidR="00B34B4E" w:rsidRPr="000B1397">
        <w:rPr>
          <w:rFonts w:ascii="Times New Roman" w:hAnsi="Times New Roman" w:cs="Times New Roman"/>
          <w:color w:val="000000" w:themeColor="text1"/>
          <w:sz w:val="24"/>
          <w:szCs w:val="24"/>
        </w:rPr>
        <w:t>ycję ekonomiczną</w:t>
      </w:r>
      <w:r w:rsidR="00434F2B" w:rsidRPr="000B1397">
        <w:rPr>
          <w:rFonts w:ascii="Times New Roman" w:hAnsi="Times New Roman" w:cs="Times New Roman"/>
          <w:color w:val="000000" w:themeColor="text1"/>
          <w:sz w:val="24"/>
          <w:szCs w:val="24"/>
        </w:rPr>
        <w:t xml:space="preserve">. Przy obniżeniu sprzedaży poprawie uległy wskaźniki dochodowość działalności gospodarczej o 0,8 </w:t>
      </w:r>
      <w:r w:rsidR="00434F2B" w:rsidRPr="000B1397">
        <w:rPr>
          <w:rFonts w:ascii="Times New Roman" w:hAnsi="Times New Roman" w:cs="Times New Roman"/>
          <w:color w:val="000000" w:themeColor="text1"/>
          <w:sz w:val="24"/>
          <w:szCs w:val="24"/>
        </w:rPr>
        <w:lastRenderedPageBreak/>
        <w:t>p.p. i wartości dodanej o 0,6 p.p. Należy jednak zaznaczyć, iż pozostawały one odpowiednio o 3,8 p.p. i 2,6 p.p. niższe niż w 2014 r.</w:t>
      </w:r>
      <w:r w:rsidR="004D65FF" w:rsidRPr="000B1397">
        <w:rPr>
          <w:rFonts w:ascii="Times New Roman" w:hAnsi="Times New Roman" w:cs="Times New Roman"/>
          <w:color w:val="000000" w:themeColor="text1"/>
          <w:sz w:val="24"/>
          <w:szCs w:val="24"/>
        </w:rPr>
        <w:t xml:space="preserve"> Spółdzielnie wyspecjalizowane w produkcji roślinnej mogły jednak i tak poszczycić się najwyższym współczynnikiem dochodowości pracy</w:t>
      </w:r>
      <w:r w:rsidR="00B34B4E" w:rsidRPr="000B1397">
        <w:rPr>
          <w:rFonts w:ascii="Times New Roman" w:hAnsi="Times New Roman" w:cs="Times New Roman"/>
          <w:color w:val="000000" w:themeColor="text1"/>
          <w:sz w:val="24"/>
          <w:szCs w:val="24"/>
        </w:rPr>
        <w:t>,</w:t>
      </w:r>
      <w:r w:rsidR="004D65FF" w:rsidRPr="000B1397">
        <w:rPr>
          <w:rFonts w:ascii="Times New Roman" w:hAnsi="Times New Roman" w:cs="Times New Roman"/>
          <w:color w:val="000000" w:themeColor="text1"/>
          <w:sz w:val="24"/>
          <w:szCs w:val="24"/>
        </w:rPr>
        <w:t xml:space="preserve"> jak i wartością dodaną na osobę pracującą. Pozostawały zatem najlepszym płatnikiem, jak również mogły </w:t>
      </w:r>
      <w:r w:rsidR="00B34B4E" w:rsidRPr="000B1397">
        <w:rPr>
          <w:rFonts w:ascii="Times New Roman" w:hAnsi="Times New Roman" w:cs="Times New Roman"/>
          <w:color w:val="000000" w:themeColor="text1"/>
          <w:sz w:val="24"/>
          <w:szCs w:val="24"/>
        </w:rPr>
        <w:t>pochwalić</w:t>
      </w:r>
      <w:r w:rsidR="004D65FF" w:rsidRPr="000B1397">
        <w:rPr>
          <w:rFonts w:ascii="Times New Roman" w:hAnsi="Times New Roman" w:cs="Times New Roman"/>
          <w:color w:val="000000" w:themeColor="text1"/>
          <w:sz w:val="24"/>
          <w:szCs w:val="24"/>
        </w:rPr>
        <w:t xml:space="preserve"> się najwyższym poziomem wolnych środków finansowych. Jedynie w tym ukierunkowania produkcyjnym wskaźnik generowania gotówki operacyjnej wzrósł w ostatnim 3-leciu i pozostawał na poziomie przekraczającym 10,9%. Mimo relatywnie najlepszej sytuacji spółdzielnie z tej grupy również obniżyły </w:t>
      </w:r>
      <w:r w:rsidR="00B05D41" w:rsidRPr="000B1397">
        <w:rPr>
          <w:rFonts w:ascii="Times New Roman" w:hAnsi="Times New Roman" w:cs="Times New Roman"/>
          <w:color w:val="000000" w:themeColor="text1"/>
          <w:sz w:val="24"/>
          <w:szCs w:val="24"/>
        </w:rPr>
        <w:t xml:space="preserve">nakłady </w:t>
      </w:r>
      <w:r w:rsidR="000B1397" w:rsidRPr="000B1397">
        <w:rPr>
          <w:rFonts w:ascii="Times New Roman" w:hAnsi="Times New Roman" w:cs="Times New Roman"/>
          <w:color w:val="000000" w:themeColor="text1"/>
          <w:sz w:val="24"/>
          <w:szCs w:val="24"/>
        </w:rPr>
        <w:t>inwestycyjne</w:t>
      </w:r>
      <w:r w:rsidR="00B05D41" w:rsidRPr="000B1397">
        <w:rPr>
          <w:rFonts w:ascii="Times New Roman" w:hAnsi="Times New Roman" w:cs="Times New Roman"/>
          <w:color w:val="000000" w:themeColor="text1"/>
          <w:sz w:val="24"/>
          <w:szCs w:val="24"/>
        </w:rPr>
        <w:t xml:space="preserve"> jako jedyne jednak utrzymały </w:t>
      </w:r>
      <w:r w:rsidR="003E21AC" w:rsidRPr="000B1397">
        <w:rPr>
          <w:rFonts w:ascii="Times New Roman" w:hAnsi="Times New Roman" w:cs="Times New Roman"/>
          <w:color w:val="000000" w:themeColor="text1"/>
          <w:sz w:val="24"/>
          <w:szCs w:val="24"/>
        </w:rPr>
        <w:t>rozszerzony</w:t>
      </w:r>
      <w:r w:rsidR="00B05D41" w:rsidRPr="000B1397">
        <w:rPr>
          <w:rFonts w:ascii="Times New Roman" w:hAnsi="Times New Roman" w:cs="Times New Roman"/>
          <w:color w:val="000000" w:themeColor="text1"/>
          <w:sz w:val="24"/>
          <w:szCs w:val="24"/>
        </w:rPr>
        <w:t xml:space="preserve"> typ reprodukcji majątku</w:t>
      </w:r>
      <w:r w:rsidR="003E21AC" w:rsidRPr="000B1397">
        <w:rPr>
          <w:rFonts w:ascii="Times New Roman" w:hAnsi="Times New Roman" w:cs="Times New Roman"/>
          <w:color w:val="000000" w:themeColor="text1"/>
          <w:sz w:val="24"/>
          <w:szCs w:val="24"/>
        </w:rPr>
        <w:t xml:space="preserve">. Mimo </w:t>
      </w:r>
      <w:r w:rsidR="00B34B4E" w:rsidRPr="000B1397">
        <w:rPr>
          <w:rFonts w:ascii="Times New Roman" w:hAnsi="Times New Roman" w:cs="Times New Roman"/>
          <w:color w:val="000000" w:themeColor="text1"/>
          <w:sz w:val="24"/>
          <w:szCs w:val="24"/>
        </w:rPr>
        <w:t>stosunkowo</w:t>
      </w:r>
      <w:r w:rsidR="003E21AC" w:rsidRPr="000B1397">
        <w:rPr>
          <w:rFonts w:ascii="Times New Roman" w:hAnsi="Times New Roman" w:cs="Times New Roman"/>
          <w:color w:val="000000" w:themeColor="text1"/>
          <w:sz w:val="24"/>
          <w:szCs w:val="24"/>
        </w:rPr>
        <w:t xml:space="preserve"> najlepszej sytuacji ekonomicznej również i w tej grupie znajdowały się spółdzielnie wyprzedające własne aktywa, zarówno te ruchome</w:t>
      </w:r>
      <w:r w:rsidR="00664450" w:rsidRPr="000B1397">
        <w:rPr>
          <w:rFonts w:ascii="Times New Roman" w:hAnsi="Times New Roman" w:cs="Times New Roman"/>
          <w:color w:val="000000" w:themeColor="text1"/>
          <w:sz w:val="24"/>
          <w:szCs w:val="24"/>
        </w:rPr>
        <w:t>,</w:t>
      </w:r>
      <w:r w:rsidR="003E21AC" w:rsidRPr="000B1397">
        <w:rPr>
          <w:rFonts w:ascii="Times New Roman" w:hAnsi="Times New Roman" w:cs="Times New Roman"/>
          <w:color w:val="000000" w:themeColor="text1"/>
          <w:sz w:val="24"/>
          <w:szCs w:val="24"/>
        </w:rPr>
        <w:t xml:space="preserve"> i jak i trwałe</w:t>
      </w:r>
      <w:r w:rsidR="00664450" w:rsidRPr="000B1397">
        <w:rPr>
          <w:rFonts w:ascii="Times New Roman" w:hAnsi="Times New Roman" w:cs="Times New Roman"/>
          <w:color w:val="000000" w:themeColor="text1"/>
          <w:sz w:val="24"/>
          <w:szCs w:val="24"/>
        </w:rPr>
        <w:t>,</w:t>
      </w:r>
      <w:r w:rsidR="003E21AC" w:rsidRPr="000B1397">
        <w:rPr>
          <w:rFonts w:ascii="Times New Roman" w:hAnsi="Times New Roman" w:cs="Times New Roman"/>
          <w:color w:val="000000" w:themeColor="text1"/>
          <w:sz w:val="24"/>
          <w:szCs w:val="24"/>
        </w:rPr>
        <w:t xml:space="preserve"> na które obecnie panuje największy popyt.</w:t>
      </w:r>
    </w:p>
    <w:p w:rsidR="00650ABD" w:rsidRPr="000B1397" w:rsidRDefault="00650ABD" w:rsidP="00EA7CA9">
      <w:pPr>
        <w:spacing w:before="80" w:after="0" w:line="264" w:lineRule="auto"/>
        <w:ind w:firstLine="425"/>
        <w:jc w:val="both"/>
        <w:rPr>
          <w:rFonts w:ascii="Times New Roman" w:hAnsi="Times New Roman" w:cs="Times New Roman"/>
          <w:color w:val="000000" w:themeColor="text1"/>
          <w:sz w:val="24"/>
          <w:szCs w:val="24"/>
        </w:rPr>
      </w:pPr>
    </w:p>
    <w:p w:rsidR="00E51532" w:rsidRPr="000B1397" w:rsidRDefault="00E51532" w:rsidP="000B1397">
      <w:pPr>
        <w:spacing w:line="264" w:lineRule="auto"/>
        <w:jc w:val="right"/>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Tabela 4</w:t>
      </w:r>
    </w:p>
    <w:p w:rsidR="00E51532" w:rsidRPr="00EA7CA9" w:rsidRDefault="00E51532" w:rsidP="000B1397">
      <w:pPr>
        <w:spacing w:after="0" w:line="240" w:lineRule="auto"/>
        <w:jc w:val="center"/>
        <w:rPr>
          <w:rFonts w:ascii="Times New Roman" w:eastAsia="Times New Roman" w:hAnsi="Times New Roman" w:cs="Times New Roman"/>
          <w:color w:val="000000" w:themeColor="text1"/>
        </w:rPr>
      </w:pPr>
      <w:r w:rsidRPr="00EA7CA9">
        <w:rPr>
          <w:rFonts w:ascii="Times New Roman" w:eastAsia="Times New Roman" w:hAnsi="Times New Roman" w:cs="Times New Roman"/>
          <w:color w:val="000000" w:themeColor="text1"/>
        </w:rPr>
        <w:t>Sytuacja ekonomiczno-finansowa RSP według ukierunkowania produkcyjnego</w:t>
      </w:r>
    </w:p>
    <w:p w:rsidR="00E51532" w:rsidRPr="00EA7CA9" w:rsidRDefault="00E51532" w:rsidP="000B1397">
      <w:pPr>
        <w:spacing w:after="0" w:line="240" w:lineRule="auto"/>
        <w:jc w:val="center"/>
        <w:rPr>
          <w:rFonts w:ascii="Times New Roman" w:eastAsia="Times New Roman" w:hAnsi="Times New Roman" w:cs="Times New Roman"/>
          <w:color w:val="000000" w:themeColor="text1"/>
        </w:rPr>
      </w:pPr>
      <w:r w:rsidRPr="00EA7CA9">
        <w:rPr>
          <w:rFonts w:ascii="Times New Roman" w:eastAsia="Times New Roman" w:hAnsi="Times New Roman" w:cs="Times New Roman"/>
          <w:color w:val="000000" w:themeColor="text1"/>
        </w:rPr>
        <w:t>w latach 2014-2016</w:t>
      </w:r>
    </w:p>
    <w:tbl>
      <w:tblPr>
        <w:tblW w:w="0" w:type="auto"/>
        <w:jc w:val="center"/>
        <w:tblCellMar>
          <w:left w:w="10" w:type="dxa"/>
          <w:right w:w="10" w:type="dxa"/>
        </w:tblCellMar>
        <w:tblLook w:val="0000" w:firstRow="0" w:lastRow="0" w:firstColumn="0" w:lastColumn="0" w:noHBand="0" w:noVBand="0"/>
      </w:tblPr>
      <w:tblGrid>
        <w:gridCol w:w="3185"/>
        <w:gridCol w:w="711"/>
        <w:gridCol w:w="656"/>
        <w:gridCol w:w="656"/>
        <w:gridCol w:w="656"/>
        <w:gridCol w:w="656"/>
        <w:gridCol w:w="656"/>
        <w:gridCol w:w="656"/>
        <w:gridCol w:w="656"/>
        <w:gridCol w:w="656"/>
      </w:tblGrid>
      <w:tr w:rsidR="00E51532" w:rsidRPr="000B1397" w:rsidTr="00E51532">
        <w:trPr>
          <w:trHeight w:val="205"/>
          <w:jc w:val="center"/>
        </w:trPr>
        <w:tc>
          <w:tcPr>
            <w:tcW w:w="31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Wyszczególnienie</w:t>
            </w:r>
          </w:p>
        </w:tc>
        <w:tc>
          <w:tcPr>
            <w:tcW w:w="0" w:type="auto"/>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RSP wg kierunku produkcji:</w:t>
            </w:r>
          </w:p>
        </w:tc>
      </w:tr>
      <w:tr w:rsidR="00E51532" w:rsidRPr="000B1397" w:rsidTr="00E51532">
        <w:trPr>
          <w:trHeight w:val="60"/>
          <w:jc w:val="center"/>
        </w:trPr>
        <w:tc>
          <w:tcPr>
            <w:tcW w:w="31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rPr>
                <w:rFonts w:ascii="Calibri" w:eastAsia="Calibri" w:hAnsi="Calibri" w:cs="Calibri"/>
                <w:color w:val="000000" w:themeColor="text1"/>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after="0" w:line="240" w:lineRule="auto"/>
              <w:jc w:val="center"/>
              <w:rPr>
                <w:rFonts w:ascii="Times New Roman" w:eastAsia="Times New Roman" w:hAnsi="Times New Roman" w:cs="Times New Roman"/>
                <w:color w:val="000000" w:themeColor="text1"/>
                <w:sz w:val="20"/>
              </w:rPr>
            </w:pPr>
            <w:r w:rsidRPr="000B1397">
              <w:rPr>
                <w:rFonts w:ascii="Times New Roman" w:eastAsia="Times New Roman" w:hAnsi="Times New Roman" w:cs="Times New Roman"/>
                <w:color w:val="000000" w:themeColor="text1"/>
                <w:sz w:val="20"/>
              </w:rPr>
              <w:t xml:space="preserve">roślinny </w:t>
            </w:r>
          </w:p>
          <w:p w:rsidR="00E51532" w:rsidRPr="000B1397" w:rsidRDefault="00E51532" w:rsidP="000B1397">
            <w:pPr>
              <w:spacing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(panel 43 RSP)</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after="0" w:line="240" w:lineRule="auto"/>
              <w:jc w:val="center"/>
              <w:rPr>
                <w:rFonts w:ascii="Times New Roman" w:eastAsia="Times New Roman" w:hAnsi="Times New Roman" w:cs="Times New Roman"/>
                <w:color w:val="000000" w:themeColor="text1"/>
                <w:sz w:val="20"/>
              </w:rPr>
            </w:pPr>
            <w:r w:rsidRPr="000B1397">
              <w:rPr>
                <w:rFonts w:ascii="Times New Roman" w:eastAsia="Times New Roman" w:hAnsi="Times New Roman" w:cs="Times New Roman"/>
                <w:color w:val="000000" w:themeColor="text1"/>
                <w:sz w:val="20"/>
              </w:rPr>
              <w:t xml:space="preserve">zwierzęcy </w:t>
            </w:r>
          </w:p>
          <w:p w:rsidR="00E51532" w:rsidRPr="000B1397" w:rsidRDefault="00E51532" w:rsidP="000B1397">
            <w:pPr>
              <w:spacing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(panel 15 RSP)</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after="0" w:line="240" w:lineRule="auto"/>
              <w:jc w:val="center"/>
              <w:rPr>
                <w:rFonts w:ascii="Times New Roman" w:eastAsia="Times New Roman" w:hAnsi="Times New Roman" w:cs="Times New Roman"/>
                <w:color w:val="000000" w:themeColor="text1"/>
                <w:sz w:val="20"/>
              </w:rPr>
            </w:pPr>
            <w:r w:rsidRPr="000B1397">
              <w:rPr>
                <w:rFonts w:ascii="Times New Roman" w:eastAsia="Times New Roman" w:hAnsi="Times New Roman" w:cs="Times New Roman"/>
                <w:color w:val="000000" w:themeColor="text1"/>
                <w:sz w:val="20"/>
              </w:rPr>
              <w:t xml:space="preserve">wielostronny </w:t>
            </w:r>
          </w:p>
          <w:p w:rsidR="00E51532" w:rsidRPr="000B1397" w:rsidRDefault="00E51532" w:rsidP="000B1397">
            <w:pPr>
              <w:spacing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(panel 22 RSP)</w:t>
            </w:r>
          </w:p>
        </w:tc>
      </w:tr>
      <w:tr w:rsidR="00E51532" w:rsidRPr="000B1397" w:rsidTr="00E51532">
        <w:trPr>
          <w:trHeight w:val="125"/>
          <w:jc w:val="center"/>
        </w:trPr>
        <w:tc>
          <w:tcPr>
            <w:tcW w:w="31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rPr>
                <w:rFonts w:ascii="Calibri" w:eastAsia="Calibri" w:hAnsi="Calibri" w:cs="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2014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2016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2014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2016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2014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2016</w:t>
            </w:r>
          </w:p>
        </w:tc>
      </w:tr>
      <w:tr w:rsidR="00E51532" w:rsidRPr="000B1397" w:rsidTr="00E51532">
        <w:trPr>
          <w:trHeight w:val="468"/>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Przeciętny obszar (ha UR)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608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598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602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605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590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471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459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463</w:t>
            </w:r>
          </w:p>
        </w:tc>
      </w:tr>
      <w:tr w:rsidR="00E51532" w:rsidRPr="000B1397" w:rsidTr="00E51532">
        <w:trPr>
          <w:trHeight w:val="468"/>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 xml:space="preserve">Przychody ogółem </w:t>
            </w:r>
            <w:r w:rsidR="000B1397" w:rsidRPr="000B1397">
              <w:rPr>
                <w:rFonts w:ascii="Times New Roman" w:eastAsia="Times New Roman" w:hAnsi="Times New Roman" w:cs="Times New Roman"/>
                <w:color w:val="000000" w:themeColor="text1"/>
                <w:sz w:val="20"/>
              </w:rPr>
              <w:t>(mln</w:t>
            </w:r>
            <w:r w:rsidRPr="000B1397">
              <w:rPr>
                <w:rFonts w:ascii="Times New Roman" w:eastAsia="Times New Roman" w:hAnsi="Times New Roman" w:cs="Times New Roman"/>
                <w:color w:val="000000" w:themeColor="text1"/>
                <w:sz w:val="20"/>
              </w:rPr>
              <w:t xml:space="preserve"> zł)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10,9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6,3</w:t>
            </w:r>
          </w:p>
        </w:tc>
      </w:tr>
      <w:tr w:rsidR="00E51532" w:rsidRPr="000B1397" w:rsidTr="00E51532">
        <w:trPr>
          <w:trHeight w:val="441"/>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Pracujący na 100 ha UR (osoby)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6,4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4,5</w:t>
            </w:r>
          </w:p>
        </w:tc>
      </w:tr>
      <w:tr w:rsidR="00E51532" w:rsidRPr="000B1397" w:rsidTr="00E51532">
        <w:trPr>
          <w:trHeight w:val="429"/>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Wydajność pracy – wartość dodana (tys. zł/osobę)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109,5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94,3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95,2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73,6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70,7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70,8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85,4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84,7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83,4</w:t>
            </w:r>
          </w:p>
        </w:tc>
      </w:tr>
      <w:tr w:rsidR="00E51532" w:rsidRPr="000B1397" w:rsidTr="00E51532">
        <w:trPr>
          <w:trHeight w:val="441"/>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Wskaźnik wartości dodanej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45,1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33,4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35,7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34,8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38,0</w:t>
            </w:r>
          </w:p>
        </w:tc>
      </w:tr>
      <w:tr w:rsidR="00E51532" w:rsidRPr="000B1397" w:rsidTr="00E51532">
        <w:trPr>
          <w:trHeight w:val="429"/>
          <w:jc w:val="center"/>
        </w:trPr>
        <w:tc>
          <w:tcPr>
            <w:tcW w:w="9144"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Wskaźniki dochodowości:</w:t>
            </w:r>
          </w:p>
        </w:tc>
      </w:tr>
      <w:tr w:rsidR="00E51532" w:rsidRPr="000B1397" w:rsidTr="00E51532">
        <w:trPr>
          <w:trHeight w:val="441"/>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 pracy członka (tys. zł/osobę)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70,1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51,7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53,5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43,8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83,4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52,8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51,7</w:t>
            </w:r>
          </w:p>
        </w:tc>
      </w:tr>
      <w:tr w:rsidR="00E51532" w:rsidRPr="000B1397" w:rsidTr="00E51532">
        <w:trPr>
          <w:trHeight w:val="429"/>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 działalności gospodarczej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25,7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16,4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18,8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18,7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24,8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25,1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22,4</w:t>
            </w:r>
          </w:p>
        </w:tc>
      </w:tr>
      <w:tr w:rsidR="00E51532" w:rsidRPr="000B1397" w:rsidTr="00E51532">
        <w:trPr>
          <w:trHeight w:val="441"/>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Indeks tworzenia wartości (krotność)</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-1,3</w:t>
            </w:r>
          </w:p>
        </w:tc>
      </w:tr>
      <w:tr w:rsidR="00E51532" w:rsidRPr="000B1397" w:rsidTr="00E51532">
        <w:trPr>
          <w:trHeight w:val="441"/>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Wskaźnik generowania gotówki operacyjnej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10,4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9,6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10,9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4,0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8,5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5,3</w:t>
            </w:r>
          </w:p>
        </w:tc>
      </w:tr>
      <w:tr w:rsidR="00E51532" w:rsidRPr="000B1397" w:rsidTr="00E51532">
        <w:trPr>
          <w:trHeight w:val="441"/>
          <w:jc w:val="center"/>
        </w:trPr>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32" w:rsidRPr="000B1397" w:rsidRDefault="00E51532" w:rsidP="000B1397">
            <w:pPr>
              <w:spacing w:line="240" w:lineRule="auto"/>
              <w:rPr>
                <w:rFonts w:ascii="Calibri" w:eastAsia="Times New Roman" w:hAnsi="Calibri" w:cs="Times New Roman"/>
                <w:color w:val="000000" w:themeColor="text1"/>
              </w:rPr>
            </w:pPr>
            <w:r w:rsidRPr="000B1397">
              <w:rPr>
                <w:rFonts w:ascii="Times New Roman" w:eastAsia="Times New Roman" w:hAnsi="Times New Roman" w:cs="Times New Roman"/>
                <w:color w:val="000000" w:themeColor="text1"/>
                <w:sz w:val="20"/>
              </w:rPr>
              <w:t>Stopa inwestycji (krotność)</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1,31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1,32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1,09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1,36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1,59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0,92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2,68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1,45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532" w:rsidRPr="000B1397" w:rsidRDefault="00E51532" w:rsidP="000B1397">
            <w:pPr>
              <w:spacing w:after="120" w:line="240" w:lineRule="auto"/>
              <w:jc w:val="center"/>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rPr>
              <w:t>0,85</w:t>
            </w:r>
          </w:p>
        </w:tc>
      </w:tr>
    </w:tbl>
    <w:p w:rsidR="00E51532" w:rsidRPr="000B1397" w:rsidRDefault="00E51532" w:rsidP="000B1397">
      <w:pPr>
        <w:spacing w:after="120"/>
        <w:rPr>
          <w:rFonts w:ascii="Times New Roman" w:eastAsia="Times New Roman" w:hAnsi="Times New Roman" w:cs="Times New Roman"/>
          <w:i/>
          <w:color w:val="000000" w:themeColor="text1"/>
          <w:sz w:val="20"/>
        </w:rPr>
      </w:pPr>
      <w:r w:rsidRPr="000B1397">
        <w:rPr>
          <w:rFonts w:ascii="Times New Roman" w:eastAsia="Times New Roman" w:hAnsi="Times New Roman" w:cs="Times New Roman"/>
          <w:b/>
          <w:color w:val="000000" w:themeColor="text1"/>
          <w:sz w:val="20"/>
        </w:rPr>
        <w:t>Źródło</w:t>
      </w:r>
      <w:r w:rsidRPr="000B1397">
        <w:rPr>
          <w:rFonts w:ascii="Times New Roman" w:eastAsia="Times New Roman" w:hAnsi="Times New Roman" w:cs="Times New Roman"/>
          <w:color w:val="000000" w:themeColor="text1"/>
          <w:sz w:val="20"/>
        </w:rPr>
        <w:t xml:space="preserve">: </w:t>
      </w:r>
      <w:r w:rsidRPr="000B1397">
        <w:rPr>
          <w:rFonts w:ascii="Times New Roman" w:eastAsia="Times New Roman" w:hAnsi="Times New Roman" w:cs="Times New Roman"/>
          <w:i/>
          <w:color w:val="000000" w:themeColor="text1"/>
          <w:sz w:val="20"/>
        </w:rPr>
        <w:t>Ranking RSP 2014 r.,</w:t>
      </w:r>
      <w:r w:rsidR="000C1F61">
        <w:rPr>
          <w:rFonts w:ascii="Times New Roman" w:eastAsia="Times New Roman" w:hAnsi="Times New Roman" w:cs="Times New Roman"/>
          <w:i/>
          <w:color w:val="000000" w:themeColor="text1"/>
          <w:sz w:val="20"/>
        </w:rPr>
        <w:t xml:space="preserve"> </w:t>
      </w:r>
      <w:r w:rsidRPr="000B1397">
        <w:rPr>
          <w:rFonts w:ascii="Times New Roman" w:eastAsia="Times New Roman" w:hAnsi="Times New Roman" w:cs="Times New Roman"/>
          <w:i/>
          <w:color w:val="000000" w:themeColor="text1"/>
          <w:sz w:val="20"/>
        </w:rPr>
        <w:t>2015 r. i 2016</w:t>
      </w:r>
      <w:r w:rsidR="000C1F61">
        <w:rPr>
          <w:rFonts w:ascii="Times New Roman" w:eastAsia="Times New Roman" w:hAnsi="Times New Roman" w:cs="Times New Roman"/>
          <w:i/>
          <w:color w:val="000000" w:themeColor="text1"/>
          <w:sz w:val="20"/>
        </w:rPr>
        <w:t xml:space="preserve"> </w:t>
      </w:r>
      <w:r w:rsidRPr="000B1397">
        <w:rPr>
          <w:rFonts w:ascii="Times New Roman" w:eastAsia="Times New Roman" w:hAnsi="Times New Roman" w:cs="Times New Roman"/>
          <w:i/>
          <w:color w:val="000000" w:themeColor="text1"/>
          <w:sz w:val="20"/>
        </w:rPr>
        <w:t>r.</w:t>
      </w:r>
      <w:r w:rsidR="000C1F61">
        <w:rPr>
          <w:rFonts w:ascii="Times New Roman" w:eastAsia="Times New Roman" w:hAnsi="Times New Roman" w:cs="Times New Roman"/>
          <w:b/>
          <w:color w:val="000000" w:themeColor="text1"/>
          <w:sz w:val="20"/>
        </w:rPr>
        <w:t xml:space="preserve"> </w:t>
      </w:r>
    </w:p>
    <w:p w:rsidR="00E51532" w:rsidRPr="000B1397" w:rsidRDefault="00E51532" w:rsidP="000B1397">
      <w:pPr>
        <w:spacing w:after="0" w:line="264" w:lineRule="auto"/>
        <w:ind w:firstLine="567"/>
        <w:jc w:val="both"/>
        <w:rPr>
          <w:rFonts w:ascii="Times New Roman" w:hAnsi="Times New Roman" w:cs="Times New Roman"/>
          <w:color w:val="000000" w:themeColor="text1"/>
          <w:sz w:val="24"/>
          <w:szCs w:val="24"/>
        </w:rPr>
      </w:pPr>
    </w:p>
    <w:p w:rsidR="004617F8" w:rsidRPr="000B1397" w:rsidRDefault="004617F8" w:rsidP="000B1397">
      <w:pPr>
        <w:spacing w:after="0" w:line="264" w:lineRule="auto"/>
        <w:ind w:firstLine="567"/>
        <w:jc w:val="both"/>
        <w:rPr>
          <w:rFonts w:ascii="Times New Roman" w:hAnsi="Times New Roman" w:cs="Times New Roman"/>
          <w:color w:val="000000" w:themeColor="text1"/>
          <w:sz w:val="24"/>
          <w:szCs w:val="24"/>
        </w:rPr>
      </w:pPr>
    </w:p>
    <w:p w:rsidR="004617F8" w:rsidRPr="000B1397" w:rsidRDefault="004617F8" w:rsidP="000B1397">
      <w:pPr>
        <w:spacing w:line="264" w:lineRule="auto"/>
        <w:jc w:val="right"/>
        <w:rPr>
          <w:rFonts w:ascii="Times New Roman" w:eastAsia="Times New Roman" w:hAnsi="Times New Roman" w:cs="Times New Roman"/>
          <w:color w:val="000000" w:themeColor="text1"/>
          <w:sz w:val="24"/>
        </w:rPr>
        <w:sectPr w:rsidR="004617F8" w:rsidRPr="000B1397" w:rsidSect="00673E12">
          <w:footerReference w:type="default" r:id="rId12"/>
          <w:pgSz w:w="11906" w:h="16838"/>
          <w:pgMar w:top="1418" w:right="1418" w:bottom="1276" w:left="1418" w:header="709" w:footer="709" w:gutter="0"/>
          <w:cols w:space="708"/>
          <w:docGrid w:linePitch="360"/>
        </w:sectPr>
      </w:pPr>
    </w:p>
    <w:p w:rsidR="00270617" w:rsidRPr="000B1397" w:rsidRDefault="00270617" w:rsidP="000B1397">
      <w:pPr>
        <w:spacing w:line="264" w:lineRule="auto"/>
        <w:jc w:val="right"/>
        <w:rPr>
          <w:rFonts w:ascii="Times New Roman" w:eastAsia="Times New Roman" w:hAnsi="Times New Roman" w:cs="Times New Roman"/>
          <w:color w:val="000000" w:themeColor="text1"/>
          <w:sz w:val="24"/>
        </w:rPr>
      </w:pPr>
    </w:p>
    <w:p w:rsidR="006F10BF" w:rsidRPr="000B1397" w:rsidRDefault="006F10BF" w:rsidP="000B1397">
      <w:pPr>
        <w:spacing w:after="0" w:line="264" w:lineRule="auto"/>
        <w:jc w:val="right"/>
        <w:rPr>
          <w:rFonts w:ascii="Times New Roman" w:hAnsi="Times New Roman"/>
          <w:color w:val="000000" w:themeColor="text1"/>
          <w:sz w:val="24"/>
          <w:szCs w:val="24"/>
        </w:rPr>
      </w:pPr>
      <w:r w:rsidRPr="000B1397">
        <w:rPr>
          <w:rFonts w:ascii="Times New Roman" w:hAnsi="Times New Roman"/>
          <w:color w:val="000000" w:themeColor="text1"/>
          <w:sz w:val="24"/>
          <w:szCs w:val="24"/>
        </w:rPr>
        <w:t>Tabela 5</w:t>
      </w:r>
    </w:p>
    <w:p w:rsidR="006F10BF" w:rsidRPr="000B1397" w:rsidRDefault="006F10BF" w:rsidP="000B1397">
      <w:pPr>
        <w:spacing w:after="0" w:line="264" w:lineRule="auto"/>
        <w:jc w:val="center"/>
        <w:rPr>
          <w:rFonts w:ascii="Times New Roman" w:hAnsi="Times New Roman"/>
          <w:color w:val="000000" w:themeColor="text1"/>
          <w:sz w:val="24"/>
          <w:szCs w:val="24"/>
        </w:rPr>
      </w:pPr>
      <w:r w:rsidRPr="000B1397">
        <w:rPr>
          <w:rFonts w:ascii="Times New Roman" w:hAnsi="Times New Roman"/>
          <w:color w:val="000000" w:themeColor="text1"/>
          <w:sz w:val="24"/>
          <w:szCs w:val="24"/>
        </w:rPr>
        <w:t>Podranking 25 najlepszych rolniczych spółdzielni</w:t>
      </w:r>
      <w:r w:rsidR="0069391E" w:rsidRPr="000B1397">
        <w:rPr>
          <w:rFonts w:ascii="Times New Roman" w:hAnsi="Times New Roman"/>
          <w:color w:val="000000" w:themeColor="text1"/>
          <w:sz w:val="24"/>
          <w:szCs w:val="24"/>
        </w:rPr>
        <w:t xml:space="preserve"> </w:t>
      </w:r>
      <w:r w:rsidR="002B7E51" w:rsidRPr="000B1397">
        <w:rPr>
          <w:rFonts w:ascii="Times New Roman" w:hAnsi="Times New Roman"/>
          <w:color w:val="000000" w:themeColor="text1"/>
          <w:sz w:val="24"/>
          <w:szCs w:val="24"/>
        </w:rPr>
        <w:t>produkcyjnych w latach 201</w:t>
      </w:r>
      <w:r w:rsidR="004D1228" w:rsidRPr="000B1397">
        <w:rPr>
          <w:rFonts w:ascii="Times New Roman" w:hAnsi="Times New Roman"/>
          <w:color w:val="000000" w:themeColor="text1"/>
          <w:sz w:val="24"/>
          <w:szCs w:val="24"/>
        </w:rPr>
        <w:t>4</w:t>
      </w:r>
      <w:r w:rsidR="002B7E51" w:rsidRPr="000B1397">
        <w:rPr>
          <w:rFonts w:ascii="Times New Roman" w:hAnsi="Times New Roman"/>
          <w:color w:val="000000" w:themeColor="text1"/>
          <w:sz w:val="24"/>
          <w:szCs w:val="24"/>
        </w:rPr>
        <w:t>-201</w:t>
      </w:r>
      <w:r w:rsidR="004D1228" w:rsidRPr="000B1397">
        <w:rPr>
          <w:rFonts w:ascii="Times New Roman" w:hAnsi="Times New Roman"/>
          <w:color w:val="000000" w:themeColor="text1"/>
          <w:sz w:val="24"/>
          <w:szCs w:val="24"/>
        </w:rPr>
        <w:t>6</w:t>
      </w:r>
    </w:p>
    <w:p w:rsidR="00E51532" w:rsidRPr="000B1397" w:rsidRDefault="00E51532" w:rsidP="000B1397">
      <w:pPr>
        <w:spacing w:after="0" w:line="264" w:lineRule="auto"/>
        <w:jc w:val="center"/>
        <w:rPr>
          <w:rFonts w:ascii="Times New Roman" w:hAnsi="Times New Roman"/>
          <w:color w:val="000000" w:themeColor="text1"/>
          <w:sz w:val="24"/>
          <w:szCs w:val="24"/>
        </w:rPr>
      </w:pPr>
      <w:bookmarkStart w:id="0" w:name="_GoBack"/>
      <w:bookmarkEnd w:id="0"/>
    </w:p>
    <w:p w:rsidR="00E51532" w:rsidRPr="000B1397" w:rsidRDefault="00E51532" w:rsidP="000B1397">
      <w:pPr>
        <w:spacing w:after="0" w:line="264" w:lineRule="auto"/>
        <w:jc w:val="center"/>
        <w:rPr>
          <w:rFonts w:ascii="Times New Roman" w:hAnsi="Times New Roman"/>
          <w:color w:val="000000" w:themeColor="text1"/>
          <w:sz w:val="24"/>
          <w:szCs w:val="24"/>
        </w:rPr>
      </w:pPr>
    </w:p>
    <w:p w:rsidR="00E51532" w:rsidRPr="000B1397" w:rsidRDefault="00E51532" w:rsidP="000B1397">
      <w:pPr>
        <w:spacing w:after="0" w:line="264" w:lineRule="auto"/>
        <w:jc w:val="center"/>
        <w:rPr>
          <w:rFonts w:ascii="Times New Roman" w:hAnsi="Times New Roman"/>
          <w:color w:val="000000" w:themeColor="text1"/>
          <w:sz w:val="24"/>
          <w:szCs w:val="24"/>
        </w:rPr>
      </w:pPr>
    </w:p>
    <w:p w:rsidR="00E51532" w:rsidRPr="000B1397" w:rsidRDefault="00E51532" w:rsidP="000B1397">
      <w:pPr>
        <w:spacing w:after="0" w:line="264" w:lineRule="auto"/>
        <w:jc w:val="center"/>
        <w:rPr>
          <w:rFonts w:ascii="Times New Roman" w:hAnsi="Times New Roman"/>
          <w:color w:val="000000" w:themeColor="text1"/>
          <w:sz w:val="24"/>
          <w:szCs w:val="24"/>
        </w:rPr>
      </w:pPr>
    </w:p>
    <w:p w:rsidR="00E51532" w:rsidRPr="000B1397" w:rsidRDefault="00E51532" w:rsidP="000B1397">
      <w:pPr>
        <w:spacing w:after="0" w:line="264" w:lineRule="auto"/>
        <w:jc w:val="center"/>
        <w:rPr>
          <w:rFonts w:ascii="Times New Roman" w:hAnsi="Times New Roman"/>
          <w:color w:val="000000" w:themeColor="text1"/>
          <w:sz w:val="24"/>
          <w:szCs w:val="24"/>
        </w:rPr>
        <w:sectPr w:rsidR="00E51532" w:rsidRPr="000B1397" w:rsidSect="00796004">
          <w:pgSz w:w="16838" w:h="11906" w:orient="landscape"/>
          <w:pgMar w:top="1418" w:right="1418" w:bottom="1418" w:left="567" w:header="709" w:footer="709" w:gutter="0"/>
          <w:cols w:space="708"/>
          <w:docGrid w:linePitch="360"/>
        </w:sectPr>
      </w:pPr>
    </w:p>
    <w:p w:rsidR="005457CC" w:rsidRPr="000B1397" w:rsidRDefault="005457CC" w:rsidP="000B1397">
      <w:pPr>
        <w:spacing w:before="120" w:after="0" w:line="264" w:lineRule="auto"/>
        <w:jc w:val="both"/>
        <w:rPr>
          <w:rFonts w:ascii="Times New Roman" w:eastAsia="Times New Roman" w:hAnsi="Times New Roman" w:cs="Times New Roman"/>
          <w:b/>
          <w:color w:val="000000" w:themeColor="text1"/>
          <w:sz w:val="24"/>
        </w:rPr>
      </w:pPr>
      <w:r w:rsidRPr="000B1397">
        <w:rPr>
          <w:rFonts w:ascii="Times New Roman" w:eastAsia="Times New Roman" w:hAnsi="Times New Roman" w:cs="Times New Roman"/>
          <w:b/>
          <w:color w:val="000000" w:themeColor="text1"/>
          <w:sz w:val="24"/>
        </w:rPr>
        <w:lastRenderedPageBreak/>
        <w:t>Jak powstał ranking?</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Do sporządzenia rankingu wykorzystano opracowaną w Instytucie ankietę. Formularze ankiet przesłano pocztą do poszczególnych spółdzielni. Na ogół ankietę wypełniano w dziale księgowości spółdzielni. Odbywało się to poprzez przeniesienie danych liczbowych z odpowiednich pozycji sprawozdań finansowych GUS do kwestionariusza ankiety. Jedynie niewielki zakres informacji statystycznych pochodził bezpośrednio z ewidencji księgowej. Następnie, dane źródłowe zawarte w ankietach poddano w IERiGŻ-PIB wielostopniowej weryfikacji. Dane budzące wątpliwości konsultowano telefonicznie z pracownikami spółdzielni. Dotyczyły one przede wszystkim dużej niejednorodności podawania informa</w:t>
      </w:r>
      <w:r w:rsidR="006D4C55" w:rsidRPr="000B1397">
        <w:rPr>
          <w:rFonts w:ascii="Times New Roman" w:eastAsia="Times New Roman" w:hAnsi="Times New Roman" w:cs="Times New Roman"/>
          <w:color w:val="000000" w:themeColor="text1"/>
          <w:sz w:val="24"/>
        </w:rPr>
        <w:t>cji, głównie o należnych za 201</w:t>
      </w:r>
      <w:r w:rsidR="00EE0327" w:rsidRPr="000B1397">
        <w:rPr>
          <w:rFonts w:ascii="Times New Roman" w:eastAsia="Times New Roman" w:hAnsi="Times New Roman" w:cs="Times New Roman"/>
          <w:color w:val="000000" w:themeColor="text1"/>
          <w:sz w:val="24"/>
        </w:rPr>
        <w:t>6</w:t>
      </w:r>
      <w:r w:rsidRPr="000B1397">
        <w:rPr>
          <w:rFonts w:ascii="Times New Roman" w:eastAsia="Times New Roman" w:hAnsi="Times New Roman" w:cs="Times New Roman"/>
          <w:color w:val="000000" w:themeColor="text1"/>
          <w:sz w:val="24"/>
        </w:rPr>
        <w:t xml:space="preserve"> r. dopłatach bezpośrednich i innych formach wsparcia budżetowego. Ujednolicenie sposobu zapisu danych wymagało bardzo dużego nakładu pracy zespołu przygotowującego ranking. W zamian otrzymano bardzo solidną i porównywalną bazę danych. W ten sposób zabezpieczono wysoki poziom wiarygodności otrzymanych materiałów wykorzystanych do sporządzenia rankingu.</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 xml:space="preserve">Zaprezentowany w rankingu spółdzielczym zestaw wskaźników i mierników jest zbliżony do zastosowanego w rankingu 300 najlepszych przedsiębiorstw rolniczych kraju, głównie popegeerowskich. Jedynie trzy z nich są odmienne, gdyż opracowano je na bazie wypracowanego dochodu ogólnego, kategorii ekonomicznej specyficznej dla formy spółdzielczej. Należą do nich wskaźniki i jeden miernik: dochodowości pracy członków spółdzielni, dochodowości działalności gospodarczej i dochód ogólny w przeliczeniu na spółdzielnię. W ten sposób uzyskano możliwość porównań między tymi formami gospodarowania i to zarówno w odniesieniu do pojedynczych przedsiębiorstw, wskaźników, jak i w zestawieniach zbiorczych. Jednocześnie przedstawiony zestaw wskaźników w miarę wiernie odzwierciedla położenie majątkowe i finansowe oraz efektywność działalności spółdzielni. Wskaźniki te mogą więc zaspokoić również potrzeby informacyjne szerokiego kręgu instytucji potencjalnie zainteresowanych perspektywami rozwoju spółdzielni. </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Do relacji poszukiwanych przez otoczenie można zaliczyć wskaźniki: wartości dodanej, dochodowości i wydajności pracy, płynności finansowej czy też tworzenia wartości oraz poziomu zatrudnienia. Z drugiej strony, w zestawie wskaźników i mierników znajdują się podstawowe oceny o charakterze mikroekonomicznym, które stanowić powinny przedmiot zainteresowania przede wszystkim spółdzielców i ich menedżerów, jak również bezpośrednich partnerów rynkowych.</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Zdecydowana większość mierników i wskaźników odnosi się do sfery najbardziej syntetycznych kategorii ekonomiczno-finansowych. Natomiast ranking nie zawiera wskaźników techniczno-produkcyjnych. Nie umożliwia pokazania osiągnięć w zakresie wydajności jednostkowych zwierząt lub plonów roślin. Wydajności te często są na bardzo wysokim poziomie, ale nie zawsze przekładają się pozytywnie na dobre efekty finansowe typu dochód, zysk czy też dochodowość lub rentowność.</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 xml:space="preserve">Ranking zawiera zestawienie 100 najlepszych rolniczych spółdzielni pod względem sytuacji ekonomicznej. Spółdzielnie uporządkowane zostały metodą rangowania, a więc jedną z najprostszych metod syntetycznej oceny pozycji jednostek na tle badanej zbiorowości. Metoda ta sprowadza się do kolejnego porządkowania obiektów według wybranych cech i zsumowania zajmowanych pozycji dla poszczególnych sortowań. Najniższa wartość </w:t>
      </w:r>
      <w:r w:rsidRPr="000B1397">
        <w:rPr>
          <w:rFonts w:ascii="Times New Roman" w:eastAsia="Times New Roman" w:hAnsi="Times New Roman" w:cs="Times New Roman"/>
          <w:color w:val="000000" w:themeColor="text1"/>
          <w:sz w:val="24"/>
        </w:rPr>
        <w:lastRenderedPageBreak/>
        <w:t>uzyskanej sumy pozycji w badanej zbiorowości wskazuje na najlepszą sytuację jednostki, zaś najwyższa oznacza sytuację najgorszą.</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 xml:space="preserve">Do sporządzenia listy 100 najlepszych spółdzielni przyjęliśmy pięć cech. Kryterium sortowań były cztery wskaźniki, tj. dochodowość pracy, dochodowość działalności gospodarczej, wydajność pracy i indeks tworzenia wartości oraz jeden miernik </w:t>
      </w:r>
      <w:r w:rsidR="00E51532" w:rsidRPr="000B1397">
        <w:rPr>
          <w:rFonts w:ascii="Times New Roman" w:eastAsia="Times New Roman" w:hAnsi="Times New Roman" w:cs="Times New Roman"/>
          <w:color w:val="000000" w:themeColor="text1"/>
          <w:sz w:val="24"/>
        </w:rPr>
        <w:t>–</w:t>
      </w:r>
      <w:r w:rsidRPr="000B1397">
        <w:rPr>
          <w:rFonts w:ascii="Times New Roman" w:eastAsia="Times New Roman" w:hAnsi="Times New Roman" w:cs="Times New Roman"/>
          <w:color w:val="000000" w:themeColor="text1"/>
          <w:sz w:val="24"/>
        </w:rPr>
        <w:t xml:space="preserve"> przychody ogółem na spółdzielnię.</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Wybrane kryteria dla oceny sytuacji ekonomicznej spółdzielni uznaliśmy za najważniejsze, gdyż najlepiej odzwierciedlają możliwości zaspokajania potrzeb członków (wskaźniki dochodowości), jak i charakteryzują potencjał do dalszego rozwoju gospodarstw spółdzielczych (indeks tworzenia wartości, wskaźnik wydajności pracy, wielkość przychodów ogółem). Wyższe wartości wybranych wskaźników i miernika uznaliśmy za korzystne w ocenie spółdzielni, a spółdzielnia z najwyższą wartością zajmowała pierwsz</w:t>
      </w:r>
      <w:r w:rsidR="0090171D" w:rsidRPr="000B1397">
        <w:rPr>
          <w:rFonts w:ascii="Times New Roman" w:eastAsia="Times New Roman" w:hAnsi="Times New Roman" w:cs="Times New Roman"/>
          <w:color w:val="000000" w:themeColor="text1"/>
          <w:sz w:val="24"/>
        </w:rPr>
        <w:t>ą pozycję w wybranym kryterium.</w:t>
      </w:r>
    </w:p>
    <w:p w:rsidR="005457CC" w:rsidRPr="000B1397" w:rsidRDefault="005457CC" w:rsidP="000B1397">
      <w:pPr>
        <w:spacing w:before="120" w:after="0" w:line="264" w:lineRule="auto"/>
        <w:jc w:val="both"/>
        <w:rPr>
          <w:rFonts w:ascii="Times New Roman" w:eastAsia="Times New Roman" w:hAnsi="Times New Roman" w:cs="Times New Roman"/>
          <w:b/>
          <w:color w:val="000000" w:themeColor="text1"/>
          <w:sz w:val="24"/>
        </w:rPr>
      </w:pPr>
      <w:r w:rsidRPr="000B1397">
        <w:rPr>
          <w:rFonts w:ascii="Times New Roman" w:eastAsia="Times New Roman" w:hAnsi="Times New Roman" w:cs="Times New Roman"/>
          <w:b/>
          <w:color w:val="000000" w:themeColor="text1"/>
          <w:sz w:val="24"/>
        </w:rPr>
        <w:t>Uwagi organizacyjne</w:t>
      </w:r>
    </w:p>
    <w:p w:rsidR="005457CC" w:rsidRPr="000B1397" w:rsidRDefault="005457CC" w:rsidP="00EA7CA9">
      <w:pPr>
        <w:tabs>
          <w:tab w:val="left" w:pos="426"/>
        </w:tabs>
        <w:spacing w:before="8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ab/>
        <w:t xml:space="preserve">W ostatnim roku badaniami rankingowymi objęto również praktycznie całą zbiorowość rolniczych spółdzielni </w:t>
      </w:r>
      <w:r w:rsidR="000C1F61" w:rsidRPr="000B1397">
        <w:rPr>
          <w:rFonts w:ascii="Times New Roman" w:eastAsia="Times New Roman" w:hAnsi="Times New Roman" w:cs="Times New Roman"/>
          <w:color w:val="000000" w:themeColor="text1"/>
          <w:sz w:val="24"/>
        </w:rPr>
        <w:t>produkcyjnych</w:t>
      </w:r>
      <w:r w:rsidR="000C1F61">
        <w:rPr>
          <w:rFonts w:ascii="Times New Roman" w:eastAsia="Times New Roman" w:hAnsi="Times New Roman" w:cs="Times New Roman"/>
          <w:color w:val="000000" w:themeColor="text1"/>
          <w:sz w:val="24"/>
        </w:rPr>
        <w:t>, bowiem a</w:t>
      </w:r>
      <w:r w:rsidRPr="000B1397">
        <w:rPr>
          <w:rFonts w:ascii="Times New Roman" w:eastAsia="Times New Roman" w:hAnsi="Times New Roman" w:cs="Times New Roman"/>
          <w:color w:val="000000" w:themeColor="text1"/>
          <w:sz w:val="24"/>
        </w:rPr>
        <w:t>nkietę wysłano do 5</w:t>
      </w:r>
      <w:r w:rsidR="00BB3455" w:rsidRPr="000B1397">
        <w:rPr>
          <w:rFonts w:ascii="Times New Roman" w:eastAsia="Times New Roman" w:hAnsi="Times New Roman" w:cs="Times New Roman"/>
          <w:color w:val="000000" w:themeColor="text1"/>
          <w:sz w:val="24"/>
        </w:rPr>
        <w:t>8</w:t>
      </w:r>
      <w:r w:rsidR="006D4C55" w:rsidRPr="000B1397">
        <w:rPr>
          <w:rFonts w:ascii="Times New Roman" w:eastAsia="Times New Roman" w:hAnsi="Times New Roman" w:cs="Times New Roman"/>
          <w:color w:val="000000" w:themeColor="text1"/>
          <w:sz w:val="24"/>
        </w:rPr>
        <w:t>2</w:t>
      </w:r>
      <w:r w:rsidRPr="000B1397">
        <w:rPr>
          <w:rFonts w:ascii="Times New Roman" w:eastAsia="Times New Roman" w:hAnsi="Times New Roman" w:cs="Times New Roman"/>
          <w:color w:val="000000" w:themeColor="text1"/>
          <w:sz w:val="24"/>
        </w:rPr>
        <w:t xml:space="preserve"> spółdzielni. Zwrot wypełnionych formularzy ankiet otrzymano ze 1</w:t>
      </w:r>
      <w:r w:rsidR="00BB3455" w:rsidRPr="000B1397">
        <w:rPr>
          <w:rFonts w:ascii="Times New Roman" w:eastAsia="Times New Roman" w:hAnsi="Times New Roman" w:cs="Times New Roman"/>
          <w:color w:val="000000" w:themeColor="text1"/>
          <w:sz w:val="24"/>
        </w:rPr>
        <w:t>05</w:t>
      </w:r>
      <w:r w:rsidRPr="000B1397">
        <w:rPr>
          <w:rFonts w:ascii="Times New Roman" w:eastAsia="Times New Roman" w:hAnsi="Times New Roman" w:cs="Times New Roman"/>
          <w:color w:val="000000" w:themeColor="text1"/>
          <w:sz w:val="24"/>
        </w:rPr>
        <w:t xml:space="preserve"> RSP (</w:t>
      </w:r>
      <w:r w:rsidR="00BB3455" w:rsidRPr="000B1397">
        <w:rPr>
          <w:rFonts w:ascii="Times New Roman" w:eastAsia="Times New Roman" w:hAnsi="Times New Roman" w:cs="Times New Roman"/>
          <w:color w:val="000000" w:themeColor="text1"/>
          <w:sz w:val="24"/>
        </w:rPr>
        <w:t>18</w:t>
      </w:r>
      <w:r w:rsidRPr="000B1397">
        <w:rPr>
          <w:rFonts w:ascii="Times New Roman" w:eastAsia="Times New Roman" w:hAnsi="Times New Roman" w:cs="Times New Roman"/>
          <w:color w:val="000000" w:themeColor="text1"/>
          <w:sz w:val="24"/>
        </w:rPr>
        <w:t xml:space="preserve">% wysłanych), w tym </w:t>
      </w:r>
      <w:r w:rsidR="00BB3455" w:rsidRPr="000B1397">
        <w:rPr>
          <w:rFonts w:ascii="Times New Roman" w:eastAsia="Times New Roman" w:hAnsi="Times New Roman" w:cs="Times New Roman"/>
          <w:color w:val="000000" w:themeColor="text1"/>
          <w:sz w:val="24"/>
        </w:rPr>
        <w:t>82</w:t>
      </w:r>
      <w:r w:rsidRPr="000B1397">
        <w:rPr>
          <w:rFonts w:ascii="Times New Roman" w:eastAsia="Times New Roman" w:hAnsi="Times New Roman" w:cs="Times New Roman"/>
          <w:b/>
          <w:i/>
          <w:color w:val="000000" w:themeColor="text1"/>
          <w:sz w:val="24"/>
        </w:rPr>
        <w:t xml:space="preserve"> </w:t>
      </w:r>
      <w:r w:rsidRPr="000B1397">
        <w:rPr>
          <w:rFonts w:ascii="Times New Roman" w:eastAsia="Times New Roman" w:hAnsi="Times New Roman" w:cs="Times New Roman"/>
          <w:color w:val="000000" w:themeColor="text1"/>
          <w:sz w:val="24"/>
        </w:rPr>
        <w:t>formularzy ankiet od spółdzielni biorących udział w rankingu za 201</w:t>
      </w:r>
      <w:r w:rsidR="00BB3455" w:rsidRPr="000B1397">
        <w:rPr>
          <w:rFonts w:ascii="Times New Roman" w:eastAsia="Times New Roman" w:hAnsi="Times New Roman" w:cs="Times New Roman"/>
          <w:color w:val="000000" w:themeColor="text1"/>
          <w:sz w:val="24"/>
        </w:rPr>
        <w:t>4</w:t>
      </w:r>
      <w:r w:rsidRPr="000B1397">
        <w:rPr>
          <w:rFonts w:ascii="Times New Roman" w:eastAsia="Times New Roman" w:hAnsi="Times New Roman" w:cs="Times New Roman"/>
          <w:color w:val="000000" w:themeColor="text1"/>
          <w:sz w:val="24"/>
        </w:rPr>
        <w:t xml:space="preserve"> i 201</w:t>
      </w:r>
      <w:r w:rsidR="00BB3455" w:rsidRPr="000B1397">
        <w:rPr>
          <w:rFonts w:ascii="Times New Roman" w:eastAsia="Times New Roman" w:hAnsi="Times New Roman" w:cs="Times New Roman"/>
          <w:color w:val="000000" w:themeColor="text1"/>
          <w:sz w:val="24"/>
        </w:rPr>
        <w:t>5</w:t>
      </w:r>
      <w:r w:rsidRPr="000B1397">
        <w:rPr>
          <w:rFonts w:ascii="Times New Roman" w:eastAsia="Times New Roman" w:hAnsi="Times New Roman" w:cs="Times New Roman"/>
          <w:color w:val="000000" w:themeColor="text1"/>
          <w:sz w:val="24"/>
        </w:rPr>
        <w:t xml:space="preserve"> r. (tj. </w:t>
      </w:r>
      <w:r w:rsidR="00BB3455" w:rsidRPr="000B1397">
        <w:rPr>
          <w:rFonts w:ascii="Times New Roman" w:eastAsia="Times New Roman" w:hAnsi="Times New Roman" w:cs="Times New Roman"/>
          <w:color w:val="000000" w:themeColor="text1"/>
          <w:sz w:val="24"/>
        </w:rPr>
        <w:t>7</w:t>
      </w:r>
      <w:r w:rsidR="006D4C55" w:rsidRPr="000B1397">
        <w:rPr>
          <w:rFonts w:ascii="Times New Roman" w:eastAsia="Times New Roman" w:hAnsi="Times New Roman" w:cs="Times New Roman"/>
          <w:color w:val="000000" w:themeColor="text1"/>
          <w:sz w:val="24"/>
        </w:rPr>
        <w:t>8</w:t>
      </w:r>
      <w:r w:rsidRPr="000B1397">
        <w:rPr>
          <w:rFonts w:ascii="Times New Roman" w:eastAsia="Times New Roman" w:hAnsi="Times New Roman" w:cs="Times New Roman"/>
          <w:color w:val="000000" w:themeColor="text1"/>
          <w:sz w:val="24"/>
        </w:rPr>
        <w:t>%). Przetwarzaniu statystycznemu poddano 1</w:t>
      </w:r>
      <w:r w:rsidR="00145E1A" w:rsidRPr="000B1397">
        <w:rPr>
          <w:rFonts w:ascii="Times New Roman" w:eastAsia="Times New Roman" w:hAnsi="Times New Roman" w:cs="Times New Roman"/>
          <w:color w:val="000000" w:themeColor="text1"/>
          <w:sz w:val="24"/>
        </w:rPr>
        <w:t>04</w:t>
      </w:r>
      <w:r w:rsidRPr="000B1397">
        <w:rPr>
          <w:rFonts w:ascii="Times New Roman" w:eastAsia="Times New Roman" w:hAnsi="Times New Roman" w:cs="Times New Roman"/>
          <w:color w:val="000000" w:themeColor="text1"/>
          <w:sz w:val="24"/>
        </w:rPr>
        <w:t xml:space="preserve"> formularz</w:t>
      </w:r>
      <w:r w:rsidR="00145E1A" w:rsidRPr="000B1397">
        <w:rPr>
          <w:rFonts w:ascii="Times New Roman" w:eastAsia="Times New Roman" w:hAnsi="Times New Roman" w:cs="Times New Roman"/>
          <w:color w:val="000000" w:themeColor="text1"/>
          <w:sz w:val="24"/>
        </w:rPr>
        <w:t>e</w:t>
      </w:r>
      <w:r w:rsidRPr="000B1397">
        <w:rPr>
          <w:rFonts w:ascii="Times New Roman" w:eastAsia="Times New Roman" w:hAnsi="Times New Roman" w:cs="Times New Roman"/>
          <w:color w:val="000000" w:themeColor="text1"/>
          <w:sz w:val="24"/>
        </w:rPr>
        <w:t xml:space="preserve"> ankiet, a ich zawartość wykorzystano do opracowania średnich wartości dla całej badanej zbiorowości spółdzielni oraz wydzielonych podgrup, co umożliwiło dokonanie krótkiej analizy wyników ich działalności.</w:t>
      </w:r>
    </w:p>
    <w:p w:rsidR="005457CC" w:rsidRDefault="005457CC" w:rsidP="00EA7CA9">
      <w:pPr>
        <w:tabs>
          <w:tab w:val="left" w:pos="426"/>
        </w:tabs>
        <w:spacing w:before="80" w:after="0" w:line="264" w:lineRule="auto"/>
        <w:jc w:val="both"/>
        <w:rPr>
          <w:rFonts w:ascii="Times New Roman" w:eastAsia="Times New Roman" w:hAnsi="Times New Roman" w:cs="Times New Roman"/>
          <w:color w:val="000000" w:themeColor="text1"/>
        </w:rPr>
      </w:pPr>
      <w:r w:rsidRPr="000B1397">
        <w:rPr>
          <w:rFonts w:ascii="Times New Roman" w:eastAsia="Times New Roman" w:hAnsi="Times New Roman" w:cs="Times New Roman"/>
          <w:color w:val="000000" w:themeColor="text1"/>
          <w:sz w:val="24"/>
        </w:rPr>
        <w:tab/>
        <w:t>Udziałem w rankingu bardziej były zainteresowane spółdzielnie silniejsze ekonomicznie, ale nie wszystkie. Podobnie jak w latach wcześniejszych, część z nich nie wzięła w nim udziału. Ranking za 201</w:t>
      </w:r>
      <w:r w:rsidR="00BB3455" w:rsidRPr="000B1397">
        <w:rPr>
          <w:rFonts w:ascii="Times New Roman" w:eastAsia="Times New Roman" w:hAnsi="Times New Roman" w:cs="Times New Roman"/>
          <w:color w:val="000000" w:themeColor="text1"/>
          <w:sz w:val="24"/>
        </w:rPr>
        <w:t>6</w:t>
      </w:r>
      <w:r w:rsidRPr="000B1397">
        <w:rPr>
          <w:rFonts w:ascii="Times New Roman" w:eastAsia="Times New Roman" w:hAnsi="Times New Roman" w:cs="Times New Roman"/>
          <w:color w:val="000000" w:themeColor="text1"/>
          <w:sz w:val="24"/>
        </w:rPr>
        <w:t xml:space="preserve"> r. obejmuje więc również tylko część najlepszych spółdzielni w kraju. Nadal oczekujemy zatem jeszcze większego zainteresowania spółdzielców udziałem w następnych edycjach rankingu.</w:t>
      </w:r>
      <w:r w:rsidRPr="000B1397">
        <w:rPr>
          <w:rFonts w:ascii="Times New Roman" w:eastAsia="Times New Roman" w:hAnsi="Times New Roman" w:cs="Times New Roman"/>
          <w:color w:val="000000" w:themeColor="text1"/>
        </w:rPr>
        <w:t xml:space="preserve"> </w:t>
      </w:r>
    </w:p>
    <w:p w:rsidR="00650ABD" w:rsidRPr="000B1397" w:rsidRDefault="00650ABD" w:rsidP="00EA7CA9">
      <w:pPr>
        <w:tabs>
          <w:tab w:val="left" w:pos="426"/>
        </w:tabs>
        <w:spacing w:before="80" w:after="0" w:line="264" w:lineRule="auto"/>
        <w:jc w:val="both"/>
        <w:rPr>
          <w:rFonts w:ascii="Times New Roman" w:eastAsia="Times New Roman" w:hAnsi="Times New Roman" w:cs="Times New Roman"/>
          <w:color w:val="000000" w:themeColor="text1"/>
        </w:rPr>
      </w:pPr>
    </w:p>
    <w:p w:rsidR="005457CC" w:rsidRPr="000B1397" w:rsidRDefault="005457CC" w:rsidP="000B1397">
      <w:pPr>
        <w:keepNext/>
        <w:keepLines/>
        <w:spacing w:before="120" w:after="0" w:line="264" w:lineRule="auto"/>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WYJAŚNIENIA I DEFINICJE</w:t>
      </w:r>
      <w:r w:rsidRPr="000B1397">
        <w:rPr>
          <w:rFonts w:ascii="Times New Roman" w:eastAsia="Times New Roman" w:hAnsi="Times New Roman" w:cs="Times New Roman"/>
          <w:color w:val="000000" w:themeColor="text1"/>
          <w:sz w:val="24"/>
        </w:rPr>
        <w:t xml:space="preserve"> (dotyczy rankingu 100 najlepszych RSP)</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pacing w:val="-4"/>
          <w:sz w:val="24"/>
        </w:rPr>
      </w:pPr>
      <w:r w:rsidRPr="000B1397">
        <w:rPr>
          <w:rFonts w:ascii="Times New Roman" w:eastAsia="Times New Roman" w:hAnsi="Times New Roman" w:cs="Times New Roman"/>
          <w:b/>
          <w:color w:val="000000" w:themeColor="text1"/>
          <w:spacing w:val="-4"/>
          <w:sz w:val="24"/>
        </w:rPr>
        <w:t>Poz. 201</w:t>
      </w:r>
      <w:r w:rsidR="00BB3455" w:rsidRPr="000B1397">
        <w:rPr>
          <w:rFonts w:ascii="Times New Roman" w:eastAsia="Times New Roman" w:hAnsi="Times New Roman" w:cs="Times New Roman"/>
          <w:b/>
          <w:color w:val="000000" w:themeColor="text1"/>
          <w:spacing w:val="-4"/>
          <w:sz w:val="24"/>
        </w:rPr>
        <w:t>6</w:t>
      </w:r>
      <w:r w:rsidRPr="000B1397">
        <w:rPr>
          <w:rFonts w:ascii="Times New Roman" w:eastAsia="Times New Roman" w:hAnsi="Times New Roman" w:cs="Times New Roman"/>
          <w:b/>
          <w:color w:val="000000" w:themeColor="text1"/>
          <w:spacing w:val="-4"/>
          <w:sz w:val="24"/>
        </w:rPr>
        <w:t xml:space="preserve"> (kol. 1)</w:t>
      </w:r>
      <w:r w:rsidRPr="000B1397">
        <w:rPr>
          <w:rFonts w:ascii="Times New Roman" w:eastAsia="Times New Roman" w:hAnsi="Times New Roman" w:cs="Times New Roman"/>
          <w:color w:val="000000" w:themeColor="text1"/>
          <w:spacing w:val="-4"/>
          <w:sz w:val="24"/>
        </w:rPr>
        <w:t xml:space="preserve"> – pozycja gospodarstwa </w:t>
      </w:r>
      <w:r w:rsidR="000B1397" w:rsidRPr="000B1397">
        <w:rPr>
          <w:rFonts w:ascii="Times New Roman" w:eastAsia="Times New Roman" w:hAnsi="Times New Roman" w:cs="Times New Roman"/>
          <w:color w:val="000000" w:themeColor="text1"/>
          <w:spacing w:val="-4"/>
          <w:sz w:val="24"/>
        </w:rPr>
        <w:t>w 2016</w:t>
      </w:r>
      <w:r w:rsidRPr="000B1397">
        <w:rPr>
          <w:rFonts w:ascii="Times New Roman" w:eastAsia="Times New Roman" w:hAnsi="Times New Roman" w:cs="Times New Roman"/>
          <w:color w:val="000000" w:themeColor="text1"/>
          <w:spacing w:val="-4"/>
          <w:sz w:val="24"/>
        </w:rPr>
        <w:t xml:space="preserve"> r. ustalona na podstawie miary syntetycznej.</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pacing w:val="-10"/>
          <w:sz w:val="24"/>
        </w:rPr>
      </w:pPr>
      <w:r w:rsidRPr="000B1397">
        <w:rPr>
          <w:rFonts w:ascii="Times New Roman" w:eastAsia="Times New Roman" w:hAnsi="Times New Roman" w:cs="Times New Roman"/>
          <w:b/>
          <w:color w:val="000000" w:themeColor="text1"/>
          <w:spacing w:val="-10"/>
          <w:sz w:val="24"/>
        </w:rPr>
        <w:t>Poz. 201</w:t>
      </w:r>
      <w:r w:rsidR="00BB3455" w:rsidRPr="000B1397">
        <w:rPr>
          <w:rFonts w:ascii="Times New Roman" w:eastAsia="Times New Roman" w:hAnsi="Times New Roman" w:cs="Times New Roman"/>
          <w:b/>
          <w:color w:val="000000" w:themeColor="text1"/>
          <w:spacing w:val="-10"/>
          <w:sz w:val="24"/>
        </w:rPr>
        <w:t>5</w:t>
      </w:r>
      <w:r w:rsidRPr="000B1397">
        <w:rPr>
          <w:rFonts w:ascii="Times New Roman" w:eastAsia="Times New Roman" w:hAnsi="Times New Roman" w:cs="Times New Roman"/>
          <w:b/>
          <w:color w:val="000000" w:themeColor="text1"/>
          <w:spacing w:val="-10"/>
          <w:sz w:val="24"/>
        </w:rPr>
        <w:t xml:space="preserve"> (kol. 2) – </w:t>
      </w:r>
      <w:r w:rsidRPr="000B1397">
        <w:rPr>
          <w:rFonts w:ascii="Times New Roman" w:eastAsia="Times New Roman" w:hAnsi="Times New Roman" w:cs="Times New Roman"/>
          <w:color w:val="000000" w:themeColor="text1"/>
          <w:spacing w:val="-10"/>
          <w:sz w:val="24"/>
        </w:rPr>
        <w:t>miejsce gospodarstwa w rankingu za 201</w:t>
      </w:r>
      <w:r w:rsidR="00BB3455" w:rsidRPr="000B1397">
        <w:rPr>
          <w:rFonts w:ascii="Times New Roman" w:eastAsia="Times New Roman" w:hAnsi="Times New Roman" w:cs="Times New Roman"/>
          <w:color w:val="000000" w:themeColor="text1"/>
          <w:spacing w:val="-10"/>
          <w:sz w:val="24"/>
        </w:rPr>
        <w:t>5</w:t>
      </w:r>
      <w:r w:rsidRPr="000B1397">
        <w:rPr>
          <w:rFonts w:ascii="Times New Roman" w:eastAsia="Times New Roman" w:hAnsi="Times New Roman" w:cs="Times New Roman"/>
          <w:color w:val="000000" w:themeColor="text1"/>
          <w:spacing w:val="-10"/>
          <w:sz w:val="24"/>
        </w:rPr>
        <w:t xml:space="preserve"> r., także w oparciu o miarę syntetyczną.</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pacing w:val="-2"/>
          <w:sz w:val="24"/>
        </w:rPr>
      </w:pPr>
      <w:r w:rsidRPr="000B1397">
        <w:rPr>
          <w:rFonts w:ascii="Times New Roman" w:eastAsia="Times New Roman" w:hAnsi="Times New Roman" w:cs="Times New Roman"/>
          <w:b/>
          <w:color w:val="000000" w:themeColor="text1"/>
          <w:spacing w:val="-2"/>
          <w:sz w:val="24"/>
        </w:rPr>
        <w:t>Nazwa spółdzielni (kol. 3) –</w:t>
      </w:r>
      <w:r w:rsidRPr="000B1397">
        <w:rPr>
          <w:rFonts w:ascii="Times New Roman" w:eastAsia="Times New Roman" w:hAnsi="Times New Roman" w:cs="Times New Roman"/>
          <w:color w:val="000000" w:themeColor="text1"/>
          <w:spacing w:val="-2"/>
          <w:sz w:val="24"/>
        </w:rPr>
        <w:t xml:space="preserve"> skrócona nazwa spółdzielni wraz z jej siedzibą i skróconą nazwą województwa.</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 xml:space="preserve">Ukierunkowanie produkcji (kol. 4) </w:t>
      </w:r>
      <w:r w:rsidRPr="000B1397">
        <w:rPr>
          <w:rFonts w:ascii="Times New Roman" w:eastAsia="Times New Roman" w:hAnsi="Times New Roman" w:cs="Times New Roman"/>
          <w:color w:val="000000" w:themeColor="text1"/>
          <w:sz w:val="24"/>
        </w:rPr>
        <w:t xml:space="preserve">– określone zostało samodzielnie przez uczestników rankingu na podstawie przeważającego udziału sprzedaży określonych rodzajów produktów w sprzedaży ogółem. Wyróżniono cztery typy ukierunkowania: </w:t>
      </w:r>
      <w:r w:rsidRPr="000B1397">
        <w:rPr>
          <w:rFonts w:ascii="Times New Roman" w:eastAsia="Times New Roman" w:hAnsi="Times New Roman" w:cs="Times New Roman"/>
          <w:b/>
          <w:color w:val="000000" w:themeColor="text1"/>
          <w:sz w:val="24"/>
        </w:rPr>
        <w:t>I</w:t>
      </w:r>
      <w:r w:rsidRPr="000B1397">
        <w:rPr>
          <w:rFonts w:ascii="Times New Roman" w:eastAsia="Times New Roman" w:hAnsi="Times New Roman" w:cs="Times New Roman"/>
          <w:color w:val="000000" w:themeColor="text1"/>
          <w:sz w:val="24"/>
        </w:rPr>
        <w:t xml:space="preserve"> – inne niż produkcja rolnicza; </w:t>
      </w:r>
      <w:r w:rsidRPr="000B1397">
        <w:rPr>
          <w:rFonts w:ascii="Times New Roman" w:eastAsia="Times New Roman" w:hAnsi="Times New Roman" w:cs="Times New Roman"/>
          <w:b/>
          <w:color w:val="000000" w:themeColor="text1"/>
          <w:sz w:val="24"/>
        </w:rPr>
        <w:t>M</w:t>
      </w:r>
      <w:r w:rsidRPr="000B1397">
        <w:rPr>
          <w:rFonts w:ascii="Times New Roman" w:eastAsia="Times New Roman" w:hAnsi="Times New Roman" w:cs="Times New Roman"/>
          <w:color w:val="000000" w:themeColor="text1"/>
          <w:sz w:val="24"/>
        </w:rPr>
        <w:t xml:space="preserve"> – mieszane, a więc takie, w którym występowała mniej więcej równowaga produkcji roślinnej i zwierzęcej; </w:t>
      </w:r>
      <w:r w:rsidRPr="000B1397">
        <w:rPr>
          <w:rFonts w:ascii="Times New Roman" w:eastAsia="Times New Roman" w:hAnsi="Times New Roman" w:cs="Times New Roman"/>
          <w:b/>
          <w:color w:val="000000" w:themeColor="text1"/>
          <w:sz w:val="24"/>
        </w:rPr>
        <w:t>R</w:t>
      </w:r>
      <w:r w:rsidRPr="000B1397">
        <w:rPr>
          <w:rFonts w:ascii="Times New Roman" w:eastAsia="Times New Roman" w:hAnsi="Times New Roman" w:cs="Times New Roman"/>
          <w:color w:val="000000" w:themeColor="text1"/>
          <w:sz w:val="24"/>
        </w:rPr>
        <w:t xml:space="preserve"> – roślinne, tzn. takie, w którym miała miejsce zdecydowana przewaga produkcji roślinnej nad zwierzęcą; </w:t>
      </w:r>
      <w:r w:rsidRPr="000B1397">
        <w:rPr>
          <w:rFonts w:ascii="Times New Roman" w:eastAsia="Times New Roman" w:hAnsi="Times New Roman" w:cs="Times New Roman"/>
          <w:b/>
          <w:color w:val="000000" w:themeColor="text1"/>
          <w:sz w:val="24"/>
        </w:rPr>
        <w:t>Z</w:t>
      </w:r>
      <w:r w:rsidRPr="000B1397">
        <w:rPr>
          <w:rFonts w:ascii="Times New Roman" w:eastAsia="Times New Roman" w:hAnsi="Times New Roman" w:cs="Times New Roman"/>
          <w:color w:val="000000" w:themeColor="text1"/>
          <w:sz w:val="24"/>
        </w:rPr>
        <w:t xml:space="preserve"> – zwierzęce, tj. te, w których wyraźnie przeważała produkcja zwierzęca nad roślinną.</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Wskaźnik dochodowości pracy (kol. 5)</w:t>
      </w:r>
      <w:r w:rsidRPr="000B1397">
        <w:rPr>
          <w:rFonts w:ascii="Times New Roman" w:eastAsia="Times New Roman" w:hAnsi="Times New Roman" w:cs="Times New Roman"/>
          <w:color w:val="000000" w:themeColor="text1"/>
          <w:sz w:val="24"/>
        </w:rPr>
        <w:t xml:space="preserve"> – stosunek dochodu ogólnego (zdefiniowanego w opisie do kol. 18) pomniejszonego o podatek dochodowy od osób prawnych i skorygowanego o dochód wynikły ze sprzedaży majątku do liczby pracujących członków spółdzielni.</w:t>
      </w:r>
    </w:p>
    <w:p w:rsidR="005457CC" w:rsidRPr="000B1397" w:rsidRDefault="005457CC" w:rsidP="00650ABD">
      <w:pPr>
        <w:spacing w:before="120" w:after="0" w:line="264" w:lineRule="auto"/>
        <w:jc w:val="both"/>
        <w:rPr>
          <w:rFonts w:ascii="Times New Roman" w:eastAsia="Times New Roman" w:hAnsi="Times New Roman" w:cs="Times New Roman"/>
          <w:b/>
          <w:color w:val="000000" w:themeColor="text1"/>
          <w:sz w:val="24"/>
        </w:rPr>
      </w:pPr>
      <w:r w:rsidRPr="000B1397">
        <w:rPr>
          <w:rFonts w:ascii="Times New Roman" w:eastAsia="Times New Roman" w:hAnsi="Times New Roman" w:cs="Times New Roman"/>
          <w:b/>
          <w:color w:val="000000" w:themeColor="text1"/>
          <w:sz w:val="24"/>
        </w:rPr>
        <w:lastRenderedPageBreak/>
        <w:t xml:space="preserve">Wskaźnik dochodowości działalności gospodarczej (kol. 7) – </w:t>
      </w:r>
      <w:r w:rsidRPr="000B1397">
        <w:rPr>
          <w:rFonts w:ascii="Times New Roman" w:eastAsia="Times New Roman" w:hAnsi="Times New Roman" w:cs="Times New Roman"/>
          <w:color w:val="000000" w:themeColor="text1"/>
          <w:sz w:val="24"/>
        </w:rPr>
        <w:t>stosunek dochodu ogólnego do sumy przychodów: ze sprzedaży produktów i zrównanych z nimi, pozostałych przychodów operacyjnych oraz przychodów finansowych. Wartość przychodów podano w kol. 16.</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 xml:space="preserve">Wskaźnik wartości dodanej (kol. 9) </w:t>
      </w:r>
      <w:r w:rsidRPr="000B1397">
        <w:rPr>
          <w:rFonts w:ascii="Times New Roman" w:eastAsia="Times New Roman" w:hAnsi="Times New Roman" w:cs="Times New Roman"/>
          <w:color w:val="000000" w:themeColor="text1"/>
          <w:sz w:val="24"/>
        </w:rPr>
        <w:t>– stosunek wartości dodanej do przychodów ogółem. Wartość dodaną określono przez dodanie jej składników: dochodu ogólnego, amortyzacji, podatku rolnego i innych podatków obciążających koszty, czynszu dzierżawnego, kosztów kapitału obcego (odsetki), kosztów wynagrodzeń pracowników najemnych wraz ze świadczeniami oraz świadczenia na rzecz członków spółdzielni.</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pacing w:val="-6"/>
          <w:sz w:val="24"/>
        </w:rPr>
      </w:pPr>
      <w:r w:rsidRPr="000B1397">
        <w:rPr>
          <w:rFonts w:ascii="Times New Roman" w:eastAsia="Times New Roman" w:hAnsi="Times New Roman" w:cs="Times New Roman"/>
          <w:b/>
          <w:color w:val="000000" w:themeColor="text1"/>
          <w:spacing w:val="-6"/>
          <w:sz w:val="24"/>
        </w:rPr>
        <w:t>Wskaźnik płynności bieżący (kol. 11) –</w:t>
      </w:r>
      <w:r w:rsidRPr="000B1397">
        <w:rPr>
          <w:rFonts w:ascii="Times New Roman" w:eastAsia="Times New Roman" w:hAnsi="Times New Roman" w:cs="Times New Roman"/>
          <w:color w:val="000000" w:themeColor="text1"/>
          <w:spacing w:val="-6"/>
          <w:sz w:val="24"/>
        </w:rPr>
        <w:t xml:space="preserve"> iloraz aktywów obrotowych, pomniejszonych o krótkoterminowe rozliczenia międzyokresowe i zobowiązań </w:t>
      </w:r>
      <w:r w:rsidR="006D4C55" w:rsidRPr="000B1397">
        <w:rPr>
          <w:rFonts w:ascii="Times New Roman" w:eastAsia="Times New Roman" w:hAnsi="Times New Roman" w:cs="Times New Roman"/>
          <w:color w:val="000000" w:themeColor="text1"/>
          <w:spacing w:val="-6"/>
          <w:sz w:val="24"/>
        </w:rPr>
        <w:t>krótkoterminowych na koniec 201</w:t>
      </w:r>
      <w:r w:rsidR="00BB3455" w:rsidRPr="000B1397">
        <w:rPr>
          <w:rFonts w:ascii="Times New Roman" w:eastAsia="Times New Roman" w:hAnsi="Times New Roman" w:cs="Times New Roman"/>
          <w:color w:val="000000" w:themeColor="text1"/>
          <w:spacing w:val="-6"/>
          <w:sz w:val="24"/>
        </w:rPr>
        <w:t>6</w:t>
      </w:r>
      <w:r w:rsidRPr="000B1397">
        <w:rPr>
          <w:rFonts w:ascii="Times New Roman" w:eastAsia="Times New Roman" w:hAnsi="Times New Roman" w:cs="Times New Roman"/>
          <w:color w:val="000000" w:themeColor="text1"/>
          <w:spacing w:val="-6"/>
          <w:sz w:val="24"/>
        </w:rPr>
        <w:t xml:space="preserve"> r.</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pacing w:val="-8"/>
          <w:sz w:val="24"/>
        </w:rPr>
      </w:pPr>
      <w:r w:rsidRPr="000B1397">
        <w:rPr>
          <w:rFonts w:ascii="Times New Roman" w:eastAsia="Times New Roman" w:hAnsi="Times New Roman" w:cs="Times New Roman"/>
          <w:b/>
          <w:color w:val="000000" w:themeColor="text1"/>
          <w:spacing w:val="-6"/>
          <w:sz w:val="24"/>
        </w:rPr>
        <w:t>Wskaźnik płynności szybki (kol. 12) –</w:t>
      </w:r>
      <w:r w:rsidRPr="000B1397">
        <w:rPr>
          <w:rFonts w:ascii="Times New Roman" w:eastAsia="Times New Roman" w:hAnsi="Times New Roman" w:cs="Times New Roman"/>
          <w:color w:val="000000" w:themeColor="text1"/>
          <w:spacing w:val="-6"/>
          <w:sz w:val="24"/>
        </w:rPr>
        <w:t xml:space="preserve"> stosunek aktywów obrotowych, pomniejszonych o zapasy i </w:t>
      </w:r>
      <w:r w:rsidRPr="000B1397">
        <w:rPr>
          <w:rFonts w:ascii="Times New Roman" w:eastAsia="Times New Roman" w:hAnsi="Times New Roman" w:cs="Times New Roman"/>
          <w:color w:val="000000" w:themeColor="text1"/>
          <w:spacing w:val="-8"/>
          <w:sz w:val="24"/>
        </w:rPr>
        <w:t xml:space="preserve">krótkoterminowe rozliczenia międzyokresowe, do zobowiązań </w:t>
      </w:r>
      <w:r w:rsidR="006D4C55" w:rsidRPr="000B1397">
        <w:rPr>
          <w:rFonts w:ascii="Times New Roman" w:eastAsia="Times New Roman" w:hAnsi="Times New Roman" w:cs="Times New Roman"/>
          <w:color w:val="000000" w:themeColor="text1"/>
          <w:spacing w:val="-8"/>
          <w:sz w:val="24"/>
        </w:rPr>
        <w:t>krótkoterminowych na koniec 201</w:t>
      </w:r>
      <w:r w:rsidR="00BB3455" w:rsidRPr="000B1397">
        <w:rPr>
          <w:rFonts w:ascii="Times New Roman" w:eastAsia="Times New Roman" w:hAnsi="Times New Roman" w:cs="Times New Roman"/>
          <w:color w:val="000000" w:themeColor="text1"/>
          <w:spacing w:val="-8"/>
          <w:sz w:val="24"/>
        </w:rPr>
        <w:t>6</w:t>
      </w:r>
      <w:r w:rsidRPr="000B1397">
        <w:rPr>
          <w:rFonts w:ascii="Times New Roman" w:eastAsia="Times New Roman" w:hAnsi="Times New Roman" w:cs="Times New Roman"/>
          <w:color w:val="000000" w:themeColor="text1"/>
          <w:spacing w:val="-8"/>
          <w:sz w:val="24"/>
        </w:rPr>
        <w:t xml:space="preserve"> r.</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pacing w:val="-2"/>
          <w:sz w:val="24"/>
        </w:rPr>
        <w:t>Wskaźnik generowania gotówki operacyjnej (kol. 13) –</w:t>
      </w:r>
      <w:r w:rsidRPr="000B1397">
        <w:rPr>
          <w:rFonts w:ascii="Times New Roman" w:eastAsia="Times New Roman" w:hAnsi="Times New Roman" w:cs="Times New Roman"/>
          <w:color w:val="000000" w:themeColor="text1"/>
          <w:spacing w:val="-2"/>
          <w:sz w:val="24"/>
        </w:rPr>
        <w:t xml:space="preserve"> stosunek nadwyżki operacyjnej netto do sumy przychodów ze sprzedaży i zrównanych z nimi, pozostałych przychodów operacyjnych (pomniejszonych o zysk ze zbycia aktywów niefinansowych) i zysków nadzwyczajnych. Nadwyżka operacyjna powstała przez odjęcie od wpływów z działalności operacyjnej wydatków na nią poniesionych. Z kolei wpływy policzono jako sumę przychodów ze sprzedaży i zrównanych z nimi, pozostałych przychodów operacyjnych (pomniejszonych o zyski ze zbycia aktywów niefinansowych) i zysków nadzwyczajnych. Wydatki natomiast uzyskano przez dodanie do kosztów działalności operacyjnej (pomniejszonych jednak o amortyzację) pozostałych kosztów operacyjnych (ale z wyłączeniem straty ze zbycia aktywów niefinansowych), strat nadzwyczajnych i obowiązkowych obciążeń wyniku finansowego.</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 xml:space="preserve">Wydajność pracy (kol. 14) </w:t>
      </w:r>
      <w:r w:rsidRPr="000B1397">
        <w:rPr>
          <w:rFonts w:ascii="Times New Roman" w:eastAsia="Times New Roman" w:hAnsi="Times New Roman" w:cs="Times New Roman"/>
          <w:color w:val="000000" w:themeColor="text1"/>
          <w:sz w:val="24"/>
        </w:rPr>
        <w:t>- stosunek wartości dodanej (zdefiniowanej w opisie do kol. 9) do przeciętnego zatrudnienia w 201</w:t>
      </w:r>
      <w:r w:rsidR="00BB3455" w:rsidRPr="000B1397">
        <w:rPr>
          <w:rFonts w:ascii="Times New Roman" w:eastAsia="Times New Roman" w:hAnsi="Times New Roman" w:cs="Times New Roman"/>
          <w:color w:val="000000" w:themeColor="text1"/>
          <w:sz w:val="24"/>
        </w:rPr>
        <w:t>6</w:t>
      </w:r>
      <w:r w:rsidR="00B942BB"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z w:val="24"/>
        </w:rPr>
        <w:t>r.</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pacing w:val="-2"/>
          <w:sz w:val="24"/>
        </w:rPr>
      </w:pPr>
      <w:r w:rsidRPr="000B1397">
        <w:rPr>
          <w:rFonts w:ascii="Times New Roman" w:eastAsia="Times New Roman" w:hAnsi="Times New Roman" w:cs="Times New Roman"/>
          <w:b/>
          <w:color w:val="000000" w:themeColor="text1"/>
          <w:spacing w:val="-2"/>
          <w:sz w:val="24"/>
        </w:rPr>
        <w:t xml:space="preserve">Przychody ogółem (kol. 16) – </w:t>
      </w:r>
      <w:r w:rsidRPr="000B1397">
        <w:rPr>
          <w:rFonts w:ascii="Times New Roman" w:eastAsia="Times New Roman" w:hAnsi="Times New Roman" w:cs="Times New Roman"/>
          <w:color w:val="000000" w:themeColor="text1"/>
          <w:spacing w:val="-2"/>
          <w:sz w:val="24"/>
        </w:rPr>
        <w:t xml:space="preserve">suma przychodów ze sprzedaży produktów i zrównanych z nimi, pozostałych przychodów operacyjnych (pomniejszonych o zysk ze zbycia aktywów niefinansowych) i przychodów finansowych. </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 xml:space="preserve">Dochód ogólny (kol. 18) </w:t>
      </w:r>
      <w:r w:rsidRPr="000B1397">
        <w:rPr>
          <w:rFonts w:ascii="Times New Roman" w:eastAsia="Times New Roman" w:hAnsi="Times New Roman" w:cs="Times New Roman"/>
          <w:color w:val="000000" w:themeColor="text1"/>
          <w:sz w:val="24"/>
        </w:rPr>
        <w:t>– przychody ogółem (zdefiniowane w opisie do kol. 16), pomniejszone o sumę kosztów działalności operacyjnej (bez opłaty pracy członków), pozostałych kosztów operacyjnych i kosztów finansowych, skorygowane o wyniki nadzwyczajne (zyski lub straty nadzwyczajne).</w:t>
      </w:r>
    </w:p>
    <w:p w:rsidR="00BB3455"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pacing w:val="-6"/>
          <w:sz w:val="24"/>
        </w:rPr>
        <w:t>Indeks tworzenia wartości (kol. 20)</w:t>
      </w:r>
      <w:r w:rsidRPr="000B1397">
        <w:rPr>
          <w:rFonts w:ascii="Times New Roman" w:eastAsia="Times New Roman" w:hAnsi="Times New Roman" w:cs="Times New Roman"/>
          <w:color w:val="000000" w:themeColor="text1"/>
          <w:spacing w:val="-6"/>
          <w:sz w:val="24"/>
        </w:rPr>
        <w:t xml:space="preserve"> – </w:t>
      </w:r>
      <w:r w:rsidR="00BB3455" w:rsidRPr="000B1397">
        <w:rPr>
          <w:rFonts w:ascii="Times New Roman" w:eastAsia="Times New Roman" w:hAnsi="Times New Roman" w:cs="Times New Roman"/>
          <w:color w:val="000000" w:themeColor="text1"/>
          <w:sz w:val="24"/>
        </w:rPr>
        <w:t>iloraz rentowności kapitału własnego z kol. 12 oraz kosztu kapitału własnego. Ten ostatni ustalono jako sumę rentowności aktywów bez ryzyka oraz premii za ryzyko finansowe. Jako aktywa bez ryzyka przyjęto średnie oprocentowanie lokat bankowych założonych na okres do dwóch lat włącznie w 2016 r. Wyniosło ono 1,58% w stosunku rocznym i było jednakowe dla wszystkich gospodarstw. Premię za ryzyko określono z kolei jako iloczyn różnicy między ww. rentownością lokat bankowych (1,58%) a oprocentowaniem długu każdego gospodarstwa (stosunek zapłaconych odsetek w 2016 r. do sumy zobowiązań długo- i krótkoterminowych na koniec 2016 r.) i stopnia zadłużenia kapitału własnego (ww. sumę zobowiązań długo- i krótkoterminowych podzielono przez wartość kapitału własnego na koniec 2016 r.). Tylko indeks wyższy od jedności świadczy o powiększeniu wartości gospodarstwa dla jego właścicieli.</w:t>
      </w:r>
    </w:p>
    <w:p w:rsidR="005457CC" w:rsidRPr="000B1397" w:rsidRDefault="005457CC" w:rsidP="00650ABD">
      <w:pPr>
        <w:spacing w:before="120" w:after="0" w:line="264" w:lineRule="auto"/>
        <w:jc w:val="both"/>
        <w:rPr>
          <w:rFonts w:ascii="Times New Roman" w:eastAsia="Times New Roman" w:hAnsi="Times New Roman" w:cs="Times New Roman"/>
          <w:b/>
          <w:color w:val="000000" w:themeColor="text1"/>
          <w:sz w:val="24"/>
        </w:rPr>
      </w:pPr>
      <w:r w:rsidRPr="000B1397">
        <w:rPr>
          <w:rFonts w:ascii="Times New Roman" w:eastAsia="Times New Roman" w:hAnsi="Times New Roman" w:cs="Times New Roman"/>
          <w:b/>
          <w:color w:val="000000" w:themeColor="text1"/>
          <w:sz w:val="24"/>
        </w:rPr>
        <w:lastRenderedPageBreak/>
        <w:t xml:space="preserve">Pracujący przeciętnie w roku (kol. 22) – </w:t>
      </w:r>
      <w:r w:rsidRPr="000B1397">
        <w:rPr>
          <w:rFonts w:ascii="Times New Roman" w:eastAsia="Times New Roman" w:hAnsi="Times New Roman" w:cs="Times New Roman"/>
          <w:color w:val="000000" w:themeColor="text1"/>
          <w:sz w:val="24"/>
        </w:rPr>
        <w:t>przeciętna liczba osób zatrudnionych w 201</w:t>
      </w:r>
      <w:r w:rsidR="00BB3455" w:rsidRPr="000B1397">
        <w:rPr>
          <w:rFonts w:ascii="Times New Roman" w:eastAsia="Times New Roman" w:hAnsi="Times New Roman" w:cs="Times New Roman"/>
          <w:color w:val="000000" w:themeColor="text1"/>
          <w:sz w:val="24"/>
        </w:rPr>
        <w:t>6</w:t>
      </w:r>
      <w:r w:rsidRPr="000B1397">
        <w:rPr>
          <w:rFonts w:ascii="Times New Roman" w:eastAsia="Times New Roman" w:hAnsi="Times New Roman" w:cs="Times New Roman"/>
          <w:color w:val="000000" w:themeColor="text1"/>
          <w:sz w:val="24"/>
        </w:rPr>
        <w:t xml:space="preserve"> r. (członków spółdzielni i pracowników najemnych), w tym członkowie (kol. 23).</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Powierzchnia użytków rolnych (kol. 24)</w:t>
      </w:r>
      <w:r w:rsidRPr="000B1397">
        <w:rPr>
          <w:rFonts w:ascii="Times New Roman" w:eastAsia="Times New Roman" w:hAnsi="Times New Roman" w:cs="Times New Roman"/>
          <w:color w:val="000000" w:themeColor="text1"/>
          <w:sz w:val="24"/>
        </w:rPr>
        <w:t xml:space="preserve"> – obszar gruntów przeznaczonych do działalności rolniczej. Obejmuje on grunty orne, trwałe użytki zielone i plantacje trwałe.</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pacing w:val="-2"/>
          <w:sz w:val="24"/>
        </w:rPr>
      </w:pPr>
      <w:r w:rsidRPr="000B1397">
        <w:rPr>
          <w:rFonts w:ascii="Times New Roman" w:eastAsia="Times New Roman" w:hAnsi="Times New Roman" w:cs="Times New Roman"/>
          <w:b/>
          <w:color w:val="000000" w:themeColor="text1"/>
          <w:spacing w:val="-2"/>
          <w:sz w:val="24"/>
        </w:rPr>
        <w:t>Wskaźnik bonitacji gleb (kol. 25) –</w:t>
      </w:r>
      <w:r w:rsidRPr="000B1397">
        <w:rPr>
          <w:rFonts w:ascii="Times New Roman" w:eastAsia="Times New Roman" w:hAnsi="Times New Roman" w:cs="Times New Roman"/>
          <w:color w:val="000000" w:themeColor="text1"/>
          <w:spacing w:val="-2"/>
          <w:sz w:val="24"/>
        </w:rPr>
        <w:t xml:space="preserve"> syntetyczna miara jakości użytków rolnych obliczona jako stosunek powierzchni przeliczeniowej do fizycznej powierzchni tych użytków. Wskaźnik ten ustalono na podstawie „Deklaracji w sprawie podatku rolnego” oraz informacji dodatkowych o użytkach V i VI klasy.</w:t>
      </w:r>
    </w:p>
    <w:p w:rsidR="005457CC" w:rsidRPr="000B1397" w:rsidRDefault="005457CC" w:rsidP="00650ABD">
      <w:pPr>
        <w:spacing w:before="120" w:after="0" w:line="264" w:lineRule="auto"/>
        <w:jc w:val="both"/>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b/>
          <w:color w:val="000000" w:themeColor="text1"/>
          <w:sz w:val="24"/>
        </w:rPr>
        <w:t xml:space="preserve">Miernik syntetyczny (kol. 26) </w:t>
      </w:r>
      <w:r w:rsidRPr="000B1397">
        <w:rPr>
          <w:rFonts w:ascii="Times New Roman" w:eastAsia="Times New Roman" w:hAnsi="Times New Roman" w:cs="Times New Roman"/>
          <w:color w:val="000000" w:themeColor="text1"/>
          <w:sz w:val="24"/>
        </w:rPr>
        <w:t xml:space="preserve">– </w:t>
      </w:r>
      <w:r w:rsidRPr="000B1397">
        <w:rPr>
          <w:rFonts w:ascii="Times New Roman" w:eastAsia="Times New Roman" w:hAnsi="Times New Roman" w:cs="Times New Roman"/>
          <w:color w:val="000000" w:themeColor="text1"/>
          <w:spacing w:val="-6"/>
          <w:sz w:val="24"/>
        </w:rPr>
        <w:t>suma pozycji z kolumn 6, 8, 15, 17, 21 (opis metody w tekście).</w:t>
      </w:r>
    </w:p>
    <w:p w:rsidR="005457CC" w:rsidRPr="000B1397" w:rsidRDefault="005457CC" w:rsidP="000B1397">
      <w:pPr>
        <w:keepNext/>
        <w:keepLines/>
        <w:spacing w:before="120" w:after="0" w:line="264" w:lineRule="auto"/>
        <w:rPr>
          <w:rFonts w:ascii="Times New Roman" w:eastAsia="Times New Roman" w:hAnsi="Times New Roman" w:cs="Times New Roman"/>
          <w:b/>
          <w:color w:val="000000" w:themeColor="text1"/>
          <w:sz w:val="24"/>
        </w:rPr>
      </w:pPr>
    </w:p>
    <w:p w:rsidR="005457CC" w:rsidRPr="000B1397" w:rsidRDefault="005457CC" w:rsidP="000B1397">
      <w:pPr>
        <w:keepNext/>
        <w:keepLines/>
        <w:spacing w:before="120" w:after="0" w:line="264" w:lineRule="auto"/>
        <w:rPr>
          <w:rFonts w:ascii="Times New Roman" w:eastAsia="Times New Roman" w:hAnsi="Times New Roman" w:cs="Times New Roman"/>
          <w:b/>
          <w:color w:val="000000" w:themeColor="text1"/>
          <w:sz w:val="24"/>
        </w:rPr>
      </w:pPr>
      <w:r w:rsidRPr="000B1397">
        <w:rPr>
          <w:rFonts w:ascii="Times New Roman" w:eastAsia="Times New Roman" w:hAnsi="Times New Roman" w:cs="Times New Roman"/>
          <w:b/>
          <w:color w:val="000000" w:themeColor="text1"/>
          <w:sz w:val="24"/>
        </w:rPr>
        <w:t>OBJAŚNIENIE SYMBOLI</w:t>
      </w:r>
    </w:p>
    <w:p w:rsidR="005457CC" w:rsidRPr="000B1397" w:rsidRDefault="005457CC" w:rsidP="000B1397">
      <w:pPr>
        <w:tabs>
          <w:tab w:val="center" w:pos="426"/>
          <w:tab w:val="left" w:pos="709"/>
        </w:tabs>
        <w:spacing w:after="0" w:line="264" w:lineRule="auto"/>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w:t>
      </w:r>
      <w:r w:rsidRPr="000B1397">
        <w:rPr>
          <w:rFonts w:ascii="Times New Roman" w:eastAsia="Times New Roman" w:hAnsi="Times New Roman" w:cs="Times New Roman"/>
          <w:color w:val="000000" w:themeColor="text1"/>
          <w:sz w:val="24"/>
        </w:rPr>
        <w:tab/>
        <w:t>-</w:t>
      </w:r>
      <w:r w:rsidRPr="000B1397">
        <w:rPr>
          <w:rFonts w:ascii="Times New Roman" w:eastAsia="Times New Roman" w:hAnsi="Times New Roman" w:cs="Times New Roman"/>
          <w:color w:val="000000" w:themeColor="text1"/>
          <w:sz w:val="24"/>
        </w:rPr>
        <w:tab/>
        <w:t>zjawisko nie występuje lub nie ma treści merytorycznej;</w:t>
      </w:r>
    </w:p>
    <w:p w:rsidR="005457CC" w:rsidRPr="000B1397" w:rsidRDefault="005457CC" w:rsidP="000B1397">
      <w:pPr>
        <w:tabs>
          <w:tab w:val="center" w:pos="426"/>
          <w:tab w:val="left" w:pos="709"/>
        </w:tabs>
        <w:spacing w:before="40" w:after="0" w:line="264" w:lineRule="auto"/>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ln</w:t>
      </w:r>
      <w:r w:rsidRPr="000B1397">
        <w:rPr>
          <w:rFonts w:ascii="Times New Roman" w:eastAsia="Times New Roman" w:hAnsi="Times New Roman" w:cs="Times New Roman"/>
          <w:color w:val="000000" w:themeColor="text1"/>
          <w:sz w:val="24"/>
        </w:rPr>
        <w:tab/>
        <w:t>-</w:t>
      </w:r>
      <w:r w:rsidRPr="000B1397">
        <w:rPr>
          <w:rFonts w:ascii="Times New Roman" w:eastAsia="Times New Roman" w:hAnsi="Times New Roman" w:cs="Times New Roman"/>
          <w:color w:val="000000" w:themeColor="text1"/>
          <w:sz w:val="24"/>
        </w:rPr>
        <w:tab/>
        <w:t>liczba niemianowana;</w:t>
      </w:r>
    </w:p>
    <w:p w:rsidR="005457CC" w:rsidRPr="000B1397" w:rsidRDefault="005457CC" w:rsidP="000B1397">
      <w:pPr>
        <w:tabs>
          <w:tab w:val="center" w:pos="426"/>
          <w:tab w:val="left" w:pos="709"/>
        </w:tabs>
        <w:spacing w:before="40" w:after="0" w:line="264" w:lineRule="auto"/>
        <w:rPr>
          <w:rFonts w:ascii="Times New Roman" w:eastAsia="Times New Roman" w:hAnsi="Times New Roman" w:cs="Times New Roman"/>
          <w:color w:val="000000" w:themeColor="text1"/>
          <w:sz w:val="24"/>
        </w:rPr>
      </w:pPr>
      <w:r w:rsidRPr="000B1397">
        <w:rPr>
          <w:rFonts w:ascii="Times New Roman" w:eastAsia="Times New Roman" w:hAnsi="Times New Roman" w:cs="Times New Roman"/>
          <w:color w:val="000000" w:themeColor="text1"/>
          <w:sz w:val="24"/>
        </w:rPr>
        <w:t>-</w:t>
      </w:r>
      <w:r w:rsidRPr="000B1397">
        <w:rPr>
          <w:rFonts w:ascii="Times New Roman" w:eastAsia="Times New Roman" w:hAnsi="Times New Roman" w:cs="Times New Roman"/>
          <w:b/>
          <w:i/>
          <w:color w:val="000000" w:themeColor="text1"/>
          <w:sz w:val="24"/>
        </w:rPr>
        <w:tab/>
      </w:r>
      <w:r w:rsidRPr="000B1397">
        <w:rPr>
          <w:rFonts w:ascii="Times New Roman" w:eastAsia="Times New Roman" w:hAnsi="Times New Roman" w:cs="Times New Roman"/>
          <w:color w:val="000000" w:themeColor="text1"/>
          <w:sz w:val="24"/>
        </w:rPr>
        <w:t>-</w:t>
      </w:r>
      <w:r w:rsidRPr="000B1397">
        <w:rPr>
          <w:rFonts w:ascii="Times New Roman" w:eastAsia="Times New Roman" w:hAnsi="Times New Roman" w:cs="Times New Roman"/>
          <w:color w:val="000000" w:themeColor="text1"/>
          <w:sz w:val="24"/>
        </w:rPr>
        <w:tab/>
        <w:t>brak zgody na podanie nazwy przedsiębiorstwa.</w:t>
      </w:r>
    </w:p>
    <w:p w:rsidR="00B942BB" w:rsidRPr="000B1397" w:rsidRDefault="00B942BB" w:rsidP="000B1397">
      <w:pPr>
        <w:tabs>
          <w:tab w:val="center" w:pos="426"/>
          <w:tab w:val="left" w:pos="709"/>
        </w:tabs>
        <w:spacing w:before="40" w:after="0" w:line="264" w:lineRule="auto"/>
        <w:rPr>
          <w:rFonts w:ascii="Times New Roman" w:eastAsia="Times New Roman" w:hAnsi="Times New Roman" w:cs="Times New Roman"/>
          <w:color w:val="000000" w:themeColor="text1"/>
          <w:sz w:val="24"/>
        </w:rPr>
      </w:pPr>
    </w:p>
    <w:p w:rsidR="00B942BB" w:rsidRPr="000B1397" w:rsidRDefault="005457CC" w:rsidP="000B1397">
      <w:pPr>
        <w:spacing w:before="40" w:after="0" w:line="264" w:lineRule="auto"/>
        <w:jc w:val="right"/>
        <w:rPr>
          <w:rFonts w:ascii="Times New Roman" w:eastAsia="Calibri" w:hAnsi="Times New Roman" w:cs="Times New Roman"/>
          <w:i/>
          <w:color w:val="000000" w:themeColor="text1"/>
          <w:sz w:val="24"/>
          <w:szCs w:val="24"/>
        </w:rPr>
      </w:pPr>
      <w:r w:rsidRPr="000B1397">
        <w:rPr>
          <w:rFonts w:ascii="Times New Roman" w:eastAsia="Calibri" w:hAnsi="Times New Roman" w:cs="Times New Roman"/>
          <w:i/>
          <w:color w:val="000000" w:themeColor="text1"/>
          <w:sz w:val="24"/>
          <w:szCs w:val="24"/>
        </w:rPr>
        <w:t xml:space="preserve">Ranking przygotował zespół pracowników </w:t>
      </w:r>
    </w:p>
    <w:p w:rsidR="00B942BB" w:rsidRPr="000B1397" w:rsidRDefault="005457CC" w:rsidP="000B1397">
      <w:pPr>
        <w:spacing w:before="40" w:after="0" w:line="264" w:lineRule="auto"/>
        <w:jc w:val="right"/>
        <w:rPr>
          <w:rFonts w:ascii="Times New Roman" w:eastAsia="Calibri" w:hAnsi="Times New Roman" w:cs="Times New Roman"/>
          <w:i/>
          <w:color w:val="000000" w:themeColor="text1"/>
          <w:sz w:val="24"/>
          <w:szCs w:val="24"/>
        </w:rPr>
      </w:pPr>
      <w:r w:rsidRPr="000B1397">
        <w:rPr>
          <w:rFonts w:ascii="Times New Roman" w:eastAsia="Calibri" w:hAnsi="Times New Roman" w:cs="Times New Roman"/>
          <w:i/>
          <w:color w:val="000000" w:themeColor="text1"/>
          <w:sz w:val="24"/>
          <w:szCs w:val="24"/>
        </w:rPr>
        <w:t xml:space="preserve">Instytutu Ekonomiki Rolnictwa i Gospodarki Żywnościowej – PIB </w:t>
      </w:r>
    </w:p>
    <w:p w:rsidR="005457CC" w:rsidRPr="000B1397" w:rsidRDefault="005457CC" w:rsidP="000B1397">
      <w:pPr>
        <w:spacing w:before="40" w:after="0" w:line="264" w:lineRule="auto"/>
        <w:jc w:val="right"/>
        <w:rPr>
          <w:rFonts w:ascii="Times New Roman" w:eastAsia="Calibri" w:hAnsi="Times New Roman" w:cs="Times New Roman"/>
          <w:i/>
          <w:color w:val="000000" w:themeColor="text1"/>
          <w:sz w:val="24"/>
          <w:szCs w:val="24"/>
        </w:rPr>
      </w:pPr>
      <w:r w:rsidRPr="000B1397">
        <w:rPr>
          <w:rFonts w:ascii="Times New Roman" w:eastAsia="Calibri" w:hAnsi="Times New Roman" w:cs="Times New Roman"/>
          <w:i/>
          <w:color w:val="000000" w:themeColor="text1"/>
          <w:sz w:val="24"/>
          <w:szCs w:val="24"/>
        </w:rPr>
        <w:t>w składzie:</w:t>
      </w:r>
    </w:p>
    <w:p w:rsidR="005457CC" w:rsidRPr="000B1397" w:rsidRDefault="005457CC" w:rsidP="000B1397">
      <w:pPr>
        <w:tabs>
          <w:tab w:val="left" w:pos="2340"/>
        </w:tabs>
        <w:spacing w:before="40" w:after="0" w:line="264" w:lineRule="auto"/>
        <w:jc w:val="right"/>
        <w:rPr>
          <w:rFonts w:ascii="Times New Roman" w:eastAsia="Times New Roman" w:hAnsi="Times New Roman" w:cs="Times New Roman"/>
          <w:i/>
          <w:color w:val="000000" w:themeColor="text1"/>
          <w:sz w:val="24"/>
        </w:rPr>
      </w:pPr>
      <w:r w:rsidRPr="000B1397">
        <w:rPr>
          <w:rFonts w:ascii="Times New Roman" w:eastAsia="Times New Roman" w:hAnsi="Times New Roman" w:cs="Times New Roman"/>
          <w:i/>
          <w:color w:val="000000" w:themeColor="text1"/>
        </w:rPr>
        <w:tab/>
      </w:r>
      <w:r w:rsidRPr="000B1397">
        <w:rPr>
          <w:rFonts w:ascii="Times New Roman" w:eastAsia="Times New Roman" w:hAnsi="Times New Roman" w:cs="Times New Roman"/>
          <w:i/>
          <w:color w:val="000000" w:themeColor="text1"/>
          <w:sz w:val="24"/>
        </w:rPr>
        <w:t xml:space="preserve">Mgr inż. Marcin Adamski </w:t>
      </w:r>
    </w:p>
    <w:p w:rsidR="005457CC" w:rsidRPr="000B1397" w:rsidRDefault="005457CC" w:rsidP="000B1397">
      <w:pPr>
        <w:tabs>
          <w:tab w:val="left" w:pos="2340"/>
        </w:tabs>
        <w:spacing w:before="40" w:after="0" w:line="264" w:lineRule="auto"/>
        <w:jc w:val="right"/>
        <w:rPr>
          <w:rFonts w:ascii="Times New Roman" w:eastAsia="Times New Roman" w:hAnsi="Times New Roman" w:cs="Times New Roman"/>
          <w:i/>
          <w:color w:val="000000" w:themeColor="text1"/>
          <w:sz w:val="24"/>
        </w:rPr>
      </w:pPr>
      <w:r w:rsidRPr="000B1397">
        <w:rPr>
          <w:rFonts w:ascii="Times New Roman" w:eastAsia="Times New Roman" w:hAnsi="Times New Roman" w:cs="Times New Roman"/>
          <w:i/>
          <w:color w:val="000000" w:themeColor="text1"/>
          <w:sz w:val="24"/>
        </w:rPr>
        <w:tab/>
        <w:t>Mgr inż. Adam Kagan</w:t>
      </w:r>
    </w:p>
    <w:p w:rsidR="005457CC" w:rsidRPr="000B1397" w:rsidRDefault="005457CC" w:rsidP="000B1397">
      <w:pPr>
        <w:tabs>
          <w:tab w:val="left" w:pos="2340"/>
        </w:tabs>
        <w:spacing w:before="40" w:after="0" w:line="264" w:lineRule="auto"/>
        <w:ind w:firstLine="708"/>
        <w:jc w:val="right"/>
        <w:rPr>
          <w:rFonts w:ascii="Times New Roman" w:eastAsia="Times New Roman" w:hAnsi="Times New Roman" w:cs="Times New Roman"/>
          <w:i/>
          <w:color w:val="000000" w:themeColor="text1"/>
          <w:sz w:val="24"/>
        </w:rPr>
      </w:pPr>
      <w:r w:rsidRPr="000B1397">
        <w:rPr>
          <w:rFonts w:ascii="Times New Roman" w:eastAsia="Times New Roman" w:hAnsi="Times New Roman" w:cs="Times New Roman"/>
          <w:i/>
          <w:color w:val="000000" w:themeColor="text1"/>
          <w:sz w:val="24"/>
        </w:rPr>
        <w:tab/>
        <w:t>Prof. dr hab. Jacek Kulawik</w:t>
      </w:r>
    </w:p>
    <w:p w:rsidR="005457CC" w:rsidRPr="000B1397" w:rsidRDefault="005457CC" w:rsidP="000B1397">
      <w:pPr>
        <w:tabs>
          <w:tab w:val="left" w:pos="2340"/>
        </w:tabs>
        <w:spacing w:before="40" w:after="0" w:line="264" w:lineRule="auto"/>
        <w:jc w:val="right"/>
        <w:rPr>
          <w:rFonts w:ascii="Times New Roman" w:eastAsia="Times New Roman" w:hAnsi="Times New Roman" w:cs="Times New Roman"/>
          <w:i/>
          <w:color w:val="000000" w:themeColor="text1"/>
          <w:sz w:val="24"/>
        </w:rPr>
      </w:pPr>
      <w:r w:rsidRPr="000B1397">
        <w:rPr>
          <w:rFonts w:ascii="Times New Roman" w:eastAsia="Times New Roman" w:hAnsi="Times New Roman" w:cs="Times New Roman"/>
          <w:i/>
          <w:color w:val="000000" w:themeColor="text1"/>
          <w:sz w:val="24"/>
        </w:rPr>
        <w:tab/>
        <w:t>Dr Dariusz Osuch</w:t>
      </w:r>
    </w:p>
    <w:p w:rsidR="005457CC" w:rsidRPr="000B1397" w:rsidRDefault="005457CC" w:rsidP="000B1397">
      <w:pPr>
        <w:tabs>
          <w:tab w:val="left" w:pos="2340"/>
        </w:tabs>
        <w:spacing w:before="40" w:after="0" w:line="264" w:lineRule="auto"/>
        <w:jc w:val="right"/>
        <w:rPr>
          <w:rFonts w:ascii="Times New Roman" w:eastAsia="Times New Roman" w:hAnsi="Times New Roman" w:cs="Times New Roman"/>
          <w:i/>
          <w:color w:val="000000" w:themeColor="text1"/>
          <w:sz w:val="24"/>
        </w:rPr>
      </w:pPr>
      <w:r w:rsidRPr="000B1397">
        <w:rPr>
          <w:rFonts w:ascii="Times New Roman" w:eastAsia="Times New Roman" w:hAnsi="Times New Roman" w:cs="Times New Roman"/>
          <w:i/>
          <w:color w:val="000000" w:themeColor="text1"/>
          <w:sz w:val="24"/>
        </w:rPr>
        <w:tab/>
        <w:t>Mgr inż. Maria Zdzieborska</w:t>
      </w:r>
    </w:p>
    <w:p w:rsidR="005457CC" w:rsidRPr="000B1397" w:rsidRDefault="005457CC" w:rsidP="000B1397">
      <w:pPr>
        <w:tabs>
          <w:tab w:val="left" w:pos="4389"/>
        </w:tabs>
        <w:rPr>
          <w:rFonts w:ascii="Times New Roman" w:eastAsia="Times New Roman" w:hAnsi="Times New Roman" w:cs="Times New Roman"/>
          <w:color w:val="000000" w:themeColor="text1"/>
          <w:sz w:val="20"/>
        </w:rPr>
      </w:pPr>
    </w:p>
    <w:sectPr w:rsidR="005457CC" w:rsidRPr="000B1397" w:rsidSect="005457CC">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8C" w:rsidRDefault="00D0488C" w:rsidP="00C70D19">
      <w:pPr>
        <w:spacing w:after="0" w:line="240" w:lineRule="auto"/>
      </w:pPr>
      <w:r>
        <w:separator/>
      </w:r>
    </w:p>
  </w:endnote>
  <w:endnote w:type="continuationSeparator" w:id="0">
    <w:p w:rsidR="00D0488C" w:rsidRDefault="00D0488C" w:rsidP="00C7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12300"/>
      <w:docPartObj>
        <w:docPartGallery w:val="Page Numbers (Bottom of Page)"/>
        <w:docPartUnique/>
      </w:docPartObj>
    </w:sdtPr>
    <w:sdtEndPr/>
    <w:sdtContent>
      <w:p w:rsidR="00895E37" w:rsidRDefault="00895E37" w:rsidP="003F129D">
        <w:pPr>
          <w:pStyle w:val="Stopka"/>
          <w:tabs>
            <w:tab w:val="left" w:pos="771"/>
            <w:tab w:val="right" w:pos="14144"/>
          </w:tabs>
        </w:pPr>
        <w:r>
          <w:tab/>
        </w:r>
        <w:r>
          <w:tab/>
        </w:r>
        <w:r>
          <w:tab/>
        </w:r>
        <w:r>
          <w:tab/>
        </w:r>
        <w:r>
          <w:fldChar w:fldCharType="begin"/>
        </w:r>
        <w:r>
          <w:instrText>PAGE   \* MERGEFORMAT</w:instrText>
        </w:r>
        <w:r>
          <w:fldChar w:fldCharType="separate"/>
        </w:r>
        <w:r w:rsidR="004A7511">
          <w:rPr>
            <w:noProof/>
          </w:rPr>
          <w:t>10</w:t>
        </w:r>
        <w:r>
          <w:rPr>
            <w:noProof/>
          </w:rPr>
          <w:fldChar w:fldCharType="end"/>
        </w:r>
      </w:p>
    </w:sdtContent>
  </w:sdt>
  <w:p w:rsidR="00895E37" w:rsidRDefault="00895E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8C" w:rsidRDefault="00D0488C" w:rsidP="00C70D19">
      <w:pPr>
        <w:spacing w:after="0" w:line="240" w:lineRule="auto"/>
      </w:pPr>
      <w:r>
        <w:separator/>
      </w:r>
    </w:p>
  </w:footnote>
  <w:footnote w:type="continuationSeparator" w:id="0">
    <w:p w:rsidR="00D0488C" w:rsidRDefault="00D0488C" w:rsidP="00C70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EC"/>
    <w:rsid w:val="00002359"/>
    <w:rsid w:val="0000484E"/>
    <w:rsid w:val="000151A8"/>
    <w:rsid w:val="000151DB"/>
    <w:rsid w:val="00017EF5"/>
    <w:rsid w:val="00022980"/>
    <w:rsid w:val="00027068"/>
    <w:rsid w:val="00040929"/>
    <w:rsid w:val="0004291E"/>
    <w:rsid w:val="00056F1D"/>
    <w:rsid w:val="000734E5"/>
    <w:rsid w:val="00073E5C"/>
    <w:rsid w:val="00074051"/>
    <w:rsid w:val="0007523A"/>
    <w:rsid w:val="0007555E"/>
    <w:rsid w:val="000804C5"/>
    <w:rsid w:val="0008322A"/>
    <w:rsid w:val="00084CB6"/>
    <w:rsid w:val="00086BF5"/>
    <w:rsid w:val="00086E06"/>
    <w:rsid w:val="000913FC"/>
    <w:rsid w:val="000934FE"/>
    <w:rsid w:val="00093B70"/>
    <w:rsid w:val="000A29F2"/>
    <w:rsid w:val="000B1397"/>
    <w:rsid w:val="000B32D8"/>
    <w:rsid w:val="000B4F8C"/>
    <w:rsid w:val="000B6752"/>
    <w:rsid w:val="000C1BA7"/>
    <w:rsid w:val="000C1F61"/>
    <w:rsid w:val="000C2B71"/>
    <w:rsid w:val="000C4648"/>
    <w:rsid w:val="000D2E50"/>
    <w:rsid w:val="000D328C"/>
    <w:rsid w:val="000D6CB2"/>
    <w:rsid w:val="000E44CE"/>
    <w:rsid w:val="000E7189"/>
    <w:rsid w:val="000F6ABE"/>
    <w:rsid w:val="000F78FE"/>
    <w:rsid w:val="00100747"/>
    <w:rsid w:val="001128E4"/>
    <w:rsid w:val="00113899"/>
    <w:rsid w:val="00122AEC"/>
    <w:rsid w:val="0012381F"/>
    <w:rsid w:val="00124517"/>
    <w:rsid w:val="001257D5"/>
    <w:rsid w:val="001267D6"/>
    <w:rsid w:val="00127F84"/>
    <w:rsid w:val="001303E1"/>
    <w:rsid w:val="00130A00"/>
    <w:rsid w:val="00133FBF"/>
    <w:rsid w:val="001368E5"/>
    <w:rsid w:val="00145E1A"/>
    <w:rsid w:val="00150C65"/>
    <w:rsid w:val="00152883"/>
    <w:rsid w:val="00153E4A"/>
    <w:rsid w:val="00161B6B"/>
    <w:rsid w:val="00166B98"/>
    <w:rsid w:val="00167E1F"/>
    <w:rsid w:val="00170199"/>
    <w:rsid w:val="001704CA"/>
    <w:rsid w:val="001841DC"/>
    <w:rsid w:val="001906E0"/>
    <w:rsid w:val="001A5283"/>
    <w:rsid w:val="001A5C7D"/>
    <w:rsid w:val="001A635C"/>
    <w:rsid w:val="001B2266"/>
    <w:rsid w:val="001B2CBF"/>
    <w:rsid w:val="001C0C7F"/>
    <w:rsid w:val="001C218D"/>
    <w:rsid w:val="001D10F7"/>
    <w:rsid w:val="001E053D"/>
    <w:rsid w:val="001E1FDE"/>
    <w:rsid w:val="001E2280"/>
    <w:rsid w:val="001E22E9"/>
    <w:rsid w:val="001E6DB6"/>
    <w:rsid w:val="001F1EC8"/>
    <w:rsid w:val="001F3541"/>
    <w:rsid w:val="001F3C5B"/>
    <w:rsid w:val="001F40CA"/>
    <w:rsid w:val="001F5329"/>
    <w:rsid w:val="00201648"/>
    <w:rsid w:val="00203E4C"/>
    <w:rsid w:val="00207498"/>
    <w:rsid w:val="00207D8B"/>
    <w:rsid w:val="00212F39"/>
    <w:rsid w:val="00215C75"/>
    <w:rsid w:val="0021712D"/>
    <w:rsid w:val="00220025"/>
    <w:rsid w:val="0022110D"/>
    <w:rsid w:val="0023106E"/>
    <w:rsid w:val="00234D14"/>
    <w:rsid w:val="00237D22"/>
    <w:rsid w:val="002466DD"/>
    <w:rsid w:val="00252924"/>
    <w:rsid w:val="00252E7A"/>
    <w:rsid w:val="002558B3"/>
    <w:rsid w:val="00256140"/>
    <w:rsid w:val="00256B8B"/>
    <w:rsid w:val="00260FEF"/>
    <w:rsid w:val="002618D7"/>
    <w:rsid w:val="00261B08"/>
    <w:rsid w:val="0026614D"/>
    <w:rsid w:val="002702BC"/>
    <w:rsid w:val="00270617"/>
    <w:rsid w:val="00272C55"/>
    <w:rsid w:val="0027315F"/>
    <w:rsid w:val="0028189F"/>
    <w:rsid w:val="0028212D"/>
    <w:rsid w:val="00284911"/>
    <w:rsid w:val="002919A7"/>
    <w:rsid w:val="00294070"/>
    <w:rsid w:val="00296829"/>
    <w:rsid w:val="00297FF8"/>
    <w:rsid w:val="002A2404"/>
    <w:rsid w:val="002A3F9C"/>
    <w:rsid w:val="002A4A14"/>
    <w:rsid w:val="002A533D"/>
    <w:rsid w:val="002B2AC1"/>
    <w:rsid w:val="002B3DB1"/>
    <w:rsid w:val="002B556F"/>
    <w:rsid w:val="002B690D"/>
    <w:rsid w:val="002B730F"/>
    <w:rsid w:val="002B7D4F"/>
    <w:rsid w:val="002B7E51"/>
    <w:rsid w:val="002C0DCA"/>
    <w:rsid w:val="002C55F6"/>
    <w:rsid w:val="002E07AC"/>
    <w:rsid w:val="002E18B8"/>
    <w:rsid w:val="002E241F"/>
    <w:rsid w:val="002E3C47"/>
    <w:rsid w:val="002E5EBB"/>
    <w:rsid w:val="002E6F60"/>
    <w:rsid w:val="002F7181"/>
    <w:rsid w:val="002F7DBA"/>
    <w:rsid w:val="0030140E"/>
    <w:rsid w:val="00301453"/>
    <w:rsid w:val="00301D80"/>
    <w:rsid w:val="00312DFD"/>
    <w:rsid w:val="00314540"/>
    <w:rsid w:val="0031460F"/>
    <w:rsid w:val="00316057"/>
    <w:rsid w:val="00323895"/>
    <w:rsid w:val="0032516E"/>
    <w:rsid w:val="00327B0B"/>
    <w:rsid w:val="0033009E"/>
    <w:rsid w:val="00341EFC"/>
    <w:rsid w:val="00343528"/>
    <w:rsid w:val="0034491F"/>
    <w:rsid w:val="00344F0F"/>
    <w:rsid w:val="00345559"/>
    <w:rsid w:val="00346776"/>
    <w:rsid w:val="0034749C"/>
    <w:rsid w:val="00347A11"/>
    <w:rsid w:val="00350594"/>
    <w:rsid w:val="00363DD9"/>
    <w:rsid w:val="00365DB3"/>
    <w:rsid w:val="003669AF"/>
    <w:rsid w:val="003672A6"/>
    <w:rsid w:val="00371B16"/>
    <w:rsid w:val="00373FEC"/>
    <w:rsid w:val="00377E89"/>
    <w:rsid w:val="003833EB"/>
    <w:rsid w:val="00394912"/>
    <w:rsid w:val="003A06F7"/>
    <w:rsid w:val="003A3798"/>
    <w:rsid w:val="003A7298"/>
    <w:rsid w:val="003A7C8B"/>
    <w:rsid w:val="003B0B81"/>
    <w:rsid w:val="003B18F7"/>
    <w:rsid w:val="003C31E9"/>
    <w:rsid w:val="003C602C"/>
    <w:rsid w:val="003C6895"/>
    <w:rsid w:val="003C7959"/>
    <w:rsid w:val="003D0CD0"/>
    <w:rsid w:val="003D5815"/>
    <w:rsid w:val="003D7ECA"/>
    <w:rsid w:val="003E21AC"/>
    <w:rsid w:val="003F129D"/>
    <w:rsid w:val="003F7B80"/>
    <w:rsid w:val="0040198D"/>
    <w:rsid w:val="004047EC"/>
    <w:rsid w:val="00406C0E"/>
    <w:rsid w:val="00413BFB"/>
    <w:rsid w:val="00413CE0"/>
    <w:rsid w:val="00415AB8"/>
    <w:rsid w:val="00416780"/>
    <w:rsid w:val="00422EFA"/>
    <w:rsid w:val="00427517"/>
    <w:rsid w:val="00434F2B"/>
    <w:rsid w:val="0043583D"/>
    <w:rsid w:val="004367DF"/>
    <w:rsid w:val="00440918"/>
    <w:rsid w:val="00443446"/>
    <w:rsid w:val="004446B1"/>
    <w:rsid w:val="004528AF"/>
    <w:rsid w:val="00453DBD"/>
    <w:rsid w:val="00454542"/>
    <w:rsid w:val="00457E84"/>
    <w:rsid w:val="00460E4C"/>
    <w:rsid w:val="004617F8"/>
    <w:rsid w:val="00461FF1"/>
    <w:rsid w:val="00464B36"/>
    <w:rsid w:val="00466DBC"/>
    <w:rsid w:val="004739DB"/>
    <w:rsid w:val="00477132"/>
    <w:rsid w:val="0048409E"/>
    <w:rsid w:val="004877EA"/>
    <w:rsid w:val="00497032"/>
    <w:rsid w:val="004A3F64"/>
    <w:rsid w:val="004A46F9"/>
    <w:rsid w:val="004A736E"/>
    <w:rsid w:val="004A7511"/>
    <w:rsid w:val="004B0C6C"/>
    <w:rsid w:val="004B3FC6"/>
    <w:rsid w:val="004B50E3"/>
    <w:rsid w:val="004B701A"/>
    <w:rsid w:val="004C05AC"/>
    <w:rsid w:val="004C1CDB"/>
    <w:rsid w:val="004C338C"/>
    <w:rsid w:val="004C6DAF"/>
    <w:rsid w:val="004D1228"/>
    <w:rsid w:val="004D65FF"/>
    <w:rsid w:val="004E6EAF"/>
    <w:rsid w:val="004F149E"/>
    <w:rsid w:val="004F43B7"/>
    <w:rsid w:val="004F5195"/>
    <w:rsid w:val="0050114D"/>
    <w:rsid w:val="0050413A"/>
    <w:rsid w:val="00504C5B"/>
    <w:rsid w:val="00506005"/>
    <w:rsid w:val="005107AE"/>
    <w:rsid w:val="00515747"/>
    <w:rsid w:val="00520B7C"/>
    <w:rsid w:val="00522254"/>
    <w:rsid w:val="00523A26"/>
    <w:rsid w:val="005309D3"/>
    <w:rsid w:val="00532406"/>
    <w:rsid w:val="00532438"/>
    <w:rsid w:val="00536057"/>
    <w:rsid w:val="00541AB9"/>
    <w:rsid w:val="005457CC"/>
    <w:rsid w:val="00545B9D"/>
    <w:rsid w:val="00547305"/>
    <w:rsid w:val="005531D3"/>
    <w:rsid w:val="00554673"/>
    <w:rsid w:val="00571116"/>
    <w:rsid w:val="00581847"/>
    <w:rsid w:val="005922B5"/>
    <w:rsid w:val="005953F9"/>
    <w:rsid w:val="005A0D5D"/>
    <w:rsid w:val="005A36A3"/>
    <w:rsid w:val="005A3C9D"/>
    <w:rsid w:val="005A45DC"/>
    <w:rsid w:val="005A4CD9"/>
    <w:rsid w:val="005B1C39"/>
    <w:rsid w:val="005B2028"/>
    <w:rsid w:val="005B61C8"/>
    <w:rsid w:val="005B69B8"/>
    <w:rsid w:val="005C3454"/>
    <w:rsid w:val="005C3A1C"/>
    <w:rsid w:val="005C44A5"/>
    <w:rsid w:val="005D6D49"/>
    <w:rsid w:val="005E0A49"/>
    <w:rsid w:val="005E21B7"/>
    <w:rsid w:val="005E540E"/>
    <w:rsid w:val="005F4F83"/>
    <w:rsid w:val="005F537D"/>
    <w:rsid w:val="005F67F7"/>
    <w:rsid w:val="006050E4"/>
    <w:rsid w:val="00606DA4"/>
    <w:rsid w:val="00607F4C"/>
    <w:rsid w:val="00610D12"/>
    <w:rsid w:val="006156F2"/>
    <w:rsid w:val="006161AC"/>
    <w:rsid w:val="00623742"/>
    <w:rsid w:val="00625C89"/>
    <w:rsid w:val="00634C0F"/>
    <w:rsid w:val="00634C76"/>
    <w:rsid w:val="006356F0"/>
    <w:rsid w:val="00643865"/>
    <w:rsid w:val="00650ABD"/>
    <w:rsid w:val="00653615"/>
    <w:rsid w:val="00653794"/>
    <w:rsid w:val="00653DF8"/>
    <w:rsid w:val="00657377"/>
    <w:rsid w:val="00657F2B"/>
    <w:rsid w:val="00664450"/>
    <w:rsid w:val="00667ECA"/>
    <w:rsid w:val="00673E12"/>
    <w:rsid w:val="00676012"/>
    <w:rsid w:val="00684103"/>
    <w:rsid w:val="0068458B"/>
    <w:rsid w:val="00686FF1"/>
    <w:rsid w:val="00691F12"/>
    <w:rsid w:val="0069391E"/>
    <w:rsid w:val="006972B9"/>
    <w:rsid w:val="006A146C"/>
    <w:rsid w:val="006A73CA"/>
    <w:rsid w:val="006B1910"/>
    <w:rsid w:val="006B66D2"/>
    <w:rsid w:val="006B7551"/>
    <w:rsid w:val="006C5354"/>
    <w:rsid w:val="006D4C55"/>
    <w:rsid w:val="006E6960"/>
    <w:rsid w:val="006E6C0E"/>
    <w:rsid w:val="006F10BF"/>
    <w:rsid w:val="006F2A52"/>
    <w:rsid w:val="006F413F"/>
    <w:rsid w:val="006F6950"/>
    <w:rsid w:val="00700C37"/>
    <w:rsid w:val="00705242"/>
    <w:rsid w:val="00705D05"/>
    <w:rsid w:val="00712213"/>
    <w:rsid w:val="0071666A"/>
    <w:rsid w:val="00725778"/>
    <w:rsid w:val="00727E5A"/>
    <w:rsid w:val="00731858"/>
    <w:rsid w:val="00734721"/>
    <w:rsid w:val="00736D3F"/>
    <w:rsid w:val="0074191F"/>
    <w:rsid w:val="0074428E"/>
    <w:rsid w:val="00744731"/>
    <w:rsid w:val="0075102D"/>
    <w:rsid w:val="00753E57"/>
    <w:rsid w:val="00756B98"/>
    <w:rsid w:val="0076057C"/>
    <w:rsid w:val="00775AE0"/>
    <w:rsid w:val="0078572A"/>
    <w:rsid w:val="00796004"/>
    <w:rsid w:val="007A034E"/>
    <w:rsid w:val="007A0B1B"/>
    <w:rsid w:val="007C455C"/>
    <w:rsid w:val="007C5B19"/>
    <w:rsid w:val="007C5B45"/>
    <w:rsid w:val="007D0EC6"/>
    <w:rsid w:val="007D2D5A"/>
    <w:rsid w:val="007D35C9"/>
    <w:rsid w:val="007D36FE"/>
    <w:rsid w:val="007D7666"/>
    <w:rsid w:val="007E7F33"/>
    <w:rsid w:val="007F68B3"/>
    <w:rsid w:val="007F7E0F"/>
    <w:rsid w:val="008007AC"/>
    <w:rsid w:val="00802DFC"/>
    <w:rsid w:val="00803B11"/>
    <w:rsid w:val="008058EA"/>
    <w:rsid w:val="00811C77"/>
    <w:rsid w:val="00815A67"/>
    <w:rsid w:val="0081683B"/>
    <w:rsid w:val="00827051"/>
    <w:rsid w:val="00827E66"/>
    <w:rsid w:val="008351E6"/>
    <w:rsid w:val="00836019"/>
    <w:rsid w:val="0084322F"/>
    <w:rsid w:val="00852253"/>
    <w:rsid w:val="00854F17"/>
    <w:rsid w:val="00857398"/>
    <w:rsid w:val="0087173D"/>
    <w:rsid w:val="00874220"/>
    <w:rsid w:val="008747BC"/>
    <w:rsid w:val="00877025"/>
    <w:rsid w:val="00877F73"/>
    <w:rsid w:val="00890096"/>
    <w:rsid w:val="00893892"/>
    <w:rsid w:val="00895E37"/>
    <w:rsid w:val="00896AF1"/>
    <w:rsid w:val="008A4107"/>
    <w:rsid w:val="008B169A"/>
    <w:rsid w:val="008D1435"/>
    <w:rsid w:val="008D2218"/>
    <w:rsid w:val="008D471E"/>
    <w:rsid w:val="008E2A70"/>
    <w:rsid w:val="008F4561"/>
    <w:rsid w:val="008F5BB7"/>
    <w:rsid w:val="00901025"/>
    <w:rsid w:val="00901089"/>
    <w:rsid w:val="0090171D"/>
    <w:rsid w:val="009109AC"/>
    <w:rsid w:val="00917173"/>
    <w:rsid w:val="009251E3"/>
    <w:rsid w:val="0093255E"/>
    <w:rsid w:val="0093666F"/>
    <w:rsid w:val="00937CEF"/>
    <w:rsid w:val="00947128"/>
    <w:rsid w:val="00947F2E"/>
    <w:rsid w:val="009500FE"/>
    <w:rsid w:val="009508A0"/>
    <w:rsid w:val="00950F71"/>
    <w:rsid w:val="00952A31"/>
    <w:rsid w:val="00952B72"/>
    <w:rsid w:val="009536CD"/>
    <w:rsid w:val="009546EF"/>
    <w:rsid w:val="00961617"/>
    <w:rsid w:val="00970F76"/>
    <w:rsid w:val="009722E2"/>
    <w:rsid w:val="00974169"/>
    <w:rsid w:val="009805FB"/>
    <w:rsid w:val="00981E9E"/>
    <w:rsid w:val="00982490"/>
    <w:rsid w:val="00990913"/>
    <w:rsid w:val="00993CBE"/>
    <w:rsid w:val="009953CC"/>
    <w:rsid w:val="009A3665"/>
    <w:rsid w:val="009A43F9"/>
    <w:rsid w:val="009A7E9A"/>
    <w:rsid w:val="009C1D2C"/>
    <w:rsid w:val="009C3B64"/>
    <w:rsid w:val="009C4B6D"/>
    <w:rsid w:val="009C7EA1"/>
    <w:rsid w:val="009D1006"/>
    <w:rsid w:val="009D6045"/>
    <w:rsid w:val="009E15D8"/>
    <w:rsid w:val="009E1F23"/>
    <w:rsid w:val="009F755A"/>
    <w:rsid w:val="00A01568"/>
    <w:rsid w:val="00A03870"/>
    <w:rsid w:val="00A2059C"/>
    <w:rsid w:val="00A21CCD"/>
    <w:rsid w:val="00A22CE4"/>
    <w:rsid w:val="00A255D1"/>
    <w:rsid w:val="00A274DE"/>
    <w:rsid w:val="00A27C41"/>
    <w:rsid w:val="00A3006E"/>
    <w:rsid w:val="00A30992"/>
    <w:rsid w:val="00A323E5"/>
    <w:rsid w:val="00A32909"/>
    <w:rsid w:val="00A3712B"/>
    <w:rsid w:val="00A371FA"/>
    <w:rsid w:val="00A4028C"/>
    <w:rsid w:val="00A42BE2"/>
    <w:rsid w:val="00A54D45"/>
    <w:rsid w:val="00A563B4"/>
    <w:rsid w:val="00A565E6"/>
    <w:rsid w:val="00A6443E"/>
    <w:rsid w:val="00A66897"/>
    <w:rsid w:val="00A66D97"/>
    <w:rsid w:val="00A670E9"/>
    <w:rsid w:val="00A67324"/>
    <w:rsid w:val="00A702EC"/>
    <w:rsid w:val="00A735E8"/>
    <w:rsid w:val="00A81709"/>
    <w:rsid w:val="00A81B0C"/>
    <w:rsid w:val="00A8367C"/>
    <w:rsid w:val="00A90BD3"/>
    <w:rsid w:val="00A93566"/>
    <w:rsid w:val="00AA2781"/>
    <w:rsid w:val="00AA6FA2"/>
    <w:rsid w:val="00AB5406"/>
    <w:rsid w:val="00AC4CEB"/>
    <w:rsid w:val="00AC57A4"/>
    <w:rsid w:val="00AC6C92"/>
    <w:rsid w:val="00AD4FEF"/>
    <w:rsid w:val="00AD5647"/>
    <w:rsid w:val="00AD6734"/>
    <w:rsid w:val="00AE2AA5"/>
    <w:rsid w:val="00AF7F71"/>
    <w:rsid w:val="00B00BDA"/>
    <w:rsid w:val="00B03946"/>
    <w:rsid w:val="00B04BB7"/>
    <w:rsid w:val="00B05D41"/>
    <w:rsid w:val="00B07326"/>
    <w:rsid w:val="00B134C8"/>
    <w:rsid w:val="00B17C41"/>
    <w:rsid w:val="00B26882"/>
    <w:rsid w:val="00B34B4E"/>
    <w:rsid w:val="00B3726E"/>
    <w:rsid w:val="00B43C9E"/>
    <w:rsid w:val="00B44630"/>
    <w:rsid w:val="00B465C1"/>
    <w:rsid w:val="00B4756D"/>
    <w:rsid w:val="00B540E5"/>
    <w:rsid w:val="00B54BAD"/>
    <w:rsid w:val="00B56ACF"/>
    <w:rsid w:val="00B62654"/>
    <w:rsid w:val="00B65539"/>
    <w:rsid w:val="00B71DCC"/>
    <w:rsid w:val="00B74BEE"/>
    <w:rsid w:val="00B76798"/>
    <w:rsid w:val="00B807B6"/>
    <w:rsid w:val="00B909BA"/>
    <w:rsid w:val="00B92FF7"/>
    <w:rsid w:val="00B942BB"/>
    <w:rsid w:val="00BA08E2"/>
    <w:rsid w:val="00BA0CA2"/>
    <w:rsid w:val="00BA15E2"/>
    <w:rsid w:val="00BA21E8"/>
    <w:rsid w:val="00BB0F4E"/>
    <w:rsid w:val="00BB3455"/>
    <w:rsid w:val="00BB6894"/>
    <w:rsid w:val="00BC22CC"/>
    <w:rsid w:val="00BC434B"/>
    <w:rsid w:val="00BC6507"/>
    <w:rsid w:val="00BD4160"/>
    <w:rsid w:val="00BD4303"/>
    <w:rsid w:val="00BF4439"/>
    <w:rsid w:val="00C03AC8"/>
    <w:rsid w:val="00C0506F"/>
    <w:rsid w:val="00C07AC9"/>
    <w:rsid w:val="00C07DE9"/>
    <w:rsid w:val="00C12AE9"/>
    <w:rsid w:val="00C134AC"/>
    <w:rsid w:val="00C21EF6"/>
    <w:rsid w:val="00C47A2D"/>
    <w:rsid w:val="00C57C0B"/>
    <w:rsid w:val="00C61C80"/>
    <w:rsid w:val="00C67031"/>
    <w:rsid w:val="00C70D19"/>
    <w:rsid w:val="00C75A59"/>
    <w:rsid w:val="00C767BA"/>
    <w:rsid w:val="00C76C2E"/>
    <w:rsid w:val="00C819CF"/>
    <w:rsid w:val="00C8385D"/>
    <w:rsid w:val="00C92CD6"/>
    <w:rsid w:val="00CA236C"/>
    <w:rsid w:val="00CA7668"/>
    <w:rsid w:val="00CB7240"/>
    <w:rsid w:val="00CC5F92"/>
    <w:rsid w:val="00CC77DC"/>
    <w:rsid w:val="00CC7B05"/>
    <w:rsid w:val="00CD23F3"/>
    <w:rsid w:val="00CD5C49"/>
    <w:rsid w:val="00CD5CEA"/>
    <w:rsid w:val="00CD62BD"/>
    <w:rsid w:val="00CE3377"/>
    <w:rsid w:val="00CE3A79"/>
    <w:rsid w:val="00CE42FC"/>
    <w:rsid w:val="00CE7B96"/>
    <w:rsid w:val="00CF1E3E"/>
    <w:rsid w:val="00CF3CA0"/>
    <w:rsid w:val="00D00943"/>
    <w:rsid w:val="00D024AD"/>
    <w:rsid w:val="00D02A86"/>
    <w:rsid w:val="00D0488C"/>
    <w:rsid w:val="00D0494B"/>
    <w:rsid w:val="00D06355"/>
    <w:rsid w:val="00D07A09"/>
    <w:rsid w:val="00D106D1"/>
    <w:rsid w:val="00D15BD4"/>
    <w:rsid w:val="00D3259A"/>
    <w:rsid w:val="00D327D2"/>
    <w:rsid w:val="00D331C0"/>
    <w:rsid w:val="00D40C12"/>
    <w:rsid w:val="00D418BB"/>
    <w:rsid w:val="00D45038"/>
    <w:rsid w:val="00D50348"/>
    <w:rsid w:val="00D50B4B"/>
    <w:rsid w:val="00D55ABB"/>
    <w:rsid w:val="00D601EE"/>
    <w:rsid w:val="00D671D7"/>
    <w:rsid w:val="00D90444"/>
    <w:rsid w:val="00DA27DD"/>
    <w:rsid w:val="00DA4291"/>
    <w:rsid w:val="00DB2EEB"/>
    <w:rsid w:val="00DB66F5"/>
    <w:rsid w:val="00DC20D2"/>
    <w:rsid w:val="00DC2BA4"/>
    <w:rsid w:val="00DC3628"/>
    <w:rsid w:val="00DD4B42"/>
    <w:rsid w:val="00DF272A"/>
    <w:rsid w:val="00DF4ED6"/>
    <w:rsid w:val="00E00EF9"/>
    <w:rsid w:val="00E02145"/>
    <w:rsid w:val="00E027BD"/>
    <w:rsid w:val="00E06447"/>
    <w:rsid w:val="00E22315"/>
    <w:rsid w:val="00E237E0"/>
    <w:rsid w:val="00E253F8"/>
    <w:rsid w:val="00E25FEC"/>
    <w:rsid w:val="00E26A8A"/>
    <w:rsid w:val="00E30516"/>
    <w:rsid w:val="00E30733"/>
    <w:rsid w:val="00E32908"/>
    <w:rsid w:val="00E35127"/>
    <w:rsid w:val="00E417C9"/>
    <w:rsid w:val="00E430CD"/>
    <w:rsid w:val="00E4334E"/>
    <w:rsid w:val="00E43ADA"/>
    <w:rsid w:val="00E44D99"/>
    <w:rsid w:val="00E450B9"/>
    <w:rsid w:val="00E47AB3"/>
    <w:rsid w:val="00E50FC9"/>
    <w:rsid w:val="00E51532"/>
    <w:rsid w:val="00E535C5"/>
    <w:rsid w:val="00E53F04"/>
    <w:rsid w:val="00E57464"/>
    <w:rsid w:val="00E72A20"/>
    <w:rsid w:val="00E72CA4"/>
    <w:rsid w:val="00E74B06"/>
    <w:rsid w:val="00E75245"/>
    <w:rsid w:val="00E803F6"/>
    <w:rsid w:val="00E80D3D"/>
    <w:rsid w:val="00E819B0"/>
    <w:rsid w:val="00E82631"/>
    <w:rsid w:val="00E953E1"/>
    <w:rsid w:val="00EA4A31"/>
    <w:rsid w:val="00EA7CA9"/>
    <w:rsid w:val="00EB1266"/>
    <w:rsid w:val="00EB1E1E"/>
    <w:rsid w:val="00EB613A"/>
    <w:rsid w:val="00EB77A9"/>
    <w:rsid w:val="00EB7F30"/>
    <w:rsid w:val="00ED2A26"/>
    <w:rsid w:val="00ED31C5"/>
    <w:rsid w:val="00ED3492"/>
    <w:rsid w:val="00ED3AA9"/>
    <w:rsid w:val="00ED4E2E"/>
    <w:rsid w:val="00EE0327"/>
    <w:rsid w:val="00EE067D"/>
    <w:rsid w:val="00EE3EF9"/>
    <w:rsid w:val="00EE5D5F"/>
    <w:rsid w:val="00EE731E"/>
    <w:rsid w:val="00EF4541"/>
    <w:rsid w:val="00EF51E3"/>
    <w:rsid w:val="00EF53F3"/>
    <w:rsid w:val="00EF6D1A"/>
    <w:rsid w:val="00F017A4"/>
    <w:rsid w:val="00F041EC"/>
    <w:rsid w:val="00F10ABE"/>
    <w:rsid w:val="00F1268D"/>
    <w:rsid w:val="00F22207"/>
    <w:rsid w:val="00F2434C"/>
    <w:rsid w:val="00F336F9"/>
    <w:rsid w:val="00F35999"/>
    <w:rsid w:val="00F40EE3"/>
    <w:rsid w:val="00F414A6"/>
    <w:rsid w:val="00F438E9"/>
    <w:rsid w:val="00F44B90"/>
    <w:rsid w:val="00F47FA5"/>
    <w:rsid w:val="00F5382B"/>
    <w:rsid w:val="00F53EDE"/>
    <w:rsid w:val="00F5586E"/>
    <w:rsid w:val="00F57644"/>
    <w:rsid w:val="00F57BE5"/>
    <w:rsid w:val="00F62425"/>
    <w:rsid w:val="00F65252"/>
    <w:rsid w:val="00F652B3"/>
    <w:rsid w:val="00F66F98"/>
    <w:rsid w:val="00F70267"/>
    <w:rsid w:val="00F72EA9"/>
    <w:rsid w:val="00F75581"/>
    <w:rsid w:val="00F75D43"/>
    <w:rsid w:val="00F7712C"/>
    <w:rsid w:val="00F77336"/>
    <w:rsid w:val="00F854AD"/>
    <w:rsid w:val="00F9266A"/>
    <w:rsid w:val="00F9644B"/>
    <w:rsid w:val="00FA27F7"/>
    <w:rsid w:val="00FA399D"/>
    <w:rsid w:val="00FA54AB"/>
    <w:rsid w:val="00FB295A"/>
    <w:rsid w:val="00FC177D"/>
    <w:rsid w:val="00FC7CDB"/>
    <w:rsid w:val="00FD39A7"/>
    <w:rsid w:val="00FD4B54"/>
    <w:rsid w:val="00FD7183"/>
    <w:rsid w:val="00FE751A"/>
    <w:rsid w:val="00FE7995"/>
    <w:rsid w:val="00FF37C4"/>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34AC"/>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Nagwek2">
    <w:name w:val="heading 2"/>
    <w:basedOn w:val="Normalny"/>
    <w:next w:val="Normalny"/>
    <w:link w:val="Nagwek2Znak"/>
    <w:uiPriority w:val="9"/>
    <w:unhideWhenUsed/>
    <w:qFormat/>
    <w:rsid w:val="00C134AC"/>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8E2"/>
    <w:rPr>
      <w:rFonts w:ascii="Tahoma" w:hAnsi="Tahoma" w:cs="Tahoma"/>
      <w:sz w:val="16"/>
      <w:szCs w:val="16"/>
    </w:rPr>
  </w:style>
  <w:style w:type="table" w:styleId="Tabela-Siatka">
    <w:name w:val="Table Grid"/>
    <w:basedOn w:val="Standardowy"/>
    <w:uiPriority w:val="59"/>
    <w:rsid w:val="0004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0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D19"/>
  </w:style>
  <w:style w:type="paragraph" w:styleId="Stopka">
    <w:name w:val="footer"/>
    <w:basedOn w:val="Normalny"/>
    <w:link w:val="StopkaZnak"/>
    <w:uiPriority w:val="99"/>
    <w:unhideWhenUsed/>
    <w:rsid w:val="00C70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D19"/>
  </w:style>
  <w:style w:type="character" w:customStyle="1" w:styleId="Nagwek1Znak">
    <w:name w:val="Nagłówek 1 Znak"/>
    <w:basedOn w:val="Domylnaczcionkaakapitu"/>
    <w:link w:val="Nagwek1"/>
    <w:uiPriority w:val="9"/>
    <w:rsid w:val="00C134AC"/>
    <w:rPr>
      <w:rFonts w:asciiTheme="majorHAnsi" w:eastAsiaTheme="majorEastAsia" w:hAnsiTheme="majorHAnsi" w:cstheme="majorBidi"/>
      <w:b/>
      <w:bCs/>
      <w:color w:val="365F91" w:themeColor="accent1" w:themeShade="BF"/>
      <w:sz w:val="24"/>
      <w:szCs w:val="28"/>
    </w:rPr>
  </w:style>
  <w:style w:type="character" w:customStyle="1" w:styleId="Nagwek2Znak">
    <w:name w:val="Nagłówek 2 Znak"/>
    <w:basedOn w:val="Domylnaczcionkaakapitu"/>
    <w:link w:val="Nagwek2"/>
    <w:uiPriority w:val="9"/>
    <w:rsid w:val="00C134AC"/>
    <w:rPr>
      <w:rFonts w:asciiTheme="majorHAnsi" w:eastAsiaTheme="majorEastAsia" w:hAnsiTheme="majorHAnsi" w:cstheme="majorBidi"/>
      <w:b/>
      <w:bCs/>
      <w:color w:val="4F81BD" w:themeColor="accent1"/>
      <w:sz w:val="24"/>
      <w:szCs w:val="26"/>
    </w:rPr>
  </w:style>
  <w:style w:type="paragraph" w:styleId="Tytu">
    <w:name w:val="Title"/>
    <w:basedOn w:val="Normalny"/>
    <w:next w:val="Normalny"/>
    <w:link w:val="TytuZnak"/>
    <w:uiPriority w:val="10"/>
    <w:qFormat/>
    <w:rsid w:val="00C13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ytuZnak">
    <w:name w:val="Tytuł Znak"/>
    <w:basedOn w:val="Domylnaczcionkaakapitu"/>
    <w:link w:val="Tytu"/>
    <w:uiPriority w:val="10"/>
    <w:rsid w:val="00C134AC"/>
    <w:rPr>
      <w:rFonts w:asciiTheme="majorHAnsi" w:eastAsiaTheme="majorEastAsia" w:hAnsiTheme="majorHAnsi" w:cstheme="majorBidi"/>
      <w:color w:val="17365D" w:themeColor="text2" w:themeShade="BF"/>
      <w:spacing w:val="5"/>
      <w:kern w:val="28"/>
      <w:sz w:val="28"/>
      <w:szCs w:val="52"/>
    </w:rPr>
  </w:style>
  <w:style w:type="paragraph" w:styleId="Podtytu">
    <w:name w:val="Subtitle"/>
    <w:basedOn w:val="Normalny"/>
    <w:next w:val="Normalny"/>
    <w:link w:val="PodtytuZnak"/>
    <w:uiPriority w:val="11"/>
    <w:qFormat/>
    <w:rsid w:val="00C134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134AC"/>
    <w:rPr>
      <w:rFonts w:asciiTheme="majorHAnsi" w:eastAsiaTheme="majorEastAsia" w:hAnsiTheme="majorHAnsi" w:cstheme="majorBidi"/>
      <w:i/>
      <w:iCs/>
      <w:color w:val="4F81BD" w:themeColor="accent1"/>
      <w:spacing w:val="15"/>
      <w:sz w:val="24"/>
      <w:szCs w:val="24"/>
    </w:rPr>
  </w:style>
  <w:style w:type="paragraph" w:styleId="Legenda">
    <w:name w:val="caption"/>
    <w:basedOn w:val="Normalny"/>
    <w:next w:val="Normalny"/>
    <w:qFormat/>
    <w:rsid w:val="00852253"/>
    <w:pPr>
      <w:spacing w:after="0" w:line="240" w:lineRule="auto"/>
    </w:pPr>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4545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542"/>
    <w:rPr>
      <w:sz w:val="20"/>
      <w:szCs w:val="20"/>
    </w:rPr>
  </w:style>
  <w:style w:type="character" w:styleId="Odwoanieprzypisukocowego">
    <w:name w:val="endnote reference"/>
    <w:basedOn w:val="Domylnaczcionkaakapitu"/>
    <w:uiPriority w:val="99"/>
    <w:semiHidden/>
    <w:unhideWhenUsed/>
    <w:rsid w:val="004545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34AC"/>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Nagwek2">
    <w:name w:val="heading 2"/>
    <w:basedOn w:val="Normalny"/>
    <w:next w:val="Normalny"/>
    <w:link w:val="Nagwek2Znak"/>
    <w:uiPriority w:val="9"/>
    <w:unhideWhenUsed/>
    <w:qFormat/>
    <w:rsid w:val="00C134AC"/>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8E2"/>
    <w:rPr>
      <w:rFonts w:ascii="Tahoma" w:hAnsi="Tahoma" w:cs="Tahoma"/>
      <w:sz w:val="16"/>
      <w:szCs w:val="16"/>
    </w:rPr>
  </w:style>
  <w:style w:type="table" w:styleId="Tabela-Siatka">
    <w:name w:val="Table Grid"/>
    <w:basedOn w:val="Standardowy"/>
    <w:uiPriority w:val="59"/>
    <w:rsid w:val="0004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0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D19"/>
  </w:style>
  <w:style w:type="paragraph" w:styleId="Stopka">
    <w:name w:val="footer"/>
    <w:basedOn w:val="Normalny"/>
    <w:link w:val="StopkaZnak"/>
    <w:uiPriority w:val="99"/>
    <w:unhideWhenUsed/>
    <w:rsid w:val="00C70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D19"/>
  </w:style>
  <w:style w:type="character" w:customStyle="1" w:styleId="Nagwek1Znak">
    <w:name w:val="Nagłówek 1 Znak"/>
    <w:basedOn w:val="Domylnaczcionkaakapitu"/>
    <w:link w:val="Nagwek1"/>
    <w:uiPriority w:val="9"/>
    <w:rsid w:val="00C134AC"/>
    <w:rPr>
      <w:rFonts w:asciiTheme="majorHAnsi" w:eastAsiaTheme="majorEastAsia" w:hAnsiTheme="majorHAnsi" w:cstheme="majorBidi"/>
      <w:b/>
      <w:bCs/>
      <w:color w:val="365F91" w:themeColor="accent1" w:themeShade="BF"/>
      <w:sz w:val="24"/>
      <w:szCs w:val="28"/>
    </w:rPr>
  </w:style>
  <w:style w:type="character" w:customStyle="1" w:styleId="Nagwek2Znak">
    <w:name w:val="Nagłówek 2 Znak"/>
    <w:basedOn w:val="Domylnaczcionkaakapitu"/>
    <w:link w:val="Nagwek2"/>
    <w:uiPriority w:val="9"/>
    <w:rsid w:val="00C134AC"/>
    <w:rPr>
      <w:rFonts w:asciiTheme="majorHAnsi" w:eastAsiaTheme="majorEastAsia" w:hAnsiTheme="majorHAnsi" w:cstheme="majorBidi"/>
      <w:b/>
      <w:bCs/>
      <w:color w:val="4F81BD" w:themeColor="accent1"/>
      <w:sz w:val="24"/>
      <w:szCs w:val="26"/>
    </w:rPr>
  </w:style>
  <w:style w:type="paragraph" w:styleId="Tytu">
    <w:name w:val="Title"/>
    <w:basedOn w:val="Normalny"/>
    <w:next w:val="Normalny"/>
    <w:link w:val="TytuZnak"/>
    <w:uiPriority w:val="10"/>
    <w:qFormat/>
    <w:rsid w:val="00C13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ytuZnak">
    <w:name w:val="Tytuł Znak"/>
    <w:basedOn w:val="Domylnaczcionkaakapitu"/>
    <w:link w:val="Tytu"/>
    <w:uiPriority w:val="10"/>
    <w:rsid w:val="00C134AC"/>
    <w:rPr>
      <w:rFonts w:asciiTheme="majorHAnsi" w:eastAsiaTheme="majorEastAsia" w:hAnsiTheme="majorHAnsi" w:cstheme="majorBidi"/>
      <w:color w:val="17365D" w:themeColor="text2" w:themeShade="BF"/>
      <w:spacing w:val="5"/>
      <w:kern w:val="28"/>
      <w:sz w:val="28"/>
      <w:szCs w:val="52"/>
    </w:rPr>
  </w:style>
  <w:style w:type="paragraph" w:styleId="Podtytu">
    <w:name w:val="Subtitle"/>
    <w:basedOn w:val="Normalny"/>
    <w:next w:val="Normalny"/>
    <w:link w:val="PodtytuZnak"/>
    <w:uiPriority w:val="11"/>
    <w:qFormat/>
    <w:rsid w:val="00C134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134AC"/>
    <w:rPr>
      <w:rFonts w:asciiTheme="majorHAnsi" w:eastAsiaTheme="majorEastAsia" w:hAnsiTheme="majorHAnsi" w:cstheme="majorBidi"/>
      <w:i/>
      <w:iCs/>
      <w:color w:val="4F81BD" w:themeColor="accent1"/>
      <w:spacing w:val="15"/>
      <w:sz w:val="24"/>
      <w:szCs w:val="24"/>
    </w:rPr>
  </w:style>
  <w:style w:type="paragraph" w:styleId="Legenda">
    <w:name w:val="caption"/>
    <w:basedOn w:val="Normalny"/>
    <w:next w:val="Normalny"/>
    <w:qFormat/>
    <w:rsid w:val="00852253"/>
    <w:pPr>
      <w:spacing w:after="0" w:line="240" w:lineRule="auto"/>
    </w:pPr>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4545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542"/>
    <w:rPr>
      <w:sz w:val="20"/>
      <w:szCs w:val="20"/>
    </w:rPr>
  </w:style>
  <w:style w:type="character" w:styleId="Odwoanieprzypisukocowego">
    <w:name w:val="endnote reference"/>
    <w:basedOn w:val="Domylnaczcionkaakapitu"/>
    <w:uiPriority w:val="99"/>
    <w:semiHidden/>
    <w:unhideWhenUsed/>
    <w:rsid w:val="00454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287">
      <w:bodyDiv w:val="1"/>
      <w:marLeft w:val="0"/>
      <w:marRight w:val="0"/>
      <w:marTop w:val="0"/>
      <w:marBottom w:val="0"/>
      <w:divBdr>
        <w:top w:val="none" w:sz="0" w:space="0" w:color="auto"/>
        <w:left w:val="none" w:sz="0" w:space="0" w:color="auto"/>
        <w:bottom w:val="none" w:sz="0" w:space="0" w:color="auto"/>
        <w:right w:val="none" w:sz="0" w:space="0" w:color="auto"/>
      </w:divBdr>
    </w:div>
    <w:div w:id="336621392">
      <w:bodyDiv w:val="1"/>
      <w:marLeft w:val="0"/>
      <w:marRight w:val="0"/>
      <w:marTop w:val="0"/>
      <w:marBottom w:val="0"/>
      <w:divBdr>
        <w:top w:val="none" w:sz="0" w:space="0" w:color="auto"/>
        <w:left w:val="none" w:sz="0" w:space="0" w:color="auto"/>
        <w:bottom w:val="none" w:sz="0" w:space="0" w:color="auto"/>
        <w:right w:val="none" w:sz="0" w:space="0" w:color="auto"/>
      </w:divBdr>
    </w:div>
    <w:div w:id="352153218">
      <w:bodyDiv w:val="1"/>
      <w:marLeft w:val="0"/>
      <w:marRight w:val="0"/>
      <w:marTop w:val="0"/>
      <w:marBottom w:val="0"/>
      <w:divBdr>
        <w:top w:val="none" w:sz="0" w:space="0" w:color="auto"/>
        <w:left w:val="none" w:sz="0" w:space="0" w:color="auto"/>
        <w:bottom w:val="none" w:sz="0" w:space="0" w:color="auto"/>
        <w:right w:val="none" w:sz="0" w:space="0" w:color="auto"/>
      </w:divBdr>
    </w:div>
    <w:div w:id="772020202">
      <w:bodyDiv w:val="1"/>
      <w:marLeft w:val="0"/>
      <w:marRight w:val="0"/>
      <w:marTop w:val="0"/>
      <w:marBottom w:val="0"/>
      <w:divBdr>
        <w:top w:val="none" w:sz="0" w:space="0" w:color="auto"/>
        <w:left w:val="none" w:sz="0" w:space="0" w:color="auto"/>
        <w:bottom w:val="none" w:sz="0" w:space="0" w:color="auto"/>
        <w:right w:val="none" w:sz="0" w:space="0" w:color="auto"/>
      </w:divBdr>
    </w:div>
    <w:div w:id="918179439">
      <w:bodyDiv w:val="1"/>
      <w:marLeft w:val="0"/>
      <w:marRight w:val="0"/>
      <w:marTop w:val="0"/>
      <w:marBottom w:val="0"/>
      <w:divBdr>
        <w:top w:val="none" w:sz="0" w:space="0" w:color="auto"/>
        <w:left w:val="none" w:sz="0" w:space="0" w:color="auto"/>
        <w:bottom w:val="none" w:sz="0" w:space="0" w:color="auto"/>
        <w:right w:val="none" w:sz="0" w:space="0" w:color="auto"/>
      </w:divBdr>
    </w:div>
    <w:div w:id="1472096879">
      <w:bodyDiv w:val="1"/>
      <w:marLeft w:val="0"/>
      <w:marRight w:val="0"/>
      <w:marTop w:val="0"/>
      <w:marBottom w:val="0"/>
      <w:divBdr>
        <w:top w:val="none" w:sz="0" w:space="0" w:color="auto"/>
        <w:left w:val="none" w:sz="0" w:space="0" w:color="auto"/>
        <w:bottom w:val="none" w:sz="0" w:space="0" w:color="auto"/>
        <w:right w:val="none" w:sz="0" w:space="0" w:color="auto"/>
      </w:divBdr>
    </w:div>
    <w:div w:id="1762481258">
      <w:bodyDiv w:val="1"/>
      <w:marLeft w:val="0"/>
      <w:marRight w:val="0"/>
      <w:marTop w:val="0"/>
      <w:marBottom w:val="0"/>
      <w:divBdr>
        <w:top w:val="none" w:sz="0" w:space="0" w:color="auto"/>
        <w:left w:val="none" w:sz="0" w:space="0" w:color="auto"/>
        <w:bottom w:val="none" w:sz="0" w:space="0" w:color="auto"/>
        <w:right w:val="none" w:sz="0" w:space="0" w:color="auto"/>
      </w:divBdr>
    </w:div>
    <w:div w:id="1797259473">
      <w:bodyDiv w:val="1"/>
      <w:marLeft w:val="0"/>
      <w:marRight w:val="0"/>
      <w:marTop w:val="0"/>
      <w:marBottom w:val="0"/>
      <w:divBdr>
        <w:top w:val="none" w:sz="0" w:space="0" w:color="auto"/>
        <w:left w:val="none" w:sz="0" w:space="0" w:color="auto"/>
        <w:bottom w:val="none" w:sz="0" w:space="0" w:color="auto"/>
        <w:right w:val="none" w:sz="0" w:space="0" w:color="auto"/>
      </w:divBdr>
    </w:div>
    <w:div w:id="21372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59006211180125"/>
          <c:y val="4.6610169491525424E-2"/>
          <c:w val="0.89751552795031053"/>
          <c:h val="0.63135593220338981"/>
        </c:manualLayout>
      </c:layout>
      <c:lineChart>
        <c:grouping val="standard"/>
        <c:varyColors val="0"/>
        <c:ser>
          <c:idx val="0"/>
          <c:order val="0"/>
          <c:tx>
            <c:strRef>
              <c:f>Sheet1!$B$1</c:f>
              <c:strCache>
                <c:ptCount val="1"/>
                <c:pt idx="0">
                  <c:v>Sto</c:v>
                </c:pt>
              </c:strCache>
            </c:strRef>
          </c:tx>
          <c:spPr>
            <a:ln w="19039">
              <a:solidFill>
                <a:srgbClr val="0000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Sheet1!$B$2:$B$26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smooth val="1"/>
          <c:extLst xmlns:c16r2="http://schemas.microsoft.com/office/drawing/2015/06/chart">
            <c:ext xmlns:c16="http://schemas.microsoft.com/office/drawing/2014/chart" uri="{C3380CC4-5D6E-409C-BE32-E72D297353CC}">
              <c16:uniqueId val="{00000000-2BD8-4A6F-9F3F-E55019806094}"/>
            </c:ext>
          </c:extLst>
        </c:ser>
        <c:ser>
          <c:idx val="1"/>
          <c:order val="1"/>
          <c:tx>
            <c:strRef>
              <c:f>Sheet1!$C$1</c:f>
              <c:strCache>
                <c:ptCount val="1"/>
                <c:pt idx="0">
                  <c:v>Potencjalny popyt</c:v>
                </c:pt>
              </c:strCache>
            </c:strRef>
          </c:tx>
          <c:spPr>
            <a:ln w="19039">
              <a:solidFill>
                <a:srgbClr val="00FF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Sheet1!$C$2:$C$26</c:f>
              <c:numCache>
                <c:formatCode>General</c:formatCode>
                <c:ptCount val="25"/>
                <c:pt idx="0">
                  <c:v>101.1</c:v>
                </c:pt>
                <c:pt idx="1">
                  <c:v>100</c:v>
                </c:pt>
                <c:pt idx="2">
                  <c:v>100.4</c:v>
                </c:pt>
                <c:pt idx="3">
                  <c:v>101.4</c:v>
                </c:pt>
                <c:pt idx="4">
                  <c:v>99.7</c:v>
                </c:pt>
                <c:pt idx="5">
                  <c:v>100</c:v>
                </c:pt>
                <c:pt idx="6">
                  <c:v>99.9</c:v>
                </c:pt>
                <c:pt idx="7">
                  <c:v>101.2</c:v>
                </c:pt>
                <c:pt idx="8">
                  <c:v>101</c:v>
                </c:pt>
                <c:pt idx="9">
                  <c:v>99.7</c:v>
                </c:pt>
                <c:pt idx="10">
                  <c:v>101.1</c:v>
                </c:pt>
                <c:pt idx="11">
                  <c:v>101.2</c:v>
                </c:pt>
                <c:pt idx="12">
                  <c:v>101.1</c:v>
                </c:pt>
                <c:pt idx="13">
                  <c:v>99.4</c:v>
                </c:pt>
                <c:pt idx="14">
                  <c:v>100.2</c:v>
                </c:pt>
                <c:pt idx="15">
                  <c:v>100.8</c:v>
                </c:pt>
                <c:pt idx="16">
                  <c:v>100</c:v>
                </c:pt>
                <c:pt idx="17">
                  <c:v>100.1</c:v>
                </c:pt>
                <c:pt idx="18">
                  <c:v>100</c:v>
                </c:pt>
                <c:pt idx="19">
                  <c:v>101.1</c:v>
                </c:pt>
                <c:pt idx="20">
                  <c:v>100.9</c:v>
                </c:pt>
                <c:pt idx="21">
                  <c:v>100.1</c:v>
                </c:pt>
                <c:pt idx="22">
                  <c:v>100.7</c:v>
                </c:pt>
                <c:pt idx="23">
                  <c:v>101</c:v>
                </c:pt>
                <c:pt idx="24">
                  <c:v>101.2</c:v>
                </c:pt>
              </c:numCache>
            </c:numRef>
          </c:val>
          <c:smooth val="1"/>
          <c:extLst xmlns:c16r2="http://schemas.microsoft.com/office/drawing/2015/06/chart">
            <c:ext xmlns:c16="http://schemas.microsoft.com/office/drawing/2014/chart" uri="{C3380CC4-5D6E-409C-BE32-E72D297353CC}">
              <c16:uniqueId val="{00000001-2BD8-4A6F-9F3F-E55019806094}"/>
            </c:ext>
          </c:extLst>
        </c:ser>
        <c:ser>
          <c:idx val="2"/>
          <c:order val="2"/>
          <c:tx>
            <c:strRef>
              <c:f>Sheet1!$D$1</c:f>
              <c:strCache>
                <c:ptCount val="1"/>
                <c:pt idx="0">
                  <c:v>Nożyce cen</c:v>
                </c:pt>
              </c:strCache>
            </c:strRef>
          </c:tx>
          <c:spPr>
            <a:ln w="19039">
              <a:solidFill>
                <a:srgbClr val="FF00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Sheet1!$D$2:$D$26</c:f>
              <c:numCache>
                <c:formatCode>General</c:formatCode>
                <c:ptCount val="25"/>
                <c:pt idx="0">
                  <c:v>98</c:v>
                </c:pt>
                <c:pt idx="1">
                  <c:v>98.6</c:v>
                </c:pt>
                <c:pt idx="2">
                  <c:v>99.2</c:v>
                </c:pt>
                <c:pt idx="3">
                  <c:v>99.8</c:v>
                </c:pt>
                <c:pt idx="4">
                  <c:v>99.9</c:v>
                </c:pt>
                <c:pt idx="5">
                  <c:v>99.6</c:v>
                </c:pt>
                <c:pt idx="6">
                  <c:v>99.7</c:v>
                </c:pt>
                <c:pt idx="7">
                  <c:v>99.7</c:v>
                </c:pt>
                <c:pt idx="8">
                  <c:v>99.3</c:v>
                </c:pt>
                <c:pt idx="9">
                  <c:v>99.2</c:v>
                </c:pt>
                <c:pt idx="10">
                  <c:v>99.6</c:v>
                </c:pt>
                <c:pt idx="11">
                  <c:v>99.9</c:v>
                </c:pt>
                <c:pt idx="12">
                  <c:v>99.6</c:v>
                </c:pt>
                <c:pt idx="13">
                  <c:v>99.5</c:v>
                </c:pt>
                <c:pt idx="14">
                  <c:v>99.7</c:v>
                </c:pt>
                <c:pt idx="15">
                  <c:v>99.5</c:v>
                </c:pt>
                <c:pt idx="16">
                  <c:v>99.4</c:v>
                </c:pt>
                <c:pt idx="17">
                  <c:v>99.9</c:v>
                </c:pt>
                <c:pt idx="18">
                  <c:v>100.2</c:v>
                </c:pt>
                <c:pt idx="19">
                  <c:v>100.4</c:v>
                </c:pt>
                <c:pt idx="20">
                  <c:v>100.4</c:v>
                </c:pt>
                <c:pt idx="21">
                  <c:v>100.7</c:v>
                </c:pt>
                <c:pt idx="22">
                  <c:v>100.7</c:v>
                </c:pt>
                <c:pt idx="23">
                  <c:v>100.8</c:v>
                </c:pt>
                <c:pt idx="24">
                  <c:v>100.6</c:v>
                </c:pt>
              </c:numCache>
            </c:numRef>
          </c:val>
          <c:smooth val="1"/>
          <c:extLst xmlns:c16r2="http://schemas.microsoft.com/office/drawing/2015/06/chart">
            <c:ext xmlns:c16="http://schemas.microsoft.com/office/drawing/2014/chart" uri="{C3380CC4-5D6E-409C-BE32-E72D297353CC}">
              <c16:uniqueId val="{00000002-2BD8-4A6F-9F3F-E55019806094}"/>
            </c:ext>
          </c:extLst>
        </c:ser>
        <c:ser>
          <c:idx val="3"/>
          <c:order val="3"/>
          <c:tx>
            <c:strRef>
              <c:f>Sheet1!$E$1</c:f>
              <c:strCache>
                <c:ptCount val="1"/>
                <c:pt idx="0">
                  <c:v>SWKR</c:v>
                </c:pt>
              </c:strCache>
            </c:strRef>
          </c:tx>
          <c:spPr>
            <a:ln w="19039">
              <a:solidFill>
                <a:srgbClr val="0000FF"/>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Sheet1!$E$2:$E$26</c:f>
              <c:numCache>
                <c:formatCode>General</c:formatCode>
                <c:ptCount val="25"/>
                <c:pt idx="0">
                  <c:v>99.6</c:v>
                </c:pt>
                <c:pt idx="1">
                  <c:v>99.3</c:v>
                </c:pt>
                <c:pt idx="2">
                  <c:v>99.8</c:v>
                </c:pt>
                <c:pt idx="3">
                  <c:v>100.6</c:v>
                </c:pt>
                <c:pt idx="4">
                  <c:v>99.8</c:v>
                </c:pt>
                <c:pt idx="5">
                  <c:v>99.8</c:v>
                </c:pt>
                <c:pt idx="6">
                  <c:v>99.8</c:v>
                </c:pt>
                <c:pt idx="7">
                  <c:v>100.5</c:v>
                </c:pt>
                <c:pt idx="8">
                  <c:v>100.1</c:v>
                </c:pt>
                <c:pt idx="9">
                  <c:v>99.5</c:v>
                </c:pt>
                <c:pt idx="10">
                  <c:v>100.4</c:v>
                </c:pt>
                <c:pt idx="11">
                  <c:v>100.5</c:v>
                </c:pt>
                <c:pt idx="12">
                  <c:v>100.4</c:v>
                </c:pt>
                <c:pt idx="13">
                  <c:v>99.5</c:v>
                </c:pt>
                <c:pt idx="14">
                  <c:v>100</c:v>
                </c:pt>
                <c:pt idx="15">
                  <c:v>100.2</c:v>
                </c:pt>
                <c:pt idx="16">
                  <c:v>99.7</c:v>
                </c:pt>
                <c:pt idx="17">
                  <c:v>100</c:v>
                </c:pt>
                <c:pt idx="18">
                  <c:v>100.1</c:v>
                </c:pt>
                <c:pt idx="19">
                  <c:v>100.8</c:v>
                </c:pt>
                <c:pt idx="20">
                  <c:v>100.6</c:v>
                </c:pt>
                <c:pt idx="21">
                  <c:v>100.4</c:v>
                </c:pt>
                <c:pt idx="22">
                  <c:v>100.7</c:v>
                </c:pt>
                <c:pt idx="23">
                  <c:v>100.9</c:v>
                </c:pt>
                <c:pt idx="24">
                  <c:v>100.9</c:v>
                </c:pt>
              </c:numCache>
            </c:numRef>
          </c:val>
          <c:smooth val="1"/>
          <c:extLst xmlns:c16r2="http://schemas.microsoft.com/office/drawing/2015/06/chart">
            <c:ext xmlns:c16="http://schemas.microsoft.com/office/drawing/2014/chart" uri="{C3380CC4-5D6E-409C-BE32-E72D297353CC}">
              <c16:uniqueId val="{00000003-2BD8-4A6F-9F3F-E55019806094}"/>
            </c:ext>
          </c:extLst>
        </c:ser>
        <c:ser>
          <c:idx val="10"/>
          <c:order val="4"/>
          <c:tx>
            <c:strRef>
              <c:f>Sheet1!$L$1</c:f>
              <c:strCache>
                <c:ptCount val="1"/>
              </c:strCache>
            </c:strRef>
          </c:tx>
          <c:spPr>
            <a:ln w="9519">
              <a:solidFill>
                <a:srgbClr val="CCFFCC"/>
              </a:solidFill>
              <a:prstDash val="solid"/>
            </a:ln>
          </c:spPr>
          <c:marker>
            <c:symbol val="square"/>
            <c:size val="3"/>
            <c:spPr>
              <a:solidFill>
                <a:srgbClr val="CCFFCC"/>
              </a:solidFill>
              <a:ln>
                <a:solidFill>
                  <a:srgbClr val="CCFFCC"/>
                </a:solidFill>
                <a:prstDash val="solid"/>
              </a:ln>
            </c:spPr>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Sheet1!$L$2:$L$26</c:f>
              <c:numCache>
                <c:formatCode>General</c:formatCode>
                <c:ptCount val="25"/>
              </c:numCache>
            </c:numRef>
          </c:val>
          <c:smooth val="0"/>
          <c:extLst xmlns:c16r2="http://schemas.microsoft.com/office/drawing/2015/06/chart">
            <c:ext xmlns:c16="http://schemas.microsoft.com/office/drawing/2014/chart" uri="{C3380CC4-5D6E-409C-BE32-E72D297353CC}">
              <c16:uniqueId val="{00000004-2BD8-4A6F-9F3F-E55019806094}"/>
            </c:ext>
          </c:extLst>
        </c:ser>
        <c:dLbls>
          <c:showLegendKey val="0"/>
          <c:showVal val="0"/>
          <c:showCatName val="0"/>
          <c:showSerName val="0"/>
          <c:showPercent val="0"/>
          <c:showBubbleSize val="0"/>
        </c:dLbls>
        <c:marker val="1"/>
        <c:smooth val="0"/>
        <c:axId val="146595840"/>
        <c:axId val="146597760"/>
      </c:lineChart>
      <c:catAx>
        <c:axId val="146595840"/>
        <c:scaling>
          <c:orientation val="minMax"/>
        </c:scaling>
        <c:delete val="0"/>
        <c:axPos val="b"/>
        <c:numFmt formatCode="General" sourceLinked="1"/>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pl-PL"/>
          </a:p>
        </c:txPr>
        <c:crossAx val="146597760"/>
        <c:crosses val="autoZero"/>
        <c:auto val="1"/>
        <c:lblAlgn val="ctr"/>
        <c:lblOffset val="100"/>
        <c:tickLblSkip val="2"/>
        <c:tickMarkSkip val="2"/>
        <c:noMultiLvlLbl val="0"/>
      </c:catAx>
      <c:valAx>
        <c:axId val="146597760"/>
        <c:scaling>
          <c:orientation val="minMax"/>
          <c:max val="103"/>
          <c:min val="97"/>
        </c:scaling>
        <c:delete val="0"/>
        <c:axPos val="l"/>
        <c:numFmt formatCode="General" sourceLinked="1"/>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pl-PL"/>
          </a:p>
        </c:txPr>
        <c:crossAx val="146595840"/>
        <c:crosses val="autoZero"/>
        <c:crossBetween val="between"/>
        <c:majorUnit val="1"/>
      </c:valAx>
      <c:spPr>
        <a:noFill/>
        <a:ln w="19039">
          <a:noFill/>
        </a:ln>
      </c:spPr>
    </c:plotArea>
    <c:legend>
      <c:legendPos val="b"/>
      <c:legendEntry>
        <c:idx val="4"/>
        <c:delete val="1"/>
      </c:legendEntry>
      <c:layout>
        <c:manualLayout>
          <c:xMode val="edge"/>
          <c:yMode val="edge"/>
          <c:x val="9.0062111801242239E-2"/>
          <c:y val="0.86016949152542377"/>
          <c:w val="0.90993788819875776"/>
          <c:h val="0.1440677966101695"/>
        </c:manualLayout>
      </c:layout>
      <c:overlay val="0"/>
      <c:spPr>
        <a:noFill/>
        <a:ln w="19039">
          <a:noFill/>
        </a:ln>
      </c:spPr>
      <c:txPr>
        <a:bodyPr/>
        <a:lstStyle/>
        <a:p>
          <a:pPr>
            <a:defRPr sz="551"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637" b="1"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783281733746126E-2"/>
          <c:y val="4.6610169491525424E-2"/>
          <c:w val="0.90402476780185759"/>
          <c:h val="0.63559322033898302"/>
        </c:manualLayout>
      </c:layout>
      <c:lineChart>
        <c:grouping val="standard"/>
        <c:varyColors val="0"/>
        <c:ser>
          <c:idx val="1"/>
          <c:order val="0"/>
          <c:tx>
            <c:strRef>
              <c:f>Sheet1!$B$1</c:f>
              <c:strCache>
                <c:ptCount val="1"/>
                <c:pt idx="0">
                  <c:v>Sto</c:v>
                </c:pt>
              </c:strCache>
            </c:strRef>
          </c:tx>
          <c:spPr>
            <a:ln w="25297">
              <a:solidFill>
                <a:srgbClr val="0000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Sheet1!$B$2:$B$26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smooth val="1"/>
          <c:extLst xmlns:c16r2="http://schemas.microsoft.com/office/drawing/2015/06/chart">
            <c:ext xmlns:c16="http://schemas.microsoft.com/office/drawing/2014/chart" uri="{C3380CC4-5D6E-409C-BE32-E72D297353CC}">
              <c16:uniqueId val="{00000000-9F5A-40EE-AD4B-29CDADBBF7D0}"/>
            </c:ext>
          </c:extLst>
        </c:ser>
        <c:ser>
          <c:idx val="2"/>
          <c:order val="1"/>
          <c:tx>
            <c:strRef>
              <c:f>Sheet1!$C$1</c:f>
              <c:strCache>
                <c:ptCount val="1"/>
                <c:pt idx="0">
                  <c:v>Inflacja</c:v>
                </c:pt>
              </c:strCache>
            </c:strRef>
          </c:tx>
          <c:spPr>
            <a:ln w="25297">
              <a:solidFill>
                <a:srgbClr val="FF00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Sheet1!$C$2:$C$26</c:f>
              <c:numCache>
                <c:formatCode>General</c:formatCode>
                <c:ptCount val="25"/>
                <c:pt idx="0">
                  <c:v>99.8</c:v>
                </c:pt>
                <c:pt idx="1">
                  <c:v>99.8</c:v>
                </c:pt>
                <c:pt idx="2">
                  <c:v>99.8</c:v>
                </c:pt>
                <c:pt idx="3">
                  <c:v>99.9</c:v>
                </c:pt>
                <c:pt idx="4">
                  <c:v>100</c:v>
                </c:pt>
                <c:pt idx="5">
                  <c:v>100</c:v>
                </c:pt>
                <c:pt idx="6">
                  <c:v>100.1</c:v>
                </c:pt>
                <c:pt idx="7">
                  <c:v>100.1</c:v>
                </c:pt>
                <c:pt idx="8">
                  <c:v>100</c:v>
                </c:pt>
                <c:pt idx="9">
                  <c:v>99.9</c:v>
                </c:pt>
                <c:pt idx="10">
                  <c:v>99.9</c:v>
                </c:pt>
                <c:pt idx="11">
                  <c:v>99.9</c:v>
                </c:pt>
                <c:pt idx="12">
                  <c:v>99.8</c:v>
                </c:pt>
                <c:pt idx="13">
                  <c:v>99.8</c:v>
                </c:pt>
                <c:pt idx="14">
                  <c:v>99.8</c:v>
                </c:pt>
                <c:pt idx="15">
                  <c:v>99.9</c:v>
                </c:pt>
                <c:pt idx="16">
                  <c:v>99.9</c:v>
                </c:pt>
                <c:pt idx="17">
                  <c:v>100</c:v>
                </c:pt>
                <c:pt idx="18">
                  <c:v>100</c:v>
                </c:pt>
                <c:pt idx="19">
                  <c:v>100.1</c:v>
                </c:pt>
                <c:pt idx="20">
                  <c:v>100</c:v>
                </c:pt>
                <c:pt idx="21">
                  <c:v>100</c:v>
                </c:pt>
                <c:pt idx="22">
                  <c:v>100.1</c:v>
                </c:pt>
                <c:pt idx="23">
                  <c:v>100.1</c:v>
                </c:pt>
                <c:pt idx="24">
                  <c:v>100.1</c:v>
                </c:pt>
              </c:numCache>
            </c:numRef>
          </c:val>
          <c:smooth val="1"/>
          <c:extLst xmlns:c16r2="http://schemas.microsoft.com/office/drawing/2015/06/chart">
            <c:ext xmlns:c16="http://schemas.microsoft.com/office/drawing/2014/chart" uri="{C3380CC4-5D6E-409C-BE32-E72D297353CC}">
              <c16:uniqueId val="{00000001-9F5A-40EE-AD4B-29CDADBBF7D0}"/>
            </c:ext>
          </c:extLst>
        </c:ser>
        <c:ser>
          <c:idx val="3"/>
          <c:order val="2"/>
          <c:tx>
            <c:strRef>
              <c:f>Sheet1!$D$1</c:f>
              <c:strCache>
                <c:ptCount val="1"/>
                <c:pt idx="0">
                  <c:v>Żywność</c:v>
                </c:pt>
              </c:strCache>
            </c:strRef>
          </c:tx>
          <c:spPr>
            <a:ln w="25297">
              <a:solidFill>
                <a:srgbClr val="00FF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Sheet1!$D$2:$D$26</c:f>
              <c:numCache>
                <c:formatCode>General</c:formatCode>
                <c:ptCount val="25"/>
                <c:pt idx="0">
                  <c:v>99.5</c:v>
                </c:pt>
                <c:pt idx="1">
                  <c:v>99.7</c:v>
                </c:pt>
                <c:pt idx="2">
                  <c:v>99.9</c:v>
                </c:pt>
                <c:pt idx="3">
                  <c:v>100.1</c:v>
                </c:pt>
                <c:pt idx="4">
                  <c:v>100.2</c:v>
                </c:pt>
                <c:pt idx="5">
                  <c:v>100.2</c:v>
                </c:pt>
                <c:pt idx="6">
                  <c:v>100.2</c:v>
                </c:pt>
                <c:pt idx="7">
                  <c:v>99.9</c:v>
                </c:pt>
                <c:pt idx="8">
                  <c:v>99.8</c:v>
                </c:pt>
                <c:pt idx="9">
                  <c:v>99.9</c:v>
                </c:pt>
                <c:pt idx="10">
                  <c:v>99.9</c:v>
                </c:pt>
                <c:pt idx="11">
                  <c:v>99.8</c:v>
                </c:pt>
                <c:pt idx="12">
                  <c:v>99.8</c:v>
                </c:pt>
                <c:pt idx="13">
                  <c:v>100.2</c:v>
                </c:pt>
                <c:pt idx="14">
                  <c:v>100.3</c:v>
                </c:pt>
                <c:pt idx="15">
                  <c:v>100.3</c:v>
                </c:pt>
                <c:pt idx="16">
                  <c:v>100.3</c:v>
                </c:pt>
                <c:pt idx="17">
                  <c:v>100.3</c:v>
                </c:pt>
                <c:pt idx="18">
                  <c:v>100.4</c:v>
                </c:pt>
                <c:pt idx="19">
                  <c:v>100</c:v>
                </c:pt>
                <c:pt idx="20">
                  <c:v>99.9</c:v>
                </c:pt>
                <c:pt idx="21">
                  <c:v>99.8</c:v>
                </c:pt>
                <c:pt idx="22">
                  <c:v>99.8</c:v>
                </c:pt>
                <c:pt idx="23">
                  <c:v>99.9</c:v>
                </c:pt>
                <c:pt idx="24">
                  <c:v>100</c:v>
                </c:pt>
              </c:numCache>
            </c:numRef>
          </c:val>
          <c:smooth val="1"/>
          <c:extLst xmlns:c16r2="http://schemas.microsoft.com/office/drawing/2015/06/chart">
            <c:ext xmlns:c16="http://schemas.microsoft.com/office/drawing/2014/chart" uri="{C3380CC4-5D6E-409C-BE32-E72D297353CC}">
              <c16:uniqueId val="{00000002-9F5A-40EE-AD4B-29CDADBBF7D0}"/>
            </c:ext>
          </c:extLst>
        </c:ser>
        <c:ser>
          <c:idx val="4"/>
          <c:order val="3"/>
          <c:tx>
            <c:strRef>
              <c:f>Sheet1!$E$1</c:f>
              <c:strCache>
                <c:ptCount val="1"/>
                <c:pt idx="0">
                  <c:v>Wynagrodzenia</c:v>
                </c:pt>
              </c:strCache>
            </c:strRef>
          </c:tx>
          <c:spPr>
            <a:ln w="25297">
              <a:solidFill>
                <a:srgbClr val="0000FF"/>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Sheet1!$E$2:$E$26</c:f>
              <c:numCache>
                <c:formatCode>General</c:formatCode>
                <c:ptCount val="25"/>
                <c:pt idx="0">
                  <c:v>101.9</c:v>
                </c:pt>
                <c:pt idx="1">
                  <c:v>100.1</c:v>
                </c:pt>
                <c:pt idx="2">
                  <c:v>100.6</c:v>
                </c:pt>
                <c:pt idx="3">
                  <c:v>101.4</c:v>
                </c:pt>
                <c:pt idx="4">
                  <c:v>100.7</c:v>
                </c:pt>
                <c:pt idx="5">
                  <c:v>100.1</c:v>
                </c:pt>
                <c:pt idx="6">
                  <c:v>98.7</c:v>
                </c:pt>
                <c:pt idx="7">
                  <c:v>100.6</c:v>
                </c:pt>
                <c:pt idx="8">
                  <c:v>100.2</c:v>
                </c:pt>
                <c:pt idx="9">
                  <c:v>99.4</c:v>
                </c:pt>
                <c:pt idx="10">
                  <c:v>100</c:v>
                </c:pt>
                <c:pt idx="11">
                  <c:v>100.7</c:v>
                </c:pt>
                <c:pt idx="12">
                  <c:v>101.9</c:v>
                </c:pt>
                <c:pt idx="13">
                  <c:v>100.2</c:v>
                </c:pt>
                <c:pt idx="14">
                  <c:v>100.6</c:v>
                </c:pt>
                <c:pt idx="15">
                  <c:v>101.3</c:v>
                </c:pt>
                <c:pt idx="16">
                  <c:v>101</c:v>
                </c:pt>
                <c:pt idx="17">
                  <c:v>100.2</c:v>
                </c:pt>
                <c:pt idx="18">
                  <c:v>99.1</c:v>
                </c:pt>
                <c:pt idx="19">
                  <c:v>100.8</c:v>
                </c:pt>
                <c:pt idx="20">
                  <c:v>100.4</c:v>
                </c:pt>
                <c:pt idx="21">
                  <c:v>99.5</c:v>
                </c:pt>
                <c:pt idx="22">
                  <c:v>99.8</c:v>
                </c:pt>
                <c:pt idx="23">
                  <c:v>100.7</c:v>
                </c:pt>
                <c:pt idx="24">
                  <c:v>101.9</c:v>
                </c:pt>
              </c:numCache>
            </c:numRef>
          </c:val>
          <c:smooth val="1"/>
          <c:extLst xmlns:c16r2="http://schemas.microsoft.com/office/drawing/2015/06/chart">
            <c:ext xmlns:c16="http://schemas.microsoft.com/office/drawing/2014/chart" uri="{C3380CC4-5D6E-409C-BE32-E72D297353CC}">
              <c16:uniqueId val="{00000003-9F5A-40EE-AD4B-29CDADBBF7D0}"/>
            </c:ext>
          </c:extLst>
        </c:ser>
        <c:dLbls>
          <c:showLegendKey val="0"/>
          <c:showVal val="0"/>
          <c:showCatName val="0"/>
          <c:showSerName val="0"/>
          <c:showPercent val="0"/>
          <c:showBubbleSize val="0"/>
        </c:dLbls>
        <c:marker val="1"/>
        <c:smooth val="0"/>
        <c:axId val="147003264"/>
        <c:axId val="147004800"/>
      </c:lineChart>
      <c:catAx>
        <c:axId val="147003264"/>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pl-PL"/>
          </a:p>
        </c:txPr>
        <c:crossAx val="147004800"/>
        <c:crosses val="autoZero"/>
        <c:auto val="1"/>
        <c:lblAlgn val="ctr"/>
        <c:lblOffset val="100"/>
        <c:tickLblSkip val="2"/>
        <c:tickMarkSkip val="2"/>
        <c:noMultiLvlLbl val="0"/>
      </c:catAx>
      <c:valAx>
        <c:axId val="147004800"/>
        <c:scaling>
          <c:orientation val="minMax"/>
          <c:max val="103"/>
          <c:min val="97"/>
        </c:scaling>
        <c:delete val="0"/>
        <c:axPos val="l"/>
        <c:numFmt formatCode="General" sourceLinked="1"/>
        <c:majorTickMark val="out"/>
        <c:minorTickMark val="none"/>
        <c:tickLblPos val="nextTo"/>
        <c:spPr>
          <a:ln w="316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pl-PL"/>
          </a:p>
        </c:txPr>
        <c:crossAx val="147003264"/>
        <c:crosses val="autoZero"/>
        <c:crossBetween val="between"/>
        <c:majorUnit val="1"/>
      </c:valAx>
      <c:spPr>
        <a:noFill/>
        <a:ln w="25297">
          <a:noFill/>
        </a:ln>
      </c:spPr>
    </c:plotArea>
    <c:legend>
      <c:legendPos val="r"/>
      <c:layout>
        <c:manualLayout>
          <c:xMode val="edge"/>
          <c:yMode val="edge"/>
          <c:x val="8.3591331269349839E-2"/>
          <c:y val="0.86016949152542377"/>
          <c:w val="0.88854489164086692"/>
          <c:h val="0.13983050847457626"/>
        </c:manualLayout>
      </c:layout>
      <c:overlay val="0"/>
      <c:spPr>
        <a:noFill/>
        <a:ln w="25297">
          <a:noFill/>
        </a:ln>
      </c:spPr>
      <c:txPr>
        <a:bodyPr/>
        <a:lstStyle/>
        <a:p>
          <a:pPr>
            <a:defRPr sz="732"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797" b="1"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624999999999997E-2"/>
          <c:y val="0.05"/>
          <c:w val="0.90312499999999996"/>
          <c:h val="0.63181818181818183"/>
        </c:manualLayout>
      </c:layout>
      <c:lineChart>
        <c:grouping val="standard"/>
        <c:varyColors val="0"/>
        <c:ser>
          <c:idx val="1"/>
          <c:order val="0"/>
          <c:tx>
            <c:strRef>
              <c:f>Sheet1!$B$1</c:f>
              <c:strCache>
                <c:ptCount val="1"/>
                <c:pt idx="0">
                  <c:v>Sto</c:v>
                </c:pt>
              </c:strCache>
            </c:strRef>
          </c:tx>
          <c:spPr>
            <a:ln w="19040">
              <a:solidFill>
                <a:srgbClr val="0000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Sheet1!$B$2:$B$26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smooth val="1"/>
          <c:extLst xmlns:c16r2="http://schemas.microsoft.com/office/drawing/2015/06/chart">
            <c:ext xmlns:c16="http://schemas.microsoft.com/office/drawing/2014/chart" uri="{C3380CC4-5D6E-409C-BE32-E72D297353CC}">
              <c16:uniqueId val="{00000000-5238-4E2F-9988-BF5C5165CA15}"/>
            </c:ext>
          </c:extLst>
        </c:ser>
        <c:ser>
          <c:idx val="2"/>
          <c:order val="1"/>
          <c:tx>
            <c:strRef>
              <c:f>Sheet1!$C$1</c:f>
              <c:strCache>
                <c:ptCount val="1"/>
                <c:pt idx="0">
                  <c:v>Cen środ. produkcji</c:v>
                </c:pt>
              </c:strCache>
            </c:strRef>
          </c:tx>
          <c:spPr>
            <a:ln w="19040">
              <a:solidFill>
                <a:srgbClr val="FF0000"/>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Sheet1!$C$2:$C$26</c:f>
              <c:numCache>
                <c:formatCode>General</c:formatCode>
                <c:ptCount val="25"/>
                <c:pt idx="0">
                  <c:v>99.8</c:v>
                </c:pt>
                <c:pt idx="1">
                  <c:v>99.8</c:v>
                </c:pt>
                <c:pt idx="2">
                  <c:v>99.8</c:v>
                </c:pt>
                <c:pt idx="3">
                  <c:v>99.8</c:v>
                </c:pt>
                <c:pt idx="4">
                  <c:v>99.9</c:v>
                </c:pt>
                <c:pt idx="5">
                  <c:v>100</c:v>
                </c:pt>
                <c:pt idx="6">
                  <c:v>100.1</c:v>
                </c:pt>
                <c:pt idx="7">
                  <c:v>100.1</c:v>
                </c:pt>
                <c:pt idx="8">
                  <c:v>100.1</c:v>
                </c:pt>
                <c:pt idx="9">
                  <c:v>100.1</c:v>
                </c:pt>
                <c:pt idx="10">
                  <c:v>99.9</c:v>
                </c:pt>
                <c:pt idx="11">
                  <c:v>99.9</c:v>
                </c:pt>
                <c:pt idx="12">
                  <c:v>99.9</c:v>
                </c:pt>
                <c:pt idx="13">
                  <c:v>99.8</c:v>
                </c:pt>
                <c:pt idx="14">
                  <c:v>99.8</c:v>
                </c:pt>
                <c:pt idx="15">
                  <c:v>99.8</c:v>
                </c:pt>
                <c:pt idx="16">
                  <c:v>99.8</c:v>
                </c:pt>
                <c:pt idx="17">
                  <c:v>99.9</c:v>
                </c:pt>
                <c:pt idx="18">
                  <c:v>99.9</c:v>
                </c:pt>
                <c:pt idx="19">
                  <c:v>99.9</c:v>
                </c:pt>
                <c:pt idx="20">
                  <c:v>100</c:v>
                </c:pt>
                <c:pt idx="21">
                  <c:v>100</c:v>
                </c:pt>
                <c:pt idx="22">
                  <c:v>100</c:v>
                </c:pt>
                <c:pt idx="23">
                  <c:v>99.9</c:v>
                </c:pt>
                <c:pt idx="24">
                  <c:v>100</c:v>
                </c:pt>
              </c:numCache>
            </c:numRef>
          </c:val>
          <c:smooth val="1"/>
          <c:extLst xmlns:c16r2="http://schemas.microsoft.com/office/drawing/2015/06/chart">
            <c:ext xmlns:c16="http://schemas.microsoft.com/office/drawing/2014/chart" uri="{C3380CC4-5D6E-409C-BE32-E72D297353CC}">
              <c16:uniqueId val="{00000001-5238-4E2F-9988-BF5C5165CA15}"/>
            </c:ext>
          </c:extLst>
        </c:ser>
        <c:ser>
          <c:idx val="0"/>
          <c:order val="2"/>
          <c:tx>
            <c:strRef>
              <c:f>Sheet1!$D$1</c:f>
              <c:strCache>
                <c:ptCount val="1"/>
                <c:pt idx="0">
                  <c:v>Cen skupu</c:v>
                </c:pt>
              </c:strCache>
            </c:strRef>
          </c:tx>
          <c:spPr>
            <a:ln w="19040">
              <a:solidFill>
                <a:srgbClr val="0000FF"/>
              </a:solidFill>
              <a:prstDash val="solid"/>
            </a:ln>
          </c:spPr>
          <c:marker>
            <c:symbol val="none"/>
          </c:marker>
          <c:cat>
            <c:strRef>
              <c:f>Sheet1!$A$2:$A$26</c:f>
              <c:strCache>
                <c:ptCount val="25"/>
                <c:pt idx="0">
                  <c:v>I   15</c:v>
                </c:pt>
                <c:pt idx="1">
                  <c:v>II 15</c:v>
                </c:pt>
                <c:pt idx="2">
                  <c:v>III 15</c:v>
                </c:pt>
                <c:pt idx="3">
                  <c:v>IV 15</c:v>
                </c:pt>
                <c:pt idx="4">
                  <c:v>V 15</c:v>
                </c:pt>
                <c:pt idx="5">
                  <c:v>VI 15</c:v>
                </c:pt>
                <c:pt idx="6">
                  <c:v>VII 15</c:v>
                </c:pt>
                <c:pt idx="7">
                  <c:v>VIII 15</c:v>
                </c:pt>
                <c:pt idx="8">
                  <c:v>IX 15</c:v>
                </c:pt>
                <c:pt idx="9">
                  <c:v>X 15</c:v>
                </c:pt>
                <c:pt idx="10">
                  <c:v>XI 15</c:v>
                </c:pt>
                <c:pt idx="11">
                  <c:v>XII 15</c:v>
                </c:pt>
                <c:pt idx="12">
                  <c:v>I   16</c:v>
                </c:pt>
                <c:pt idx="13">
                  <c:v>II 16</c:v>
                </c:pt>
                <c:pt idx="14">
                  <c:v>III 16</c:v>
                </c:pt>
                <c:pt idx="15">
                  <c:v>IV 16</c:v>
                </c:pt>
                <c:pt idx="16">
                  <c:v>V 16</c:v>
                </c:pt>
                <c:pt idx="17">
                  <c:v>VI 16</c:v>
                </c:pt>
                <c:pt idx="18">
                  <c:v>VII 16</c:v>
                </c:pt>
                <c:pt idx="19">
                  <c:v>VIII 16</c:v>
                </c:pt>
                <c:pt idx="20">
                  <c:v>IX 16</c:v>
                </c:pt>
                <c:pt idx="21">
                  <c:v>X 16</c:v>
                </c:pt>
                <c:pt idx="22">
                  <c:v>XI 16</c:v>
                </c:pt>
                <c:pt idx="23">
                  <c:v>XII 16</c:v>
                </c:pt>
                <c:pt idx="24">
                  <c:v>I   17</c:v>
                </c:pt>
              </c:strCache>
            </c:strRef>
          </c:cat>
          <c:val>
            <c:numRef>
              <c:f>Sheet1!$D$2:$D$26</c:f>
              <c:numCache>
                <c:formatCode>General</c:formatCode>
                <c:ptCount val="25"/>
                <c:pt idx="0">
                  <c:v>97.8</c:v>
                </c:pt>
                <c:pt idx="1">
                  <c:v>98.4</c:v>
                </c:pt>
                <c:pt idx="2">
                  <c:v>99</c:v>
                </c:pt>
                <c:pt idx="3">
                  <c:v>99.6</c:v>
                </c:pt>
                <c:pt idx="4">
                  <c:v>99.9</c:v>
                </c:pt>
                <c:pt idx="5">
                  <c:v>99.6</c:v>
                </c:pt>
                <c:pt idx="6">
                  <c:v>99.8</c:v>
                </c:pt>
                <c:pt idx="7">
                  <c:v>99.8</c:v>
                </c:pt>
                <c:pt idx="8">
                  <c:v>99.4</c:v>
                </c:pt>
                <c:pt idx="9">
                  <c:v>99.3</c:v>
                </c:pt>
                <c:pt idx="10">
                  <c:v>99.6</c:v>
                </c:pt>
                <c:pt idx="11">
                  <c:v>99.8</c:v>
                </c:pt>
                <c:pt idx="12">
                  <c:v>99.5</c:v>
                </c:pt>
                <c:pt idx="13">
                  <c:v>99.4</c:v>
                </c:pt>
                <c:pt idx="14">
                  <c:v>99.5</c:v>
                </c:pt>
                <c:pt idx="15">
                  <c:v>99.3</c:v>
                </c:pt>
                <c:pt idx="16">
                  <c:v>99.2</c:v>
                </c:pt>
                <c:pt idx="17">
                  <c:v>99.7</c:v>
                </c:pt>
                <c:pt idx="18">
                  <c:v>100.1</c:v>
                </c:pt>
                <c:pt idx="19">
                  <c:v>100.4</c:v>
                </c:pt>
                <c:pt idx="20">
                  <c:v>100.3</c:v>
                </c:pt>
                <c:pt idx="21">
                  <c:v>100.6</c:v>
                </c:pt>
                <c:pt idx="22">
                  <c:v>100.7</c:v>
                </c:pt>
                <c:pt idx="23">
                  <c:v>100.8</c:v>
                </c:pt>
                <c:pt idx="24">
                  <c:v>100.6</c:v>
                </c:pt>
              </c:numCache>
            </c:numRef>
          </c:val>
          <c:smooth val="1"/>
          <c:extLst xmlns:c16r2="http://schemas.microsoft.com/office/drawing/2015/06/chart">
            <c:ext xmlns:c16="http://schemas.microsoft.com/office/drawing/2014/chart" uri="{C3380CC4-5D6E-409C-BE32-E72D297353CC}">
              <c16:uniqueId val="{00000002-5238-4E2F-9988-BF5C5165CA15}"/>
            </c:ext>
          </c:extLst>
        </c:ser>
        <c:dLbls>
          <c:showLegendKey val="0"/>
          <c:showVal val="0"/>
          <c:showCatName val="0"/>
          <c:showSerName val="0"/>
          <c:showPercent val="0"/>
          <c:showBubbleSize val="0"/>
        </c:dLbls>
        <c:marker val="1"/>
        <c:smooth val="0"/>
        <c:axId val="147036800"/>
        <c:axId val="147038592"/>
      </c:lineChart>
      <c:catAx>
        <c:axId val="147036800"/>
        <c:scaling>
          <c:orientation val="minMax"/>
        </c:scaling>
        <c:delete val="0"/>
        <c:axPos val="b"/>
        <c:numFmt formatCode="General" sourceLinked="1"/>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pl-PL"/>
          </a:p>
        </c:txPr>
        <c:crossAx val="147038592"/>
        <c:crosses val="autoZero"/>
        <c:auto val="1"/>
        <c:lblAlgn val="ctr"/>
        <c:lblOffset val="100"/>
        <c:tickLblSkip val="2"/>
        <c:tickMarkSkip val="2"/>
        <c:noMultiLvlLbl val="0"/>
      </c:catAx>
      <c:valAx>
        <c:axId val="147038592"/>
        <c:scaling>
          <c:orientation val="minMax"/>
          <c:max val="103"/>
          <c:min val="97"/>
        </c:scaling>
        <c:delete val="0"/>
        <c:axPos val="l"/>
        <c:numFmt formatCode="General" sourceLinked="1"/>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pl-PL"/>
          </a:p>
        </c:txPr>
        <c:crossAx val="147036800"/>
        <c:crosses val="autoZero"/>
        <c:crossBetween val="between"/>
        <c:majorUnit val="1"/>
      </c:valAx>
      <c:spPr>
        <a:noFill/>
        <a:ln w="19040">
          <a:noFill/>
        </a:ln>
      </c:spPr>
    </c:plotArea>
    <c:legend>
      <c:legendPos val="b"/>
      <c:layout>
        <c:manualLayout>
          <c:xMode val="edge"/>
          <c:yMode val="edge"/>
          <c:x val="2.1874999999999999E-2"/>
          <c:y val="0.87727272727272732"/>
          <c:w val="0.97499999999999998"/>
          <c:h val="0.12727272727272726"/>
        </c:manualLayout>
      </c:layout>
      <c:overlay val="0"/>
      <c:spPr>
        <a:noFill/>
        <a:ln w="19040">
          <a:noFill/>
        </a:ln>
      </c:spPr>
      <c:txPr>
        <a:bodyPr/>
        <a:lstStyle/>
        <a:p>
          <a:pPr>
            <a:defRPr sz="551"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600" b="1" i="0" u="none" strike="noStrike" baseline="0">
          <a:solidFill>
            <a:srgbClr val="000000"/>
          </a:solidFill>
          <a:latin typeface="Arial"/>
          <a:ea typeface="Arial"/>
          <a:cs typeface="Arial"/>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62111801242239E-2"/>
          <c:y val="5.2631578947368418E-2"/>
          <c:w val="0.91304347826086951"/>
          <c:h val="0.68421052631578949"/>
        </c:manualLayout>
      </c:layout>
      <c:lineChart>
        <c:grouping val="standard"/>
        <c:varyColors val="0"/>
        <c:ser>
          <c:idx val="0"/>
          <c:order val="0"/>
          <c:tx>
            <c:strRef>
              <c:f>Sheet1!$B$1</c:f>
              <c:strCache>
                <c:ptCount val="1"/>
                <c:pt idx="0">
                  <c:v>Sto</c:v>
                </c:pt>
              </c:strCache>
            </c:strRef>
          </c:tx>
          <c:spPr>
            <a:ln w="19039">
              <a:solidFill>
                <a:srgbClr val="00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Sheet1!$B$2:$B$13</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smooth val="1"/>
          <c:extLst xmlns:c16r2="http://schemas.microsoft.com/office/drawing/2015/06/chart">
            <c:ext xmlns:c16="http://schemas.microsoft.com/office/drawing/2014/chart" uri="{C3380CC4-5D6E-409C-BE32-E72D297353CC}">
              <c16:uniqueId val="{00000000-340E-4205-8A5C-188D3CE1F084}"/>
            </c:ext>
          </c:extLst>
        </c:ser>
        <c:ser>
          <c:idx val="1"/>
          <c:order val="1"/>
          <c:tx>
            <c:strRef>
              <c:f>Sheet1!$C$1</c:f>
              <c:strCache>
                <c:ptCount val="1"/>
                <c:pt idx="0">
                  <c:v>2014</c:v>
                </c:pt>
              </c:strCache>
            </c:strRef>
          </c:tx>
          <c:spPr>
            <a:ln w="19039">
              <a:solidFill>
                <a:srgbClr val="0000FF"/>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Sheet1!$C$2:$C$13</c:f>
              <c:numCache>
                <c:formatCode>General</c:formatCode>
                <c:ptCount val="12"/>
                <c:pt idx="0">
                  <c:v>99.3</c:v>
                </c:pt>
                <c:pt idx="1">
                  <c:v>98.14</c:v>
                </c:pt>
                <c:pt idx="2">
                  <c:v>98.82</c:v>
                </c:pt>
                <c:pt idx="3">
                  <c:v>99.57</c:v>
                </c:pt>
                <c:pt idx="4">
                  <c:v>97.81</c:v>
                </c:pt>
                <c:pt idx="5">
                  <c:v>98.47</c:v>
                </c:pt>
                <c:pt idx="6">
                  <c:v>95.4</c:v>
                </c:pt>
                <c:pt idx="7">
                  <c:v>93.43</c:v>
                </c:pt>
                <c:pt idx="8">
                  <c:v>90.46</c:v>
                </c:pt>
                <c:pt idx="9">
                  <c:v>86.85</c:v>
                </c:pt>
                <c:pt idx="10">
                  <c:v>86.43</c:v>
                </c:pt>
                <c:pt idx="11">
                  <c:v>87.12</c:v>
                </c:pt>
              </c:numCache>
            </c:numRef>
          </c:val>
          <c:smooth val="1"/>
          <c:extLst xmlns:c16r2="http://schemas.microsoft.com/office/drawing/2015/06/chart">
            <c:ext xmlns:c16="http://schemas.microsoft.com/office/drawing/2014/chart" uri="{C3380CC4-5D6E-409C-BE32-E72D297353CC}">
              <c16:uniqueId val="{00000001-340E-4205-8A5C-188D3CE1F084}"/>
            </c:ext>
          </c:extLst>
        </c:ser>
        <c:ser>
          <c:idx val="2"/>
          <c:order val="2"/>
          <c:tx>
            <c:strRef>
              <c:f>Sheet1!$D$1</c:f>
              <c:strCache>
                <c:ptCount val="1"/>
                <c:pt idx="0">
                  <c:v>2015</c:v>
                </c:pt>
              </c:strCache>
            </c:strRef>
          </c:tx>
          <c:spPr>
            <a:ln w="19039">
              <a:solidFill>
                <a:srgbClr val="00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Sheet1!$D$2:$D$13</c:f>
              <c:numCache>
                <c:formatCode>General</c:formatCode>
                <c:ptCount val="12"/>
                <c:pt idx="0">
                  <c:v>100.71</c:v>
                </c:pt>
                <c:pt idx="1">
                  <c:v>102.04</c:v>
                </c:pt>
                <c:pt idx="2">
                  <c:v>102.29</c:v>
                </c:pt>
                <c:pt idx="3">
                  <c:v>99.26</c:v>
                </c:pt>
                <c:pt idx="4">
                  <c:v>96.69</c:v>
                </c:pt>
                <c:pt idx="5">
                  <c:v>98.28</c:v>
                </c:pt>
                <c:pt idx="6">
                  <c:v>98.92</c:v>
                </c:pt>
                <c:pt idx="7">
                  <c:v>97.59</c:v>
                </c:pt>
                <c:pt idx="8">
                  <c:v>97.55</c:v>
                </c:pt>
                <c:pt idx="9">
                  <c:v>97.06</c:v>
                </c:pt>
                <c:pt idx="10">
                  <c:v>95.94</c:v>
                </c:pt>
                <c:pt idx="11">
                  <c:v>95.92</c:v>
                </c:pt>
              </c:numCache>
            </c:numRef>
          </c:val>
          <c:smooth val="1"/>
          <c:extLst xmlns:c16r2="http://schemas.microsoft.com/office/drawing/2015/06/chart">
            <c:ext xmlns:c16="http://schemas.microsoft.com/office/drawing/2014/chart" uri="{C3380CC4-5D6E-409C-BE32-E72D297353CC}">
              <c16:uniqueId val="{00000002-340E-4205-8A5C-188D3CE1F084}"/>
            </c:ext>
          </c:extLst>
        </c:ser>
        <c:ser>
          <c:idx val="4"/>
          <c:order val="3"/>
          <c:tx>
            <c:strRef>
              <c:f>Sheet1!$E$1</c:f>
              <c:strCache>
                <c:ptCount val="1"/>
                <c:pt idx="0">
                  <c:v>2016</c:v>
                </c:pt>
              </c:strCache>
            </c:strRef>
          </c:tx>
          <c:spPr>
            <a:ln w="19039">
              <a:solidFill>
                <a:srgbClr val="00FF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Sheet1!$E$2:$E$13</c:f>
              <c:numCache>
                <c:formatCode>General</c:formatCode>
                <c:ptCount val="12"/>
                <c:pt idx="0">
                  <c:v>100.37</c:v>
                </c:pt>
                <c:pt idx="1">
                  <c:v>100.14</c:v>
                </c:pt>
                <c:pt idx="2">
                  <c:v>98.97</c:v>
                </c:pt>
                <c:pt idx="3">
                  <c:v>97.47</c:v>
                </c:pt>
                <c:pt idx="4">
                  <c:v>99.1</c:v>
                </c:pt>
                <c:pt idx="5">
                  <c:v>101.12</c:v>
                </c:pt>
                <c:pt idx="6">
                  <c:v>102.95</c:v>
                </c:pt>
                <c:pt idx="7">
                  <c:v>102.26</c:v>
                </c:pt>
                <c:pt idx="8">
                  <c:v>103.08</c:v>
                </c:pt>
                <c:pt idx="9">
                  <c:v>101.63</c:v>
                </c:pt>
                <c:pt idx="10">
                  <c:v>104.08</c:v>
                </c:pt>
                <c:pt idx="11">
                  <c:v>104.79</c:v>
                </c:pt>
              </c:numCache>
            </c:numRef>
          </c:val>
          <c:smooth val="1"/>
          <c:extLst xmlns:c16r2="http://schemas.microsoft.com/office/drawing/2015/06/chart">
            <c:ext xmlns:c16="http://schemas.microsoft.com/office/drawing/2014/chart" uri="{C3380CC4-5D6E-409C-BE32-E72D297353CC}">
              <c16:uniqueId val="{00000003-340E-4205-8A5C-188D3CE1F084}"/>
            </c:ext>
          </c:extLst>
        </c:ser>
        <c:ser>
          <c:idx val="3"/>
          <c:order val="4"/>
          <c:tx>
            <c:strRef>
              <c:f>Sheet1!$F$1</c:f>
              <c:strCache>
                <c:ptCount val="1"/>
                <c:pt idx="0">
                  <c:v>2017</c:v>
                </c:pt>
              </c:strCache>
            </c:strRef>
          </c:tx>
          <c:spPr>
            <a:ln w="28558">
              <a:solidFill>
                <a:srgbClr val="FF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Sheet1!$F$2:$F$13</c:f>
              <c:numCache>
                <c:formatCode>General</c:formatCode>
                <c:ptCount val="12"/>
              </c:numCache>
            </c:numRef>
          </c:val>
          <c:smooth val="1"/>
          <c:extLst xmlns:c16r2="http://schemas.microsoft.com/office/drawing/2015/06/chart">
            <c:ext xmlns:c16="http://schemas.microsoft.com/office/drawing/2014/chart" uri="{C3380CC4-5D6E-409C-BE32-E72D297353CC}">
              <c16:uniqueId val="{00000004-340E-4205-8A5C-188D3CE1F084}"/>
            </c:ext>
          </c:extLst>
        </c:ser>
        <c:dLbls>
          <c:showLegendKey val="0"/>
          <c:showVal val="0"/>
          <c:showCatName val="0"/>
          <c:showSerName val="0"/>
          <c:showPercent val="0"/>
          <c:showBubbleSize val="0"/>
        </c:dLbls>
        <c:marker val="1"/>
        <c:smooth val="0"/>
        <c:axId val="146559360"/>
        <c:axId val="146560896"/>
      </c:lineChart>
      <c:catAx>
        <c:axId val="146559360"/>
        <c:scaling>
          <c:orientation val="minMax"/>
        </c:scaling>
        <c:delete val="0"/>
        <c:axPos val="b"/>
        <c:numFmt formatCode="General" sourceLinked="1"/>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pl-PL"/>
          </a:p>
        </c:txPr>
        <c:crossAx val="146560896"/>
        <c:crosses val="autoZero"/>
        <c:auto val="1"/>
        <c:lblAlgn val="ctr"/>
        <c:lblOffset val="100"/>
        <c:tickLblSkip val="1"/>
        <c:tickMarkSkip val="1"/>
        <c:noMultiLvlLbl val="0"/>
      </c:catAx>
      <c:valAx>
        <c:axId val="146560896"/>
        <c:scaling>
          <c:orientation val="minMax"/>
          <c:max val="110"/>
          <c:min val="85"/>
        </c:scaling>
        <c:delete val="0"/>
        <c:axPos val="l"/>
        <c:numFmt formatCode="0" sourceLinked="0"/>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pl-PL"/>
          </a:p>
        </c:txPr>
        <c:crossAx val="146559360"/>
        <c:crosses val="autoZero"/>
        <c:crossBetween val="between"/>
        <c:majorUnit val="5"/>
        <c:minorUnit val="2.5"/>
      </c:valAx>
      <c:spPr>
        <a:noFill/>
        <a:ln w="19039">
          <a:noFill/>
        </a:ln>
      </c:spPr>
    </c:plotArea>
    <c:legend>
      <c:legendPos val="b"/>
      <c:overlay val="0"/>
      <c:spPr>
        <a:noFill/>
        <a:ln w="19039">
          <a:noFill/>
        </a:ln>
      </c:spPr>
      <c:txPr>
        <a:bodyPr/>
        <a:lstStyle/>
        <a:p>
          <a:pPr>
            <a:defRPr sz="551"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600" b="1" i="0" u="none" strike="noStrike" baseline="0">
          <a:solidFill>
            <a:srgbClr val="000000"/>
          </a:solidFill>
          <a:latin typeface="Arial"/>
          <a:ea typeface="Arial"/>
          <a:cs typeface="Arial"/>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16DFA3-A076-4510-A332-C0EC84E1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14</Pages>
  <Words>5218</Words>
  <Characters>31310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 Marcin</dc:creator>
  <cp:lastModifiedBy>KZRRSP</cp:lastModifiedBy>
  <cp:revision>13</cp:revision>
  <cp:lastPrinted>2017-11-20T11:59:00Z</cp:lastPrinted>
  <dcterms:created xsi:type="dcterms:W3CDTF">2017-11-20T08:59:00Z</dcterms:created>
  <dcterms:modified xsi:type="dcterms:W3CDTF">2019-01-03T10:09:00Z</dcterms:modified>
</cp:coreProperties>
</file>