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4AC" w:rsidRPr="001C732F" w:rsidRDefault="00634C0F" w:rsidP="00760C59">
      <w:pPr>
        <w:pStyle w:val="Tytu"/>
        <w:pBdr>
          <w:bottom w:val="single" w:sz="4" w:space="4" w:color="auto"/>
        </w:pBdr>
        <w:rPr>
          <w:rFonts w:eastAsia="Times New Roman"/>
          <w:color w:val="auto"/>
          <w:sz w:val="30"/>
          <w:szCs w:val="30"/>
        </w:rPr>
      </w:pPr>
      <w:bookmarkStart w:id="0" w:name="_GoBack"/>
      <w:bookmarkEnd w:id="0"/>
      <w:r w:rsidRPr="001C732F">
        <w:rPr>
          <w:rFonts w:eastAsia="Times New Roman"/>
          <w:color w:val="auto"/>
          <w:sz w:val="30"/>
          <w:szCs w:val="30"/>
        </w:rPr>
        <w:t xml:space="preserve"> </w:t>
      </w:r>
      <w:r w:rsidR="00D40C12" w:rsidRPr="001C732F">
        <w:rPr>
          <w:rFonts w:eastAsia="Times New Roman"/>
          <w:color w:val="auto"/>
          <w:sz w:val="30"/>
          <w:szCs w:val="30"/>
        </w:rPr>
        <w:t>Rolnicze Spółdzielnie Produkcyjne w 201</w:t>
      </w:r>
      <w:r w:rsidR="007657EC" w:rsidRPr="001C732F">
        <w:rPr>
          <w:rFonts w:eastAsia="Times New Roman"/>
          <w:color w:val="auto"/>
          <w:sz w:val="30"/>
          <w:szCs w:val="30"/>
        </w:rPr>
        <w:t>7</w:t>
      </w:r>
      <w:r w:rsidR="00D40C12" w:rsidRPr="001C732F">
        <w:rPr>
          <w:rFonts w:eastAsia="Times New Roman"/>
          <w:color w:val="auto"/>
          <w:sz w:val="30"/>
          <w:szCs w:val="30"/>
        </w:rPr>
        <w:t>r</w:t>
      </w:r>
      <w:r w:rsidR="001B2266" w:rsidRPr="001C732F">
        <w:rPr>
          <w:rFonts w:eastAsia="Times New Roman"/>
          <w:color w:val="auto"/>
          <w:sz w:val="30"/>
          <w:szCs w:val="30"/>
        </w:rPr>
        <w:t>.</w:t>
      </w:r>
      <w:r w:rsidR="00E53F04" w:rsidRPr="001C732F">
        <w:rPr>
          <w:rFonts w:eastAsia="Times New Roman"/>
          <w:color w:val="auto"/>
          <w:sz w:val="30"/>
          <w:szCs w:val="30"/>
        </w:rPr>
        <w:t xml:space="preserve"> – n</w:t>
      </w:r>
      <w:r w:rsidR="00E30733" w:rsidRPr="001C732F">
        <w:rPr>
          <w:rFonts w:eastAsia="Times New Roman"/>
          <w:color w:val="auto"/>
          <w:sz w:val="30"/>
          <w:szCs w:val="30"/>
        </w:rPr>
        <w:t>ajlepsza setk</w:t>
      </w:r>
      <w:r w:rsidR="00EB1266" w:rsidRPr="001C732F">
        <w:rPr>
          <w:rFonts w:eastAsia="Times New Roman"/>
          <w:color w:val="auto"/>
          <w:sz w:val="30"/>
          <w:szCs w:val="30"/>
        </w:rPr>
        <w:t>a</w:t>
      </w:r>
    </w:p>
    <w:p w:rsidR="00B00BDA" w:rsidRPr="001C732F" w:rsidRDefault="007657EC" w:rsidP="001C732F">
      <w:pPr>
        <w:spacing w:before="60" w:after="0" w:line="264" w:lineRule="auto"/>
        <w:ind w:firstLine="425"/>
        <w:jc w:val="both"/>
        <w:rPr>
          <w:rFonts w:ascii="Times New Roman" w:eastAsia="Times New Roman" w:hAnsi="Times New Roman"/>
          <w:sz w:val="26"/>
          <w:szCs w:val="26"/>
        </w:rPr>
      </w:pPr>
      <w:r w:rsidRPr="001C732F">
        <w:rPr>
          <w:rFonts w:ascii="Times New Roman" w:eastAsia="Times New Roman" w:hAnsi="Times New Roman"/>
          <w:sz w:val="26"/>
          <w:szCs w:val="26"/>
        </w:rPr>
        <w:t xml:space="preserve">Po raz osiemnasty mamy przyjemność zaprezentować wyniki </w:t>
      </w:r>
      <w:r w:rsidR="00B00BDA" w:rsidRPr="001C732F">
        <w:rPr>
          <w:rFonts w:ascii="Times New Roman" w:eastAsia="Times New Roman" w:hAnsi="Times New Roman"/>
          <w:sz w:val="26"/>
          <w:szCs w:val="26"/>
        </w:rPr>
        <w:t>rankingu najlepszych rolniczych spółdzielni produkcyjnych w Polsce.</w:t>
      </w:r>
      <w:r w:rsidRPr="001C732F">
        <w:rPr>
          <w:rFonts w:ascii="Times New Roman" w:eastAsia="Times New Roman" w:hAnsi="Times New Roman"/>
          <w:sz w:val="26"/>
          <w:szCs w:val="26"/>
        </w:rPr>
        <w:t xml:space="preserve"> Publikacja wyników rankingu jak zwykle jest dobr</w:t>
      </w:r>
      <w:r w:rsidR="00414B37" w:rsidRPr="001C732F">
        <w:rPr>
          <w:rFonts w:ascii="Times New Roman" w:eastAsia="Times New Roman" w:hAnsi="Times New Roman"/>
          <w:sz w:val="26"/>
          <w:szCs w:val="26"/>
        </w:rPr>
        <w:t>ą</w:t>
      </w:r>
      <w:r w:rsidRPr="001C732F">
        <w:rPr>
          <w:rFonts w:ascii="Times New Roman" w:eastAsia="Times New Roman" w:hAnsi="Times New Roman"/>
          <w:sz w:val="26"/>
          <w:szCs w:val="26"/>
        </w:rPr>
        <w:t xml:space="preserve"> okazją do przedstawienia</w:t>
      </w:r>
      <w:r w:rsidR="00EE0C0A" w:rsidRPr="001C732F">
        <w:rPr>
          <w:rFonts w:ascii="Times New Roman" w:eastAsia="Times New Roman" w:hAnsi="Times New Roman"/>
          <w:sz w:val="26"/>
          <w:szCs w:val="26"/>
        </w:rPr>
        <w:t xml:space="preserve"> ekonomiczno-finansowych</w:t>
      </w:r>
      <w:r w:rsidR="00FD4B54" w:rsidRPr="001C732F">
        <w:rPr>
          <w:rFonts w:ascii="Times New Roman" w:eastAsia="Times New Roman" w:hAnsi="Times New Roman"/>
          <w:sz w:val="26"/>
          <w:szCs w:val="26"/>
        </w:rPr>
        <w:t xml:space="preserve"> </w:t>
      </w:r>
      <w:r w:rsidR="00EE0C0A" w:rsidRPr="001C732F">
        <w:rPr>
          <w:rFonts w:ascii="Times New Roman" w:eastAsia="Times New Roman" w:hAnsi="Times New Roman"/>
          <w:sz w:val="26"/>
          <w:szCs w:val="26"/>
        </w:rPr>
        <w:t>wyników</w:t>
      </w:r>
      <w:r w:rsidR="00FD4B54" w:rsidRPr="001C732F">
        <w:rPr>
          <w:rFonts w:ascii="Times New Roman" w:eastAsia="Times New Roman" w:hAnsi="Times New Roman"/>
          <w:sz w:val="26"/>
          <w:szCs w:val="26"/>
        </w:rPr>
        <w:t xml:space="preserve"> polskich spółdzielni rolniczych. Podstawowym celem rankingu jest </w:t>
      </w:r>
      <w:r w:rsidR="00D17D6E" w:rsidRPr="001C732F">
        <w:rPr>
          <w:rFonts w:ascii="Times New Roman" w:eastAsia="Times New Roman" w:hAnsi="Times New Roman"/>
          <w:sz w:val="26"/>
          <w:szCs w:val="26"/>
        </w:rPr>
        <w:t>promocja</w:t>
      </w:r>
      <w:r w:rsidR="00FD4B54" w:rsidRPr="001C732F">
        <w:rPr>
          <w:rFonts w:ascii="Times New Roman" w:eastAsia="Times New Roman" w:hAnsi="Times New Roman"/>
          <w:sz w:val="26"/>
          <w:szCs w:val="26"/>
        </w:rPr>
        <w:t xml:space="preserve"> najlepiej funkcjo</w:t>
      </w:r>
      <w:r w:rsidR="00D17D6E" w:rsidRPr="001C732F">
        <w:rPr>
          <w:rFonts w:ascii="Times New Roman" w:eastAsia="Times New Roman" w:hAnsi="Times New Roman"/>
          <w:sz w:val="26"/>
          <w:szCs w:val="26"/>
        </w:rPr>
        <w:t xml:space="preserve">nujących </w:t>
      </w:r>
      <w:r w:rsidR="00414B37" w:rsidRPr="001C732F">
        <w:rPr>
          <w:rFonts w:ascii="Times New Roman" w:eastAsia="Times New Roman" w:hAnsi="Times New Roman"/>
          <w:sz w:val="26"/>
          <w:szCs w:val="26"/>
        </w:rPr>
        <w:t>gospodarstw</w:t>
      </w:r>
      <w:r w:rsidR="00D17D6E" w:rsidRPr="001C732F">
        <w:rPr>
          <w:rFonts w:ascii="Times New Roman" w:eastAsia="Times New Roman" w:hAnsi="Times New Roman"/>
          <w:sz w:val="26"/>
          <w:szCs w:val="26"/>
        </w:rPr>
        <w:t xml:space="preserve"> w tej </w:t>
      </w:r>
      <w:r w:rsidR="00414B37" w:rsidRPr="001C732F">
        <w:rPr>
          <w:rFonts w:ascii="Times New Roman" w:eastAsia="Times New Roman" w:hAnsi="Times New Roman"/>
          <w:sz w:val="26"/>
          <w:szCs w:val="26"/>
        </w:rPr>
        <w:t>formie prawnej</w:t>
      </w:r>
      <w:r w:rsidR="00D17D6E" w:rsidRPr="001C732F">
        <w:rPr>
          <w:rFonts w:ascii="Times New Roman" w:eastAsia="Times New Roman" w:hAnsi="Times New Roman"/>
          <w:sz w:val="26"/>
          <w:szCs w:val="26"/>
        </w:rPr>
        <w:t>, jak również możliwość wymiany doświadczeń</w:t>
      </w:r>
      <w:r w:rsidR="00414B37" w:rsidRPr="001C732F">
        <w:rPr>
          <w:rFonts w:ascii="Times New Roman" w:eastAsia="Times New Roman" w:hAnsi="Times New Roman"/>
          <w:sz w:val="26"/>
          <w:szCs w:val="26"/>
        </w:rPr>
        <w:t xml:space="preserve"> samych </w:t>
      </w:r>
      <w:r w:rsidR="000E4BEC" w:rsidRPr="001C732F">
        <w:rPr>
          <w:rFonts w:ascii="Times New Roman" w:eastAsia="Times New Roman" w:hAnsi="Times New Roman"/>
          <w:sz w:val="26"/>
          <w:szCs w:val="26"/>
        </w:rPr>
        <w:t>spółdzielców</w:t>
      </w:r>
      <w:r w:rsidR="00D17D6E" w:rsidRPr="001C732F">
        <w:rPr>
          <w:rFonts w:ascii="Times New Roman" w:eastAsia="Times New Roman" w:hAnsi="Times New Roman"/>
          <w:sz w:val="26"/>
          <w:szCs w:val="26"/>
        </w:rPr>
        <w:t xml:space="preserve"> na forum</w:t>
      </w:r>
      <w:r w:rsidR="00414B37" w:rsidRPr="001C732F">
        <w:rPr>
          <w:rFonts w:ascii="Times New Roman" w:eastAsia="Times New Roman" w:hAnsi="Times New Roman"/>
          <w:sz w:val="26"/>
          <w:szCs w:val="26"/>
        </w:rPr>
        <w:t xml:space="preserve"> krajowym</w:t>
      </w:r>
      <w:r w:rsidR="00D17D6E" w:rsidRPr="001C732F">
        <w:rPr>
          <w:rFonts w:ascii="Times New Roman" w:eastAsia="Times New Roman" w:hAnsi="Times New Roman"/>
          <w:sz w:val="26"/>
          <w:szCs w:val="26"/>
        </w:rPr>
        <w:t>.</w:t>
      </w:r>
    </w:p>
    <w:p w:rsidR="00FD4B54" w:rsidRPr="001C732F" w:rsidRDefault="00D17D6E" w:rsidP="001C732F">
      <w:pPr>
        <w:spacing w:before="60" w:after="0" w:line="264" w:lineRule="auto"/>
        <w:ind w:firstLine="425"/>
        <w:jc w:val="both"/>
        <w:rPr>
          <w:rFonts w:ascii="Times New Roman" w:eastAsia="Times New Roman" w:hAnsi="Times New Roman"/>
          <w:sz w:val="26"/>
          <w:szCs w:val="26"/>
        </w:rPr>
      </w:pPr>
      <w:r w:rsidRPr="001C732F">
        <w:rPr>
          <w:rFonts w:ascii="Times New Roman" w:eastAsia="Times New Roman" w:hAnsi="Times New Roman"/>
          <w:sz w:val="26"/>
          <w:szCs w:val="26"/>
        </w:rPr>
        <w:t>Realizacja rankingów gospodarstw spółdzielczych jest</w:t>
      </w:r>
      <w:r w:rsidR="00FD4B54" w:rsidRPr="001C732F">
        <w:rPr>
          <w:rFonts w:ascii="Times New Roman" w:eastAsia="Times New Roman" w:hAnsi="Times New Roman"/>
          <w:sz w:val="26"/>
          <w:szCs w:val="26"/>
        </w:rPr>
        <w:t xml:space="preserve"> efektem wieloletniej współpra</w:t>
      </w:r>
      <w:r w:rsidR="0007523A" w:rsidRPr="001C732F">
        <w:rPr>
          <w:rFonts w:ascii="Times New Roman" w:eastAsia="Times New Roman" w:hAnsi="Times New Roman"/>
          <w:sz w:val="26"/>
          <w:szCs w:val="26"/>
        </w:rPr>
        <w:t>c</w:t>
      </w:r>
      <w:r w:rsidR="00FD4B54" w:rsidRPr="001C732F">
        <w:rPr>
          <w:rFonts w:ascii="Times New Roman" w:eastAsia="Times New Roman" w:hAnsi="Times New Roman"/>
          <w:sz w:val="26"/>
          <w:szCs w:val="26"/>
        </w:rPr>
        <w:t xml:space="preserve">y IERiGŻ-PIB z </w:t>
      </w:r>
      <w:r w:rsidR="00760C59" w:rsidRPr="001C732F">
        <w:rPr>
          <w:rFonts w:ascii="Times New Roman" w:eastAsia="Times New Roman" w:hAnsi="Times New Roman"/>
          <w:sz w:val="26"/>
          <w:szCs w:val="26"/>
        </w:rPr>
        <w:t xml:space="preserve">Krajowym Związkiem Rewizyjnym Rolniczych Spółdzielni Produkcyjnych, </w:t>
      </w:r>
      <w:r w:rsidR="00FD4B54" w:rsidRPr="001C732F">
        <w:rPr>
          <w:rFonts w:ascii="Times New Roman" w:eastAsia="Times New Roman" w:hAnsi="Times New Roman"/>
          <w:sz w:val="26"/>
          <w:szCs w:val="26"/>
        </w:rPr>
        <w:t>Krajową Rad</w:t>
      </w:r>
      <w:r w:rsidR="003E21AC" w:rsidRPr="001C732F">
        <w:rPr>
          <w:rFonts w:ascii="Times New Roman" w:eastAsia="Times New Roman" w:hAnsi="Times New Roman"/>
          <w:sz w:val="26"/>
          <w:szCs w:val="26"/>
        </w:rPr>
        <w:t>ą</w:t>
      </w:r>
      <w:r w:rsidR="00760C59" w:rsidRPr="001C732F">
        <w:rPr>
          <w:rFonts w:ascii="Times New Roman" w:eastAsia="Times New Roman" w:hAnsi="Times New Roman"/>
          <w:sz w:val="26"/>
          <w:szCs w:val="26"/>
        </w:rPr>
        <w:t xml:space="preserve"> Spółdzielczą</w:t>
      </w:r>
      <w:r w:rsidR="00FD4B54" w:rsidRPr="001C732F">
        <w:rPr>
          <w:rFonts w:ascii="Times New Roman" w:eastAsia="Times New Roman" w:hAnsi="Times New Roman"/>
          <w:sz w:val="26"/>
          <w:szCs w:val="26"/>
        </w:rPr>
        <w:t xml:space="preserve"> oraz samy</w:t>
      </w:r>
      <w:r w:rsidR="003E21AC" w:rsidRPr="001C732F">
        <w:rPr>
          <w:rFonts w:ascii="Times New Roman" w:eastAsia="Times New Roman" w:hAnsi="Times New Roman"/>
          <w:sz w:val="26"/>
          <w:szCs w:val="26"/>
        </w:rPr>
        <w:t>mi</w:t>
      </w:r>
      <w:r w:rsidR="00FD4B54" w:rsidRPr="001C732F">
        <w:rPr>
          <w:rFonts w:ascii="Times New Roman" w:eastAsia="Times New Roman" w:hAnsi="Times New Roman"/>
          <w:sz w:val="26"/>
          <w:szCs w:val="26"/>
        </w:rPr>
        <w:t xml:space="preserve"> spółdzielni</w:t>
      </w:r>
      <w:r w:rsidR="003E21AC" w:rsidRPr="001C732F">
        <w:rPr>
          <w:rFonts w:ascii="Times New Roman" w:eastAsia="Times New Roman" w:hAnsi="Times New Roman"/>
          <w:sz w:val="26"/>
          <w:szCs w:val="26"/>
        </w:rPr>
        <w:t>ami</w:t>
      </w:r>
      <w:r w:rsidR="00FD4B54" w:rsidRPr="001C732F">
        <w:rPr>
          <w:rFonts w:ascii="Times New Roman" w:eastAsia="Times New Roman" w:hAnsi="Times New Roman"/>
          <w:sz w:val="26"/>
          <w:szCs w:val="26"/>
        </w:rPr>
        <w:t xml:space="preserve">, które </w:t>
      </w:r>
      <w:r w:rsidR="003E21AC" w:rsidRPr="001C732F">
        <w:rPr>
          <w:rFonts w:ascii="Times New Roman" w:eastAsia="Times New Roman" w:hAnsi="Times New Roman"/>
          <w:sz w:val="26"/>
          <w:szCs w:val="26"/>
        </w:rPr>
        <w:t>wytrwale</w:t>
      </w:r>
      <w:r w:rsidR="00FD4B54" w:rsidRPr="001C732F">
        <w:rPr>
          <w:rFonts w:ascii="Times New Roman" w:eastAsia="Times New Roman" w:hAnsi="Times New Roman"/>
          <w:sz w:val="26"/>
          <w:szCs w:val="26"/>
        </w:rPr>
        <w:t xml:space="preserve"> uczestniczą w tym przedsięwzięciu.</w:t>
      </w:r>
    </w:p>
    <w:p w:rsidR="00D55ABB" w:rsidRPr="001C732F" w:rsidRDefault="00D17D6E" w:rsidP="001C732F">
      <w:pPr>
        <w:spacing w:before="60" w:after="0" w:line="264" w:lineRule="auto"/>
        <w:ind w:firstLine="425"/>
        <w:jc w:val="both"/>
        <w:rPr>
          <w:rFonts w:ascii="Times New Roman" w:eastAsia="Times New Roman" w:hAnsi="Times New Roman"/>
          <w:sz w:val="26"/>
          <w:szCs w:val="26"/>
        </w:rPr>
      </w:pPr>
      <w:r w:rsidRPr="001C732F">
        <w:rPr>
          <w:rFonts w:ascii="Times New Roman" w:eastAsia="Times New Roman" w:hAnsi="Times New Roman"/>
          <w:sz w:val="26"/>
          <w:szCs w:val="26"/>
        </w:rPr>
        <w:t>Ranking ma za zadanie wyłonienie spółdzielni o naj</w:t>
      </w:r>
      <w:r w:rsidR="00760C59" w:rsidRPr="001C732F">
        <w:rPr>
          <w:rFonts w:ascii="Times New Roman" w:eastAsia="Times New Roman" w:hAnsi="Times New Roman"/>
          <w:sz w:val="26"/>
          <w:szCs w:val="26"/>
        </w:rPr>
        <w:t>lepszych wynikach ekonomicznych.</w:t>
      </w:r>
      <w:r w:rsidRPr="001C732F">
        <w:rPr>
          <w:rFonts w:ascii="Times New Roman" w:eastAsia="Times New Roman" w:hAnsi="Times New Roman"/>
          <w:sz w:val="26"/>
          <w:szCs w:val="26"/>
        </w:rPr>
        <w:t xml:space="preserve"> </w:t>
      </w:r>
      <w:r w:rsidR="00760C59" w:rsidRPr="001C732F">
        <w:rPr>
          <w:rFonts w:ascii="Times New Roman" w:eastAsia="Times New Roman" w:hAnsi="Times New Roman"/>
          <w:sz w:val="26"/>
          <w:szCs w:val="26"/>
        </w:rPr>
        <w:t>D</w:t>
      </w:r>
      <w:r w:rsidRPr="001C732F">
        <w:rPr>
          <w:rFonts w:ascii="Times New Roman" w:eastAsia="Times New Roman" w:hAnsi="Times New Roman"/>
          <w:sz w:val="26"/>
          <w:szCs w:val="26"/>
        </w:rPr>
        <w:t xml:space="preserve">o tego celu podobnie jak w latach ubiegłych posłużyły </w:t>
      </w:r>
      <w:r w:rsidR="00443446" w:rsidRPr="001C732F">
        <w:rPr>
          <w:rFonts w:ascii="Times New Roman" w:eastAsia="Times New Roman" w:hAnsi="Times New Roman"/>
          <w:sz w:val="26"/>
          <w:szCs w:val="26"/>
        </w:rPr>
        <w:t>4 wskaźniki i jeden miernik</w:t>
      </w:r>
      <w:r w:rsidRPr="001C732F">
        <w:rPr>
          <w:rFonts w:ascii="Times New Roman" w:eastAsia="Times New Roman" w:hAnsi="Times New Roman"/>
          <w:sz w:val="26"/>
          <w:szCs w:val="26"/>
        </w:rPr>
        <w:t>.</w:t>
      </w:r>
      <w:r w:rsidR="00443446" w:rsidRPr="001C732F">
        <w:rPr>
          <w:rFonts w:ascii="Times New Roman" w:eastAsia="Times New Roman" w:hAnsi="Times New Roman"/>
          <w:sz w:val="26"/>
          <w:szCs w:val="26"/>
        </w:rPr>
        <w:t xml:space="preserve"> </w:t>
      </w:r>
      <w:r w:rsidRPr="001C732F">
        <w:rPr>
          <w:rFonts w:ascii="Times New Roman" w:eastAsia="Times New Roman" w:hAnsi="Times New Roman"/>
          <w:sz w:val="26"/>
          <w:szCs w:val="26"/>
        </w:rPr>
        <w:t>Były to</w:t>
      </w:r>
      <w:r w:rsidR="001B2266" w:rsidRPr="001C732F">
        <w:rPr>
          <w:rFonts w:ascii="Times New Roman" w:eastAsia="Times New Roman" w:hAnsi="Times New Roman"/>
          <w:sz w:val="26"/>
          <w:szCs w:val="26"/>
        </w:rPr>
        <w:t xml:space="preserve"> </w:t>
      </w:r>
      <w:r w:rsidR="00373FEC" w:rsidRPr="001C732F">
        <w:rPr>
          <w:rFonts w:ascii="Times New Roman" w:eastAsia="Times New Roman" w:hAnsi="Times New Roman"/>
          <w:sz w:val="26"/>
          <w:szCs w:val="26"/>
        </w:rPr>
        <w:t>dochodowoś</w:t>
      </w:r>
      <w:r w:rsidR="00443446" w:rsidRPr="001C732F">
        <w:rPr>
          <w:rFonts w:ascii="Times New Roman" w:eastAsia="Times New Roman" w:hAnsi="Times New Roman"/>
          <w:sz w:val="26"/>
          <w:szCs w:val="26"/>
        </w:rPr>
        <w:t>ć</w:t>
      </w:r>
      <w:r w:rsidRPr="001C732F">
        <w:rPr>
          <w:rFonts w:ascii="Times New Roman" w:eastAsia="Times New Roman" w:hAnsi="Times New Roman"/>
          <w:sz w:val="26"/>
          <w:szCs w:val="26"/>
        </w:rPr>
        <w:t xml:space="preserve"> pracy;</w:t>
      </w:r>
      <w:r w:rsidR="00373FEC" w:rsidRPr="001C732F">
        <w:rPr>
          <w:rFonts w:ascii="Times New Roman" w:eastAsia="Times New Roman" w:hAnsi="Times New Roman"/>
          <w:sz w:val="26"/>
          <w:szCs w:val="26"/>
        </w:rPr>
        <w:t xml:space="preserve"> </w:t>
      </w:r>
      <w:r w:rsidR="00912C83" w:rsidRPr="001C732F">
        <w:rPr>
          <w:rFonts w:ascii="Times New Roman" w:eastAsia="Times New Roman" w:hAnsi="Times New Roman"/>
          <w:sz w:val="26"/>
          <w:szCs w:val="26"/>
        </w:rPr>
        <w:t>dochodowość</w:t>
      </w:r>
      <w:r w:rsidR="001B2266" w:rsidRPr="001C732F">
        <w:rPr>
          <w:rFonts w:ascii="Times New Roman" w:eastAsia="Times New Roman" w:hAnsi="Times New Roman"/>
          <w:sz w:val="26"/>
          <w:szCs w:val="26"/>
        </w:rPr>
        <w:t xml:space="preserve"> </w:t>
      </w:r>
      <w:r w:rsidR="00373FEC" w:rsidRPr="001C732F">
        <w:rPr>
          <w:rFonts w:ascii="Times New Roman" w:eastAsia="Times New Roman" w:hAnsi="Times New Roman"/>
          <w:sz w:val="26"/>
          <w:szCs w:val="26"/>
        </w:rPr>
        <w:t>dzia</w:t>
      </w:r>
      <w:r w:rsidRPr="001C732F">
        <w:rPr>
          <w:rFonts w:ascii="Times New Roman" w:eastAsia="Times New Roman" w:hAnsi="Times New Roman"/>
          <w:sz w:val="26"/>
          <w:szCs w:val="26"/>
        </w:rPr>
        <w:t>łalności gospodarczej;</w:t>
      </w:r>
      <w:r w:rsidR="00373FEC" w:rsidRPr="001C732F">
        <w:rPr>
          <w:rFonts w:ascii="Times New Roman" w:eastAsia="Times New Roman" w:hAnsi="Times New Roman"/>
          <w:sz w:val="26"/>
          <w:szCs w:val="26"/>
        </w:rPr>
        <w:t xml:space="preserve"> wydajnoś</w:t>
      </w:r>
      <w:r w:rsidR="00443446" w:rsidRPr="001C732F">
        <w:rPr>
          <w:rFonts w:ascii="Times New Roman" w:eastAsia="Times New Roman" w:hAnsi="Times New Roman"/>
          <w:sz w:val="26"/>
          <w:szCs w:val="26"/>
        </w:rPr>
        <w:t>ć</w:t>
      </w:r>
      <w:r w:rsidRPr="001C732F">
        <w:rPr>
          <w:rFonts w:ascii="Times New Roman" w:eastAsia="Times New Roman" w:hAnsi="Times New Roman"/>
          <w:sz w:val="26"/>
          <w:szCs w:val="26"/>
        </w:rPr>
        <w:t xml:space="preserve"> pracy;</w:t>
      </w:r>
      <w:r w:rsidR="00E53F04" w:rsidRPr="001C732F">
        <w:rPr>
          <w:rFonts w:ascii="Times New Roman" w:eastAsia="Times New Roman" w:hAnsi="Times New Roman"/>
          <w:sz w:val="26"/>
          <w:szCs w:val="26"/>
        </w:rPr>
        <w:t xml:space="preserve"> </w:t>
      </w:r>
      <w:r w:rsidR="00373FEC" w:rsidRPr="001C732F">
        <w:rPr>
          <w:rFonts w:ascii="Times New Roman" w:eastAsia="Times New Roman" w:hAnsi="Times New Roman"/>
          <w:sz w:val="26"/>
          <w:szCs w:val="26"/>
        </w:rPr>
        <w:t>przychod</w:t>
      </w:r>
      <w:r w:rsidR="00443446" w:rsidRPr="001C732F">
        <w:rPr>
          <w:rFonts w:ascii="Times New Roman" w:eastAsia="Times New Roman" w:hAnsi="Times New Roman"/>
          <w:sz w:val="26"/>
          <w:szCs w:val="26"/>
        </w:rPr>
        <w:t>y</w:t>
      </w:r>
      <w:r w:rsidR="001B2266" w:rsidRPr="001C732F">
        <w:rPr>
          <w:rFonts w:ascii="Times New Roman" w:eastAsia="Times New Roman" w:hAnsi="Times New Roman"/>
          <w:sz w:val="26"/>
          <w:szCs w:val="26"/>
        </w:rPr>
        <w:t xml:space="preserve"> ogółem </w:t>
      </w:r>
      <w:r w:rsidR="00443446" w:rsidRPr="001C732F">
        <w:rPr>
          <w:rFonts w:ascii="Times New Roman" w:eastAsia="Times New Roman" w:hAnsi="Times New Roman"/>
          <w:sz w:val="26"/>
          <w:szCs w:val="26"/>
        </w:rPr>
        <w:t xml:space="preserve">oraz </w:t>
      </w:r>
      <w:r w:rsidR="00373FEC" w:rsidRPr="001C732F">
        <w:rPr>
          <w:rFonts w:ascii="Times New Roman" w:eastAsia="Times New Roman" w:hAnsi="Times New Roman"/>
          <w:sz w:val="26"/>
          <w:szCs w:val="26"/>
        </w:rPr>
        <w:t xml:space="preserve">indeks tworzenia wartości. </w:t>
      </w:r>
    </w:p>
    <w:p w:rsidR="00DC2BA4" w:rsidRPr="001C732F" w:rsidRDefault="00E85F69" w:rsidP="001C732F">
      <w:pPr>
        <w:spacing w:before="60" w:after="0" w:line="264" w:lineRule="auto"/>
        <w:ind w:firstLine="425"/>
        <w:jc w:val="both"/>
        <w:rPr>
          <w:rFonts w:ascii="Times New Roman" w:hAnsi="Times New Roman"/>
          <w:sz w:val="26"/>
          <w:szCs w:val="26"/>
        </w:rPr>
      </w:pPr>
      <w:r w:rsidRPr="001C732F">
        <w:rPr>
          <w:rFonts w:ascii="Times New Roman" w:hAnsi="Times New Roman"/>
          <w:sz w:val="26"/>
          <w:szCs w:val="26"/>
        </w:rPr>
        <w:t>Ponieważ największy wkład w istnienie rankingu maj</w:t>
      </w:r>
      <w:r w:rsidR="00150B1A" w:rsidRPr="001C732F">
        <w:rPr>
          <w:rFonts w:ascii="Times New Roman" w:hAnsi="Times New Roman"/>
          <w:sz w:val="26"/>
          <w:szCs w:val="26"/>
        </w:rPr>
        <w:t>ą</w:t>
      </w:r>
      <w:r w:rsidRPr="001C732F">
        <w:rPr>
          <w:rFonts w:ascii="Times New Roman" w:hAnsi="Times New Roman"/>
          <w:sz w:val="26"/>
          <w:szCs w:val="26"/>
        </w:rPr>
        <w:t xml:space="preserve"> </w:t>
      </w:r>
      <w:r w:rsidR="00BA0A1D" w:rsidRPr="001C732F">
        <w:rPr>
          <w:rFonts w:ascii="Times New Roman" w:hAnsi="Times New Roman"/>
          <w:sz w:val="26"/>
          <w:szCs w:val="26"/>
        </w:rPr>
        <w:t>RSP</w:t>
      </w:r>
      <w:r w:rsidR="00150B1A" w:rsidRPr="001C732F">
        <w:rPr>
          <w:rFonts w:ascii="Times New Roman" w:hAnsi="Times New Roman"/>
          <w:sz w:val="26"/>
          <w:szCs w:val="26"/>
        </w:rPr>
        <w:t>,</w:t>
      </w:r>
      <w:r w:rsidRPr="001C732F">
        <w:rPr>
          <w:rFonts w:ascii="Times New Roman" w:hAnsi="Times New Roman"/>
          <w:sz w:val="26"/>
          <w:szCs w:val="26"/>
        </w:rPr>
        <w:t xml:space="preserve"> które rokrocznie w nim uczestniczą</w:t>
      </w:r>
      <w:r w:rsidR="00F65252" w:rsidRPr="001C732F">
        <w:rPr>
          <w:rFonts w:ascii="Times New Roman" w:hAnsi="Times New Roman"/>
          <w:sz w:val="26"/>
          <w:szCs w:val="26"/>
        </w:rPr>
        <w:t>,</w:t>
      </w:r>
      <w:r w:rsidR="00893892" w:rsidRPr="001C732F">
        <w:rPr>
          <w:rFonts w:ascii="Times New Roman" w:hAnsi="Times New Roman"/>
          <w:sz w:val="26"/>
          <w:szCs w:val="26"/>
        </w:rPr>
        <w:t xml:space="preserve"> na samym początku </w:t>
      </w:r>
      <w:r w:rsidR="00252924" w:rsidRPr="001C732F">
        <w:rPr>
          <w:rFonts w:ascii="Times New Roman" w:hAnsi="Times New Roman"/>
          <w:sz w:val="26"/>
          <w:szCs w:val="26"/>
        </w:rPr>
        <w:t>przedstawiamy</w:t>
      </w:r>
      <w:r w:rsidR="00BA0A1D" w:rsidRPr="001C732F">
        <w:rPr>
          <w:rFonts w:ascii="Times New Roman" w:hAnsi="Times New Roman"/>
          <w:sz w:val="26"/>
          <w:szCs w:val="26"/>
        </w:rPr>
        <w:t xml:space="preserve"> </w:t>
      </w:r>
      <w:r w:rsidR="00893892" w:rsidRPr="001C732F">
        <w:rPr>
          <w:rFonts w:ascii="Times New Roman" w:hAnsi="Times New Roman"/>
          <w:sz w:val="26"/>
          <w:szCs w:val="26"/>
        </w:rPr>
        <w:t xml:space="preserve">ranking z </w:t>
      </w:r>
      <w:r w:rsidR="00DD077A" w:rsidRPr="001C732F">
        <w:rPr>
          <w:rFonts w:ascii="Times New Roman" w:hAnsi="Times New Roman"/>
          <w:sz w:val="26"/>
          <w:szCs w:val="26"/>
        </w:rPr>
        <w:t>3-lecia (</w:t>
      </w:r>
      <w:r w:rsidR="00BA0A1D" w:rsidRPr="001C732F">
        <w:rPr>
          <w:rFonts w:ascii="Times New Roman" w:hAnsi="Times New Roman"/>
          <w:sz w:val="26"/>
          <w:szCs w:val="26"/>
        </w:rPr>
        <w:t xml:space="preserve">lata </w:t>
      </w:r>
      <w:r w:rsidR="00893892" w:rsidRPr="001C732F">
        <w:rPr>
          <w:rFonts w:ascii="Times New Roman" w:hAnsi="Times New Roman"/>
          <w:sz w:val="26"/>
          <w:szCs w:val="26"/>
        </w:rPr>
        <w:t>201</w:t>
      </w:r>
      <w:r w:rsidR="009402DF" w:rsidRPr="001C732F">
        <w:rPr>
          <w:rFonts w:ascii="Times New Roman" w:hAnsi="Times New Roman"/>
          <w:sz w:val="26"/>
          <w:szCs w:val="26"/>
        </w:rPr>
        <w:t>5</w:t>
      </w:r>
      <w:r w:rsidR="00893892" w:rsidRPr="001C732F">
        <w:rPr>
          <w:rFonts w:ascii="Times New Roman" w:hAnsi="Times New Roman"/>
          <w:sz w:val="26"/>
          <w:szCs w:val="26"/>
        </w:rPr>
        <w:t>-201</w:t>
      </w:r>
      <w:r w:rsidR="009402DF" w:rsidRPr="001C732F">
        <w:rPr>
          <w:rFonts w:ascii="Times New Roman" w:hAnsi="Times New Roman"/>
          <w:sz w:val="26"/>
          <w:szCs w:val="26"/>
        </w:rPr>
        <w:t>7</w:t>
      </w:r>
      <w:r w:rsidR="00BA0A1D" w:rsidRPr="001C732F">
        <w:rPr>
          <w:rFonts w:ascii="Times New Roman" w:hAnsi="Times New Roman"/>
          <w:sz w:val="26"/>
          <w:szCs w:val="26"/>
        </w:rPr>
        <w:t xml:space="preserve">) stworzony w celu wyróżnienia właśnie takich </w:t>
      </w:r>
      <w:r w:rsidR="00414B37" w:rsidRPr="001C732F">
        <w:rPr>
          <w:rFonts w:ascii="Times New Roman" w:hAnsi="Times New Roman"/>
          <w:sz w:val="26"/>
          <w:szCs w:val="26"/>
        </w:rPr>
        <w:t>spółdzielni</w:t>
      </w:r>
      <w:r w:rsidR="003E21AC" w:rsidRPr="001C732F">
        <w:rPr>
          <w:rFonts w:ascii="Times New Roman" w:hAnsi="Times New Roman"/>
          <w:sz w:val="26"/>
          <w:szCs w:val="26"/>
        </w:rPr>
        <w:t xml:space="preserve"> (tabela</w:t>
      </w:r>
      <w:r w:rsidR="00E30516" w:rsidRPr="001C732F">
        <w:rPr>
          <w:rFonts w:ascii="Times New Roman" w:hAnsi="Times New Roman"/>
          <w:sz w:val="26"/>
          <w:szCs w:val="26"/>
        </w:rPr>
        <w:t xml:space="preserve"> </w:t>
      </w:r>
      <w:r w:rsidR="00252924" w:rsidRPr="001C732F">
        <w:rPr>
          <w:rFonts w:ascii="Times New Roman" w:hAnsi="Times New Roman"/>
          <w:sz w:val="26"/>
          <w:szCs w:val="26"/>
        </w:rPr>
        <w:t>5)</w:t>
      </w:r>
      <w:r w:rsidR="00893892" w:rsidRPr="001C732F">
        <w:rPr>
          <w:rFonts w:ascii="Times New Roman" w:hAnsi="Times New Roman"/>
          <w:sz w:val="26"/>
          <w:szCs w:val="26"/>
        </w:rPr>
        <w:t>.</w:t>
      </w:r>
      <w:r w:rsidR="00BA0A1D" w:rsidRPr="001C732F">
        <w:rPr>
          <w:rFonts w:ascii="Times New Roman" w:hAnsi="Times New Roman"/>
          <w:sz w:val="26"/>
          <w:szCs w:val="26"/>
        </w:rPr>
        <w:t xml:space="preserve"> Bez wątpienia grono tych gospodarstw można uznać za spółdzielczą elitę, gdzie powtarzalność osiąganych wyników potwierdza </w:t>
      </w:r>
      <w:r w:rsidR="00414B37" w:rsidRPr="001C732F">
        <w:rPr>
          <w:rFonts w:ascii="Times New Roman" w:hAnsi="Times New Roman"/>
          <w:sz w:val="26"/>
          <w:szCs w:val="26"/>
        </w:rPr>
        <w:t>najwyższy poziom wiedzy i zaangażowania członków.</w:t>
      </w:r>
      <w:r w:rsidR="002466DD" w:rsidRPr="001C732F">
        <w:rPr>
          <w:rFonts w:ascii="Times New Roman" w:hAnsi="Times New Roman"/>
          <w:sz w:val="26"/>
          <w:szCs w:val="26"/>
        </w:rPr>
        <w:t xml:space="preserve"> W </w:t>
      </w:r>
      <w:r w:rsidR="00207498" w:rsidRPr="001C732F">
        <w:rPr>
          <w:rFonts w:ascii="Times New Roman" w:hAnsi="Times New Roman"/>
          <w:sz w:val="26"/>
          <w:szCs w:val="26"/>
        </w:rPr>
        <w:t>tegorocznym</w:t>
      </w:r>
      <w:r w:rsidR="002466DD" w:rsidRPr="001C732F">
        <w:rPr>
          <w:rFonts w:ascii="Times New Roman" w:hAnsi="Times New Roman"/>
          <w:sz w:val="26"/>
          <w:szCs w:val="26"/>
        </w:rPr>
        <w:t xml:space="preserve"> rankingu</w:t>
      </w:r>
      <w:r w:rsidR="00901025" w:rsidRPr="001C732F">
        <w:rPr>
          <w:rFonts w:ascii="Times New Roman" w:hAnsi="Times New Roman"/>
          <w:sz w:val="26"/>
          <w:szCs w:val="26"/>
        </w:rPr>
        <w:t xml:space="preserve">, </w:t>
      </w:r>
      <w:r w:rsidR="00DD077A" w:rsidRPr="001C732F">
        <w:rPr>
          <w:rFonts w:ascii="Times New Roman" w:hAnsi="Times New Roman"/>
          <w:sz w:val="26"/>
          <w:szCs w:val="26"/>
        </w:rPr>
        <w:t xml:space="preserve">na pierwszej pozycji znalazła się </w:t>
      </w:r>
      <w:r w:rsidR="00CD0F2E" w:rsidRPr="001C732F">
        <w:rPr>
          <w:rFonts w:ascii="Times New Roman" w:hAnsi="Times New Roman"/>
          <w:sz w:val="26"/>
          <w:szCs w:val="26"/>
        </w:rPr>
        <w:t>RSP Lubosina z województwa wielkopolskiego, jako lider tegorocznej listy głównej i wicelider listy za 2016</w:t>
      </w:r>
      <w:r w:rsidR="00760C59" w:rsidRPr="001C732F">
        <w:rPr>
          <w:rFonts w:ascii="Times New Roman" w:hAnsi="Times New Roman"/>
          <w:sz w:val="26"/>
          <w:szCs w:val="26"/>
        </w:rPr>
        <w:t xml:space="preserve"> </w:t>
      </w:r>
      <w:r w:rsidR="00275EFF" w:rsidRPr="001C732F">
        <w:rPr>
          <w:rFonts w:ascii="Times New Roman" w:hAnsi="Times New Roman"/>
          <w:sz w:val="26"/>
          <w:szCs w:val="26"/>
        </w:rPr>
        <w:t>r.</w:t>
      </w:r>
      <w:r w:rsidR="00CD0F2E" w:rsidRPr="001C732F">
        <w:rPr>
          <w:rFonts w:ascii="Times New Roman" w:hAnsi="Times New Roman"/>
          <w:sz w:val="26"/>
          <w:szCs w:val="26"/>
        </w:rPr>
        <w:t xml:space="preserve"> Na drugiej pozycji uplasował</w:t>
      </w:r>
      <w:r w:rsidR="00760C59" w:rsidRPr="001C732F">
        <w:rPr>
          <w:rFonts w:ascii="Times New Roman" w:hAnsi="Times New Roman"/>
          <w:sz w:val="26"/>
          <w:szCs w:val="26"/>
        </w:rPr>
        <w:t>a</w:t>
      </w:r>
      <w:r w:rsidR="00CD0F2E" w:rsidRPr="001C732F">
        <w:rPr>
          <w:rFonts w:ascii="Times New Roman" w:hAnsi="Times New Roman"/>
          <w:sz w:val="26"/>
          <w:szCs w:val="26"/>
        </w:rPr>
        <w:t xml:space="preserve"> się RSP Hopkie z woj. lubelskiego również wicelider głównego zestawienia. Trzecia lokata przypadła RSP Krzywa z województwa podlaskiego, która drugi rok z </w:t>
      </w:r>
      <w:r w:rsidR="008F7C68" w:rsidRPr="001C732F">
        <w:rPr>
          <w:rFonts w:ascii="Times New Roman" w:hAnsi="Times New Roman"/>
          <w:sz w:val="26"/>
          <w:szCs w:val="26"/>
        </w:rPr>
        <w:t>rzędu</w:t>
      </w:r>
      <w:r w:rsidR="00CD0F2E" w:rsidRPr="001C732F">
        <w:rPr>
          <w:rFonts w:ascii="Times New Roman" w:hAnsi="Times New Roman"/>
          <w:sz w:val="26"/>
          <w:szCs w:val="26"/>
        </w:rPr>
        <w:t xml:space="preserve"> utrzymała 4 pozycj</w:t>
      </w:r>
      <w:r w:rsidR="00150B1A" w:rsidRPr="001C732F">
        <w:rPr>
          <w:rFonts w:ascii="Times New Roman" w:hAnsi="Times New Roman"/>
          <w:sz w:val="26"/>
          <w:szCs w:val="26"/>
        </w:rPr>
        <w:t>ę</w:t>
      </w:r>
      <w:r w:rsidR="00CD0F2E" w:rsidRPr="001C732F">
        <w:rPr>
          <w:rFonts w:ascii="Times New Roman" w:hAnsi="Times New Roman"/>
          <w:sz w:val="26"/>
          <w:szCs w:val="26"/>
        </w:rPr>
        <w:t xml:space="preserve"> w zestawieniu głównym. Pełna przejrzystość uzyskanych wyników 3-letniego</w:t>
      </w:r>
      <w:r w:rsidR="003F129D" w:rsidRPr="001C732F">
        <w:rPr>
          <w:rFonts w:ascii="Times New Roman" w:hAnsi="Times New Roman"/>
          <w:sz w:val="26"/>
          <w:szCs w:val="26"/>
        </w:rPr>
        <w:t xml:space="preserve"> </w:t>
      </w:r>
      <w:r w:rsidR="00877025" w:rsidRPr="001C732F">
        <w:rPr>
          <w:rFonts w:ascii="Times New Roman" w:hAnsi="Times New Roman"/>
          <w:sz w:val="26"/>
          <w:szCs w:val="26"/>
        </w:rPr>
        <w:t>rankingu</w:t>
      </w:r>
      <w:r w:rsidR="00415AB8" w:rsidRPr="001C732F">
        <w:rPr>
          <w:rFonts w:ascii="Times New Roman" w:hAnsi="Times New Roman"/>
          <w:sz w:val="26"/>
          <w:szCs w:val="26"/>
        </w:rPr>
        <w:t xml:space="preserve"> </w:t>
      </w:r>
      <w:r w:rsidR="005B61C8" w:rsidRPr="001C732F">
        <w:rPr>
          <w:rFonts w:ascii="Times New Roman" w:hAnsi="Times New Roman"/>
          <w:sz w:val="26"/>
          <w:szCs w:val="26"/>
        </w:rPr>
        <w:t xml:space="preserve">predysponuje wszystkie </w:t>
      </w:r>
      <w:r w:rsidR="00CD0F2E" w:rsidRPr="001C732F">
        <w:rPr>
          <w:rFonts w:ascii="Times New Roman" w:hAnsi="Times New Roman"/>
          <w:sz w:val="26"/>
          <w:szCs w:val="26"/>
        </w:rPr>
        <w:t xml:space="preserve">te </w:t>
      </w:r>
      <w:r w:rsidR="005B61C8" w:rsidRPr="001C732F">
        <w:rPr>
          <w:rFonts w:ascii="Times New Roman" w:hAnsi="Times New Roman"/>
          <w:sz w:val="26"/>
          <w:szCs w:val="26"/>
        </w:rPr>
        <w:t>spółdzielnie</w:t>
      </w:r>
      <w:r w:rsidR="00CD0F2E" w:rsidRPr="001C732F">
        <w:rPr>
          <w:rFonts w:ascii="Times New Roman" w:hAnsi="Times New Roman"/>
          <w:sz w:val="26"/>
          <w:szCs w:val="26"/>
        </w:rPr>
        <w:t>, które znalazły się w tym zestawieniu,</w:t>
      </w:r>
      <w:r w:rsidR="005B61C8" w:rsidRPr="001C732F">
        <w:rPr>
          <w:rFonts w:ascii="Times New Roman" w:hAnsi="Times New Roman"/>
          <w:sz w:val="26"/>
          <w:szCs w:val="26"/>
        </w:rPr>
        <w:t xml:space="preserve"> </w:t>
      </w:r>
      <w:r w:rsidR="00EF6D1A" w:rsidRPr="001C732F">
        <w:rPr>
          <w:rFonts w:ascii="Times New Roman" w:hAnsi="Times New Roman"/>
          <w:sz w:val="26"/>
          <w:szCs w:val="26"/>
        </w:rPr>
        <w:t>do grona super</w:t>
      </w:r>
      <w:r w:rsidR="005B61C8" w:rsidRPr="001C732F">
        <w:rPr>
          <w:rFonts w:ascii="Times New Roman" w:hAnsi="Times New Roman"/>
          <w:sz w:val="26"/>
          <w:szCs w:val="26"/>
        </w:rPr>
        <w:t>elit</w:t>
      </w:r>
      <w:r w:rsidR="00E53F04" w:rsidRPr="001C732F">
        <w:rPr>
          <w:rFonts w:ascii="Times New Roman" w:hAnsi="Times New Roman"/>
          <w:sz w:val="26"/>
          <w:szCs w:val="26"/>
        </w:rPr>
        <w:t xml:space="preserve">y </w:t>
      </w:r>
      <w:r w:rsidR="00CD0F2E" w:rsidRPr="001C732F">
        <w:rPr>
          <w:rFonts w:ascii="Times New Roman" w:hAnsi="Times New Roman"/>
          <w:sz w:val="26"/>
          <w:szCs w:val="26"/>
        </w:rPr>
        <w:t>RSP</w:t>
      </w:r>
      <w:r w:rsidR="00DC2BA4" w:rsidRPr="001C732F">
        <w:rPr>
          <w:rFonts w:ascii="Times New Roman" w:hAnsi="Times New Roman"/>
          <w:sz w:val="26"/>
          <w:szCs w:val="26"/>
        </w:rPr>
        <w:t xml:space="preserve">. </w:t>
      </w:r>
    </w:p>
    <w:p w:rsidR="00040929" w:rsidRPr="001C732F" w:rsidRDefault="00040929" w:rsidP="008E079B">
      <w:pPr>
        <w:spacing w:before="120" w:after="120" w:line="264" w:lineRule="auto"/>
        <w:rPr>
          <w:rFonts w:ascii="Times New Roman" w:hAnsi="Times New Roman" w:cs="Times New Roman"/>
          <w:b/>
          <w:sz w:val="26"/>
          <w:szCs w:val="26"/>
        </w:rPr>
      </w:pPr>
      <w:r w:rsidRPr="001C732F">
        <w:rPr>
          <w:rFonts w:ascii="Times New Roman" w:hAnsi="Times New Roman" w:cs="Times New Roman"/>
          <w:b/>
          <w:sz w:val="26"/>
          <w:szCs w:val="26"/>
        </w:rPr>
        <w:t>Uwarunkowania makroekonomiczne w 201</w:t>
      </w:r>
      <w:r w:rsidR="00150B1A" w:rsidRPr="001C732F">
        <w:rPr>
          <w:rFonts w:ascii="Times New Roman" w:hAnsi="Times New Roman" w:cs="Times New Roman"/>
          <w:b/>
          <w:sz w:val="26"/>
          <w:szCs w:val="26"/>
        </w:rPr>
        <w:t>7</w:t>
      </w:r>
      <w:r w:rsidRPr="001C732F">
        <w:rPr>
          <w:rFonts w:ascii="Times New Roman" w:hAnsi="Times New Roman" w:cs="Times New Roman"/>
          <w:b/>
          <w:sz w:val="26"/>
          <w:szCs w:val="26"/>
        </w:rPr>
        <w:t xml:space="preserve"> roku</w:t>
      </w:r>
    </w:p>
    <w:p w:rsidR="000E6CFD" w:rsidRPr="001C732F" w:rsidRDefault="000E6CFD" w:rsidP="001C732F">
      <w:pPr>
        <w:spacing w:before="60" w:after="0" w:line="264" w:lineRule="auto"/>
        <w:ind w:firstLine="425"/>
        <w:jc w:val="both"/>
        <w:rPr>
          <w:rFonts w:ascii="Times New Roman" w:hAnsi="Times New Roman" w:cs="Times New Roman"/>
          <w:sz w:val="26"/>
          <w:szCs w:val="26"/>
        </w:rPr>
      </w:pPr>
      <w:r w:rsidRPr="001C732F">
        <w:rPr>
          <w:rFonts w:ascii="Times New Roman" w:hAnsi="Times New Roman" w:cs="Times New Roman"/>
          <w:sz w:val="26"/>
          <w:szCs w:val="26"/>
        </w:rPr>
        <w:t xml:space="preserve">Po zwolnieniu tempa wzrostu gospodarczego Polski </w:t>
      </w:r>
      <w:r w:rsidR="00275EFF" w:rsidRPr="001C732F">
        <w:rPr>
          <w:rFonts w:ascii="Times New Roman" w:hAnsi="Times New Roman" w:cs="Times New Roman"/>
          <w:sz w:val="26"/>
          <w:szCs w:val="26"/>
        </w:rPr>
        <w:t>z 3,8% w 2015 r. do 2,9% w 2016</w:t>
      </w:r>
      <w:r w:rsidRPr="001C732F">
        <w:rPr>
          <w:rFonts w:ascii="Times New Roman" w:hAnsi="Times New Roman" w:cs="Times New Roman"/>
          <w:sz w:val="26"/>
          <w:szCs w:val="26"/>
        </w:rPr>
        <w:t>r., w ubiegłym roku utrzymywała się pomyślna sytuacja makroekonomiczna. Wyższej niż przed rokiem dynamice gospodarczej sprzyjał zwiększając</w:t>
      </w:r>
      <w:r w:rsidR="007E2F98" w:rsidRPr="001C732F">
        <w:rPr>
          <w:rFonts w:ascii="Times New Roman" w:hAnsi="Times New Roman" w:cs="Times New Roman"/>
          <w:sz w:val="26"/>
          <w:szCs w:val="26"/>
        </w:rPr>
        <w:t>y się popyt konsumpcyjny, który</w:t>
      </w:r>
      <w:r w:rsidRPr="001C732F">
        <w:rPr>
          <w:rFonts w:ascii="Times New Roman" w:hAnsi="Times New Roman" w:cs="Times New Roman"/>
          <w:sz w:val="26"/>
          <w:szCs w:val="26"/>
        </w:rPr>
        <w:t xml:space="preserve"> kolejny drugi rok, był głównym czynnikiem wzrostu. Towarzyszyły temu korzystne tendencje w bilansie płatniczym, niska, choć rosnąca dynamika cen, niezmieniane od marca 2015 r. stopy procentowe, umiarkowana akcja kredytowa, zbliżona do nominalnego tempa wzrostu P</w:t>
      </w:r>
      <w:r w:rsidR="007E2F98" w:rsidRPr="001C732F">
        <w:rPr>
          <w:rFonts w:ascii="Times New Roman" w:hAnsi="Times New Roman" w:cs="Times New Roman"/>
          <w:sz w:val="26"/>
          <w:szCs w:val="26"/>
        </w:rPr>
        <w:t>KB, pomyślna sytuacja na rynku</w:t>
      </w:r>
      <w:r w:rsidRPr="001C732F">
        <w:rPr>
          <w:rFonts w:ascii="Times New Roman" w:hAnsi="Times New Roman" w:cs="Times New Roman"/>
          <w:sz w:val="26"/>
          <w:szCs w:val="26"/>
        </w:rPr>
        <w:t xml:space="preserve"> pracy. Zagrożeniem dla stabilizacji gospodarki pozostawał natomiast przede wszystkim, utrzymujący się od dwóch lat, regres procesów inwestycyjnych, a także narastanie długu publicznego i to przy dobrych w</w:t>
      </w:r>
      <w:r w:rsidR="00275EFF" w:rsidRPr="001C732F">
        <w:rPr>
          <w:rFonts w:ascii="Times New Roman" w:hAnsi="Times New Roman" w:cs="Times New Roman"/>
          <w:sz w:val="26"/>
          <w:szCs w:val="26"/>
        </w:rPr>
        <w:t>ynikach budżetu państwa. W 2017</w:t>
      </w:r>
      <w:r w:rsidR="00F15C19" w:rsidRPr="001C732F">
        <w:rPr>
          <w:rFonts w:ascii="Times New Roman" w:hAnsi="Times New Roman" w:cs="Times New Roman"/>
          <w:sz w:val="26"/>
          <w:szCs w:val="26"/>
        </w:rPr>
        <w:t xml:space="preserve"> </w:t>
      </w:r>
      <w:r w:rsidRPr="001C732F">
        <w:rPr>
          <w:rFonts w:ascii="Times New Roman" w:hAnsi="Times New Roman" w:cs="Times New Roman"/>
          <w:sz w:val="26"/>
          <w:szCs w:val="26"/>
        </w:rPr>
        <w:t xml:space="preserve">r. PKB wzrósł o 4,6%, przy czym spożycie w sektorze gospodarstw domowych zwiększyło się o 4,8%. Na rosnącą konsumpcję pozytywnie oddziaływał wzrost </w:t>
      </w:r>
      <w:r w:rsidRPr="001C732F">
        <w:rPr>
          <w:rFonts w:ascii="Times New Roman" w:hAnsi="Times New Roman" w:cs="Times New Roman"/>
          <w:sz w:val="26"/>
          <w:szCs w:val="26"/>
        </w:rPr>
        <w:lastRenderedPageBreak/>
        <w:t>zatrudnienia i wynagrodzeń, dobre nastroje konsumentów oraz wypłaty świadczeń wychowawczych. Liczba pracujących w polskiej gospodarce rosła piąty rok</w:t>
      </w:r>
      <w:r w:rsidR="00150B1A" w:rsidRPr="001C732F">
        <w:rPr>
          <w:rFonts w:ascii="Times New Roman" w:hAnsi="Times New Roman" w:cs="Times New Roman"/>
          <w:sz w:val="26"/>
          <w:szCs w:val="26"/>
        </w:rPr>
        <w:t xml:space="preserve"> z rzędu</w:t>
      </w:r>
      <w:r w:rsidRPr="001C732F">
        <w:rPr>
          <w:rFonts w:ascii="Times New Roman" w:hAnsi="Times New Roman" w:cs="Times New Roman"/>
          <w:sz w:val="26"/>
          <w:szCs w:val="26"/>
        </w:rPr>
        <w:t xml:space="preserve">, a jej średnie roczne tempo </w:t>
      </w:r>
      <w:r w:rsidR="00F15C19" w:rsidRPr="001C732F">
        <w:rPr>
          <w:rFonts w:ascii="Times New Roman" w:hAnsi="Times New Roman" w:cs="Times New Roman"/>
          <w:sz w:val="26"/>
          <w:szCs w:val="26"/>
        </w:rPr>
        <w:t>w latach 2013-2017 wyniosło 2,1</w:t>
      </w:r>
      <w:r w:rsidRPr="001C732F">
        <w:rPr>
          <w:rFonts w:ascii="Times New Roman" w:hAnsi="Times New Roman" w:cs="Times New Roman"/>
          <w:sz w:val="26"/>
          <w:szCs w:val="26"/>
        </w:rPr>
        <w:t xml:space="preserve">%, przy czym w ubiegłym roku 2,8%. Towarzyszyły temu nasilające się problemy ze znalezieniem odpowiednich pracowników, co staje się istotną barierą rozwoju firm. Dotyczy to szczególnie budownictwa i usług. Stopa rejestrowanego </w:t>
      </w:r>
      <w:r w:rsidR="00275EFF" w:rsidRPr="001C732F">
        <w:rPr>
          <w:rFonts w:ascii="Times New Roman" w:hAnsi="Times New Roman" w:cs="Times New Roman"/>
          <w:sz w:val="26"/>
          <w:szCs w:val="26"/>
        </w:rPr>
        <w:t>bezrobocia w końcu grudnia 2017</w:t>
      </w:r>
      <w:r w:rsidR="00F15C19" w:rsidRPr="001C732F">
        <w:rPr>
          <w:rFonts w:ascii="Times New Roman" w:hAnsi="Times New Roman" w:cs="Times New Roman"/>
          <w:sz w:val="26"/>
          <w:szCs w:val="26"/>
        </w:rPr>
        <w:t> </w:t>
      </w:r>
      <w:r w:rsidRPr="001C732F">
        <w:rPr>
          <w:rFonts w:ascii="Times New Roman" w:hAnsi="Times New Roman" w:cs="Times New Roman"/>
          <w:sz w:val="26"/>
          <w:szCs w:val="26"/>
        </w:rPr>
        <w:t>r. obniżyła się do 6,6% i była najniższa od ponad 25 lat, ale bez pracy pozostawało 1,08 mln osób, a ponad 2,5 mln czasowo (powyżej trzech miesięcy), głównie w celach zarobkowych, przebywało za granicą.</w:t>
      </w:r>
    </w:p>
    <w:p w:rsidR="00E962A2" w:rsidRPr="001C732F" w:rsidRDefault="00E962A2" w:rsidP="001C732F">
      <w:pPr>
        <w:spacing w:before="60" w:after="0" w:line="264" w:lineRule="auto"/>
        <w:ind w:firstLine="425"/>
        <w:jc w:val="both"/>
        <w:rPr>
          <w:rFonts w:ascii="Times New Roman" w:hAnsi="Times New Roman" w:cs="Times New Roman"/>
          <w:sz w:val="26"/>
          <w:szCs w:val="26"/>
        </w:rPr>
      </w:pPr>
      <w:r w:rsidRPr="001C732F">
        <w:rPr>
          <w:rFonts w:ascii="Times New Roman" w:hAnsi="Times New Roman" w:cs="Times New Roman"/>
          <w:sz w:val="26"/>
          <w:szCs w:val="26"/>
        </w:rPr>
        <w:t>Przy tych uwarunkowaniach wysoka była skłonność do zakupów, na co wskazują dane dotyczące sprzedaży detalicznej, która w 2017</w:t>
      </w:r>
      <w:r w:rsidR="00F15C19" w:rsidRPr="001C732F">
        <w:rPr>
          <w:rFonts w:ascii="Times New Roman" w:hAnsi="Times New Roman" w:cs="Times New Roman"/>
          <w:sz w:val="26"/>
          <w:szCs w:val="26"/>
        </w:rPr>
        <w:t> </w:t>
      </w:r>
      <w:r w:rsidRPr="001C732F">
        <w:rPr>
          <w:rFonts w:ascii="Times New Roman" w:hAnsi="Times New Roman" w:cs="Times New Roman"/>
          <w:sz w:val="26"/>
          <w:szCs w:val="26"/>
        </w:rPr>
        <w:t>r., we wszystkich handlowych i nie handlowych przedsiębiorstwach (łącznie z jednostkami o liczbie pracujących do 9 osób) była, w cenach stałych, o 4,9% większa niż przed rokiem,</w:t>
      </w:r>
      <w:r w:rsidR="008F7C68" w:rsidRPr="001C732F">
        <w:rPr>
          <w:rFonts w:ascii="Times New Roman" w:hAnsi="Times New Roman" w:cs="Times New Roman"/>
          <w:sz w:val="26"/>
          <w:szCs w:val="26"/>
        </w:rPr>
        <w:t xml:space="preserve"> podczas gdy w 2016</w:t>
      </w:r>
      <w:r w:rsidR="00877076" w:rsidRPr="001C732F">
        <w:rPr>
          <w:rFonts w:ascii="Times New Roman" w:hAnsi="Times New Roman" w:cs="Times New Roman"/>
          <w:sz w:val="26"/>
          <w:szCs w:val="26"/>
        </w:rPr>
        <w:t> </w:t>
      </w:r>
      <w:r w:rsidR="008F7C68" w:rsidRPr="001C732F">
        <w:rPr>
          <w:rFonts w:ascii="Times New Roman" w:hAnsi="Times New Roman" w:cs="Times New Roman"/>
          <w:sz w:val="26"/>
          <w:szCs w:val="26"/>
        </w:rPr>
        <w:t xml:space="preserve">r. o 6,2%. </w:t>
      </w:r>
      <w:r w:rsidRPr="001C732F">
        <w:rPr>
          <w:rFonts w:ascii="Times New Roman" w:hAnsi="Times New Roman" w:cs="Times New Roman"/>
          <w:sz w:val="26"/>
          <w:szCs w:val="26"/>
        </w:rPr>
        <w:t>Dynamizująco na wzrost sprzedaży wpływało, obserwowane także w poprzednich latach, zainteresowanie kredytami konsumpcyjnymi, z tytułu których zadłużenie gospodarstw domowych realnie zwiększyło się o 4,8%.</w:t>
      </w:r>
    </w:p>
    <w:p w:rsidR="00E962A2" w:rsidRPr="001C732F" w:rsidRDefault="00E962A2" w:rsidP="001C732F">
      <w:pPr>
        <w:spacing w:before="60" w:after="0" w:line="264" w:lineRule="auto"/>
        <w:ind w:firstLine="425"/>
        <w:jc w:val="both"/>
        <w:rPr>
          <w:rFonts w:ascii="Times New Roman" w:hAnsi="Times New Roman" w:cs="Times New Roman"/>
          <w:sz w:val="26"/>
          <w:szCs w:val="26"/>
        </w:rPr>
      </w:pPr>
      <w:r w:rsidRPr="001C732F">
        <w:rPr>
          <w:rFonts w:ascii="Times New Roman" w:hAnsi="Times New Roman" w:cs="Times New Roman"/>
          <w:sz w:val="26"/>
          <w:szCs w:val="26"/>
        </w:rPr>
        <w:t>Po dwuipółrocznym okresie utrzymywania się tendencji deflacyjnych, od grudnia 2016 r. notuje się wzrost cen towarów i usług konsumpcyjnych, który w 2017 r. wyniósł 2,0%, przy czym żywność zdrożała o 4,6%, będąc głównym źródłem zwiększającej się presji inflacyjnej.</w:t>
      </w:r>
    </w:p>
    <w:p w:rsidR="0096468C" w:rsidRPr="001C732F" w:rsidRDefault="0096468C" w:rsidP="001C732F">
      <w:pPr>
        <w:spacing w:before="60" w:after="0" w:line="264" w:lineRule="auto"/>
        <w:ind w:firstLine="425"/>
        <w:jc w:val="both"/>
        <w:rPr>
          <w:rFonts w:ascii="Times New Roman" w:hAnsi="Times New Roman" w:cs="Times New Roman"/>
          <w:sz w:val="26"/>
          <w:szCs w:val="26"/>
        </w:rPr>
      </w:pPr>
      <w:r w:rsidRPr="001C732F">
        <w:rPr>
          <w:rFonts w:ascii="Times New Roman" w:hAnsi="Times New Roman" w:cs="Times New Roman"/>
          <w:sz w:val="26"/>
          <w:szCs w:val="26"/>
        </w:rPr>
        <w:t>Dodatnie saldo obrotów wymiany towarowej osiągnęło 0,4 mld EUR, wobec 3,9 mld EUR w 2016</w:t>
      </w:r>
      <w:r w:rsidR="00877076" w:rsidRPr="001C732F">
        <w:rPr>
          <w:rFonts w:ascii="Times New Roman" w:hAnsi="Times New Roman" w:cs="Times New Roman"/>
          <w:sz w:val="26"/>
          <w:szCs w:val="26"/>
        </w:rPr>
        <w:t> r.</w:t>
      </w:r>
      <w:r w:rsidRPr="001C732F">
        <w:rPr>
          <w:rFonts w:ascii="Times New Roman" w:hAnsi="Times New Roman" w:cs="Times New Roman"/>
          <w:sz w:val="26"/>
          <w:szCs w:val="26"/>
        </w:rPr>
        <w:t>. Eksport produktów rolno-spożywczych zwiększył się o 12,3%, a import o 9,5%.</w:t>
      </w:r>
      <w:r w:rsidR="00541C13" w:rsidRPr="001C732F">
        <w:rPr>
          <w:rFonts w:ascii="Times New Roman" w:hAnsi="Times New Roman" w:cs="Times New Roman"/>
          <w:sz w:val="26"/>
          <w:szCs w:val="26"/>
        </w:rPr>
        <w:t xml:space="preserve"> Dodatnie saldo wyniosło 8,4 mld EUR, co wskazuje, że wymiana innymi towarami przyniosła deficyt w wysokości 8</w:t>
      </w:r>
      <w:r w:rsidR="007E2F98" w:rsidRPr="001C732F">
        <w:rPr>
          <w:rFonts w:ascii="Times New Roman" w:hAnsi="Times New Roman" w:cs="Times New Roman"/>
          <w:sz w:val="26"/>
          <w:szCs w:val="26"/>
        </w:rPr>
        <w:t xml:space="preserve"> </w:t>
      </w:r>
      <w:r w:rsidR="00541C13" w:rsidRPr="001C732F">
        <w:rPr>
          <w:rFonts w:ascii="Times New Roman" w:hAnsi="Times New Roman" w:cs="Times New Roman"/>
          <w:sz w:val="26"/>
          <w:szCs w:val="26"/>
        </w:rPr>
        <w:t>mld EUR.</w:t>
      </w:r>
    </w:p>
    <w:p w:rsidR="00F017A4" w:rsidRPr="001C732F" w:rsidRDefault="00040929" w:rsidP="008E079B">
      <w:pPr>
        <w:spacing w:before="120" w:after="120" w:line="264" w:lineRule="auto"/>
        <w:rPr>
          <w:rFonts w:ascii="Times New Roman" w:eastAsia="Times New Roman" w:hAnsi="Times New Roman" w:cs="Times New Roman"/>
          <w:b/>
          <w:sz w:val="26"/>
          <w:szCs w:val="26"/>
        </w:rPr>
      </w:pPr>
      <w:r w:rsidRPr="001C732F">
        <w:rPr>
          <w:rFonts w:ascii="Times New Roman" w:eastAsia="Times New Roman" w:hAnsi="Times New Roman" w:cs="Times New Roman"/>
          <w:b/>
          <w:sz w:val="26"/>
          <w:szCs w:val="26"/>
        </w:rPr>
        <w:t>Koniunktura w rolnictwie</w:t>
      </w:r>
    </w:p>
    <w:p w:rsidR="00541C13" w:rsidRPr="001C732F" w:rsidRDefault="00760C59" w:rsidP="00DE2470">
      <w:pPr>
        <w:tabs>
          <w:tab w:val="left" w:pos="426"/>
        </w:tabs>
        <w:spacing w:before="60" w:after="0" w:line="240" w:lineRule="auto"/>
        <w:jc w:val="both"/>
        <w:rPr>
          <w:rFonts w:ascii="Times New Roman" w:hAnsi="Times New Roman" w:cs="Times New Roman"/>
          <w:sz w:val="26"/>
          <w:szCs w:val="26"/>
        </w:rPr>
      </w:pPr>
      <w:r w:rsidRPr="001C732F">
        <w:rPr>
          <w:rFonts w:ascii="Times New Roman" w:hAnsi="Times New Roman" w:cs="Times New Roman"/>
          <w:sz w:val="26"/>
          <w:szCs w:val="26"/>
        </w:rPr>
        <w:tab/>
      </w:r>
      <w:r w:rsidR="00541C13" w:rsidRPr="001C732F">
        <w:rPr>
          <w:rFonts w:ascii="Times New Roman" w:hAnsi="Times New Roman" w:cs="Times New Roman"/>
          <w:sz w:val="26"/>
          <w:szCs w:val="26"/>
        </w:rPr>
        <w:t>W rolnictwie globalna produkcja (w cenach stałych) zwiększyła się w porównaniu z rokiem poprzednim o 1,4%. Wpłynął na to przede wszystkim wzrost produkcji zwierzęcej (o 2,5%). Wzrost produkcji roślinnej wyniósł 0,4%.</w:t>
      </w:r>
      <w:r w:rsidR="00A25047" w:rsidRPr="001C732F">
        <w:rPr>
          <w:rFonts w:ascii="Times New Roman" w:hAnsi="Times New Roman" w:cs="Times New Roman"/>
          <w:sz w:val="26"/>
          <w:szCs w:val="26"/>
        </w:rPr>
        <w:t xml:space="preserve"> </w:t>
      </w:r>
      <w:r w:rsidR="00541C13" w:rsidRPr="001C732F">
        <w:rPr>
          <w:rFonts w:ascii="Times New Roman" w:hAnsi="Times New Roman" w:cs="Times New Roman"/>
          <w:sz w:val="26"/>
          <w:szCs w:val="26"/>
        </w:rPr>
        <w:t xml:space="preserve">Rok 2017 był drugim z kolei dobrym rokiem dla rolnictwa. Wprawdzie rynkowe uwarunkowania produkcji rolniczej pogorszyły się w porównaniu z dobrym pod tym względem rokiem 2016, ale nadal były sprzyjające, mimo stosunkowo wysokiego wzrostu cen detalicznych środków produkcji dla rolnictwa. Średni ważony wzrost cen skupu podstawowych surowców rolniczych w okresie od </w:t>
      </w:r>
      <w:r w:rsidR="00275EFF" w:rsidRPr="001C732F">
        <w:rPr>
          <w:rFonts w:ascii="Times New Roman" w:hAnsi="Times New Roman" w:cs="Times New Roman"/>
          <w:sz w:val="26"/>
          <w:szCs w:val="26"/>
        </w:rPr>
        <w:t>grudnia 2016 r. do grudnia 2017</w:t>
      </w:r>
      <w:r w:rsidR="00877076" w:rsidRPr="001C732F">
        <w:rPr>
          <w:rFonts w:ascii="Times New Roman" w:hAnsi="Times New Roman" w:cs="Times New Roman"/>
          <w:sz w:val="26"/>
          <w:szCs w:val="26"/>
        </w:rPr>
        <w:t> </w:t>
      </w:r>
      <w:r w:rsidR="00541C13" w:rsidRPr="001C732F">
        <w:rPr>
          <w:rFonts w:ascii="Times New Roman" w:hAnsi="Times New Roman" w:cs="Times New Roman"/>
          <w:sz w:val="26"/>
          <w:szCs w:val="26"/>
        </w:rPr>
        <w:t xml:space="preserve">r. wyniósł 3,6% i </w:t>
      </w:r>
      <w:r w:rsidR="00C911FD" w:rsidRPr="001C732F">
        <w:rPr>
          <w:rFonts w:ascii="Times New Roman" w:hAnsi="Times New Roman" w:cs="Times New Roman"/>
          <w:sz w:val="26"/>
          <w:szCs w:val="26"/>
        </w:rPr>
        <w:t>był, co</w:t>
      </w:r>
      <w:r w:rsidR="00541C13" w:rsidRPr="001C732F">
        <w:rPr>
          <w:rFonts w:ascii="Times New Roman" w:hAnsi="Times New Roman" w:cs="Times New Roman"/>
          <w:sz w:val="26"/>
          <w:szCs w:val="26"/>
        </w:rPr>
        <w:t xml:space="preserve"> prawda niższy niż rok wcześniej, ale wyraźnie wyższy niż przed dw</w:t>
      </w:r>
      <w:r w:rsidR="00275EFF" w:rsidRPr="001C732F">
        <w:rPr>
          <w:rFonts w:ascii="Times New Roman" w:hAnsi="Times New Roman" w:cs="Times New Roman"/>
          <w:sz w:val="26"/>
          <w:szCs w:val="26"/>
        </w:rPr>
        <w:t>oma laty. W odróżnieniu od 2016</w:t>
      </w:r>
      <w:r w:rsidR="007E2F98" w:rsidRPr="001C732F">
        <w:rPr>
          <w:rFonts w:ascii="Times New Roman" w:hAnsi="Times New Roman" w:cs="Times New Roman"/>
          <w:sz w:val="26"/>
          <w:szCs w:val="26"/>
        </w:rPr>
        <w:t xml:space="preserve"> </w:t>
      </w:r>
      <w:r w:rsidR="00541C13" w:rsidRPr="001C732F">
        <w:rPr>
          <w:rFonts w:ascii="Times New Roman" w:hAnsi="Times New Roman" w:cs="Times New Roman"/>
          <w:sz w:val="26"/>
          <w:szCs w:val="26"/>
        </w:rPr>
        <w:t>r. wzrostowi cen skupu towarzyszyły jednak podwyżki cen środków produkcji (przeciętnie o 2,3%). W rezultacie skumulowany wskaźnik nożyc cen wyniósł 101,3 punktu, wobec 107,4 punktu w roku poprzednim oraz 96,2 punktu w 2015 r.</w:t>
      </w:r>
    </w:p>
    <w:p w:rsidR="00541C13" w:rsidRPr="001C732F" w:rsidRDefault="00541C13" w:rsidP="00DE2470">
      <w:pPr>
        <w:spacing w:before="60" w:after="0" w:line="240" w:lineRule="auto"/>
        <w:ind w:firstLine="425"/>
        <w:jc w:val="both"/>
        <w:rPr>
          <w:rFonts w:ascii="Times New Roman" w:hAnsi="Times New Roman" w:cs="Times New Roman"/>
          <w:sz w:val="26"/>
          <w:szCs w:val="26"/>
        </w:rPr>
      </w:pPr>
      <w:r w:rsidRPr="001C732F">
        <w:rPr>
          <w:rFonts w:ascii="Times New Roman" w:hAnsi="Times New Roman" w:cs="Times New Roman"/>
          <w:sz w:val="26"/>
          <w:szCs w:val="26"/>
        </w:rPr>
        <w:t xml:space="preserve">O wzroście cen środków produkcji (o 2,3% w ciągu 12 miesięcy 2017 r.) zadecydowały przede wszystkim podwyżki cen materiałów budowlanych, pod wpływem wzrostu inwestycji, ale także wyższe ceny bezpośrednich nośników energii w związku z drożejącymi surowcami energetycznymi w handlu światowym. Kolejny rok z rzędu podrożały maszyny rolnicze oraz środki ochrony roślin. Podobnie jak rok wcześniej potaniały z kolei nawozy mineralne, co miało związek z niskim poziomem </w:t>
      </w:r>
      <w:r w:rsidRPr="001C732F">
        <w:rPr>
          <w:rFonts w:ascii="Times New Roman" w:hAnsi="Times New Roman" w:cs="Times New Roman"/>
          <w:sz w:val="26"/>
          <w:szCs w:val="26"/>
        </w:rPr>
        <w:lastRenderedPageBreak/>
        <w:t>światowych cen nawozów. Ceny środków produkcji dla rolnictwa w latach 2013-2017 nieznacznie zmalały, a realnie (po uwzględnieniu inflacji) spadły o 2,8%. Spadek cen środków produkcji w tym okresie był jednak znacznie mniejszy niż cen skupu podstawowych produktów rolnych, które nominalnie obniżyły się o 10,8%, a realnie o 12,6%.</w:t>
      </w:r>
    </w:p>
    <w:p w:rsidR="005D71C7" w:rsidRPr="001C732F" w:rsidRDefault="005D71C7" w:rsidP="00DE2470">
      <w:pPr>
        <w:spacing w:before="60" w:after="0" w:line="240" w:lineRule="auto"/>
        <w:ind w:firstLine="425"/>
        <w:jc w:val="both"/>
        <w:rPr>
          <w:rFonts w:ascii="Times New Roman" w:hAnsi="Times New Roman" w:cs="Times New Roman"/>
          <w:sz w:val="26"/>
          <w:szCs w:val="26"/>
        </w:rPr>
      </w:pPr>
      <w:r w:rsidRPr="001C732F">
        <w:rPr>
          <w:rFonts w:ascii="Times New Roman" w:hAnsi="Times New Roman" w:cs="Times New Roman"/>
          <w:sz w:val="26"/>
          <w:szCs w:val="26"/>
        </w:rPr>
        <w:t>W grudniu 2017 r. ceny większości zbóż podstawowych były wyższe niż rok wcześniej m.in. z powodu ograniczonej podaży ziarna na krajowym rynku oraz silniejszego sezonowego wzrostu cen w handlu światowym. Pszenica w skupie podrożała w ciągu 12 miesięcy o 5,4%, żyto o 4,7%, a jęczmień o 12,7%. Z powodu gorszej jakości ziarna tańsza niż rok wcześniej (o 2,2%) była natomiast kukurydza. Ceny zbóż podstawowych zmalały latach 2013-2017 nominalnie od 21,8% (jęczmień) do 33,8% (pszenica), a realnie od 23,4 do 35,2%.</w:t>
      </w:r>
    </w:p>
    <w:p w:rsidR="00B0394F" w:rsidRPr="001C732F" w:rsidRDefault="00275EFF" w:rsidP="00DE2470">
      <w:pPr>
        <w:spacing w:before="60" w:after="0" w:line="240" w:lineRule="auto"/>
        <w:ind w:firstLine="425"/>
        <w:jc w:val="both"/>
        <w:rPr>
          <w:rFonts w:ascii="Times New Roman" w:hAnsi="Times New Roman" w:cs="Times New Roman"/>
          <w:sz w:val="26"/>
          <w:szCs w:val="26"/>
        </w:rPr>
      </w:pPr>
      <w:r w:rsidRPr="001C732F">
        <w:rPr>
          <w:rFonts w:ascii="Times New Roman" w:hAnsi="Times New Roman" w:cs="Times New Roman"/>
          <w:sz w:val="26"/>
          <w:szCs w:val="26"/>
        </w:rPr>
        <w:t>W 2017</w:t>
      </w:r>
      <w:r w:rsidR="00E56AF7" w:rsidRPr="001C732F">
        <w:rPr>
          <w:rFonts w:ascii="Times New Roman" w:hAnsi="Times New Roman" w:cs="Times New Roman"/>
          <w:sz w:val="26"/>
          <w:szCs w:val="26"/>
        </w:rPr>
        <w:t xml:space="preserve"> </w:t>
      </w:r>
      <w:r w:rsidR="005D71C7" w:rsidRPr="001C732F">
        <w:rPr>
          <w:rFonts w:ascii="Times New Roman" w:hAnsi="Times New Roman" w:cs="Times New Roman"/>
          <w:sz w:val="26"/>
          <w:szCs w:val="26"/>
        </w:rPr>
        <w:t>r. zboża zdrożały przede wszystkim w stosunku do żywca wieprzowego, którego ceny zmalały o 9,4%. Zawężenie relacji cen żywca wieprzowego do cen żyta oraz jęczmienia wskazuje na pogorszenie opłacalności chowu trzody chlewnej</w:t>
      </w:r>
      <w:r w:rsidR="00B0394F" w:rsidRPr="001C732F">
        <w:rPr>
          <w:rFonts w:ascii="Times New Roman" w:hAnsi="Times New Roman" w:cs="Times New Roman"/>
          <w:sz w:val="26"/>
          <w:szCs w:val="26"/>
        </w:rPr>
        <w:t>.</w:t>
      </w:r>
      <w:r w:rsidR="005D71C7" w:rsidRPr="001C732F">
        <w:rPr>
          <w:rFonts w:ascii="Times New Roman" w:hAnsi="Times New Roman" w:cs="Times New Roman"/>
          <w:sz w:val="26"/>
          <w:szCs w:val="26"/>
        </w:rPr>
        <w:t xml:space="preserve"> </w:t>
      </w:r>
    </w:p>
    <w:p w:rsidR="00B0394F" w:rsidRPr="001C732F" w:rsidRDefault="00275EFF" w:rsidP="00DE2470">
      <w:pPr>
        <w:spacing w:before="60" w:after="0" w:line="240" w:lineRule="auto"/>
        <w:ind w:firstLine="425"/>
        <w:jc w:val="both"/>
        <w:rPr>
          <w:rFonts w:ascii="Times New Roman" w:hAnsi="Times New Roman" w:cs="Times New Roman"/>
          <w:sz w:val="26"/>
          <w:szCs w:val="26"/>
        </w:rPr>
      </w:pPr>
      <w:r w:rsidRPr="001C732F">
        <w:rPr>
          <w:rFonts w:ascii="Times New Roman" w:hAnsi="Times New Roman" w:cs="Times New Roman"/>
          <w:sz w:val="26"/>
          <w:szCs w:val="26"/>
        </w:rPr>
        <w:t>W 2017</w:t>
      </w:r>
      <w:r w:rsidR="00F15B85" w:rsidRPr="001C732F">
        <w:rPr>
          <w:rFonts w:ascii="Times New Roman" w:hAnsi="Times New Roman" w:cs="Times New Roman"/>
          <w:sz w:val="26"/>
          <w:szCs w:val="26"/>
        </w:rPr>
        <w:t xml:space="preserve"> </w:t>
      </w:r>
      <w:r w:rsidR="005D71C7" w:rsidRPr="001C732F">
        <w:rPr>
          <w:rFonts w:ascii="Times New Roman" w:hAnsi="Times New Roman" w:cs="Times New Roman"/>
          <w:sz w:val="26"/>
          <w:szCs w:val="26"/>
        </w:rPr>
        <w:t xml:space="preserve">r. praktycznie nie zmieniła się opłacalność produkcji drobiarskiej mierzona relacjami cen żywca drobiowego do zbóż i pasz. Wzrost cen zbóż podstawowych był zbliżony do podwyżek cen drobiu w skupie. Przy stosunkowo stabilnych cenach pasz wysokobiałkowych relacje cen skupu drobiu do mieszanki DKA (podstawowej mieszanki pełnoporcjowej stosowanej w żywieniu kurcząt rzeźnych) uległy niewielkiej poprawie. </w:t>
      </w:r>
    </w:p>
    <w:p w:rsidR="000E4BEC" w:rsidRPr="001C732F" w:rsidRDefault="005D71C7" w:rsidP="00DE2470">
      <w:pPr>
        <w:spacing w:before="60" w:after="0" w:line="240" w:lineRule="auto"/>
        <w:ind w:firstLine="425"/>
        <w:jc w:val="both"/>
        <w:rPr>
          <w:rFonts w:ascii="Times New Roman" w:hAnsi="Times New Roman" w:cs="Times New Roman"/>
          <w:sz w:val="26"/>
          <w:szCs w:val="26"/>
        </w:rPr>
      </w:pPr>
      <w:r w:rsidRPr="001C732F">
        <w:rPr>
          <w:rFonts w:ascii="Times New Roman" w:hAnsi="Times New Roman" w:cs="Times New Roman"/>
          <w:sz w:val="26"/>
          <w:szCs w:val="26"/>
        </w:rPr>
        <w:t xml:space="preserve">Ceny skupu bydła wzrosły w okresie 12 miesięcy 2017 r. o ponad 7%, przy wzroście cen cieląt o 10,4%. Przy stosunkowo stabilnych cenach pasz było to równoznaczne z poprawą bezwzględnej opłacalności produkcji żywca wołowego. </w:t>
      </w:r>
    </w:p>
    <w:p w:rsidR="002E18B8" w:rsidRPr="001C732F" w:rsidRDefault="005D71C7" w:rsidP="00DE2470">
      <w:pPr>
        <w:spacing w:before="60" w:after="0" w:line="240" w:lineRule="auto"/>
        <w:ind w:firstLine="425"/>
        <w:jc w:val="both"/>
        <w:rPr>
          <w:rFonts w:ascii="Times New Roman" w:hAnsi="Times New Roman" w:cs="Times New Roman"/>
          <w:sz w:val="26"/>
          <w:szCs w:val="26"/>
        </w:rPr>
      </w:pPr>
      <w:r w:rsidRPr="001C732F">
        <w:rPr>
          <w:rFonts w:ascii="Times New Roman" w:hAnsi="Times New Roman" w:cs="Times New Roman"/>
          <w:sz w:val="26"/>
          <w:szCs w:val="26"/>
        </w:rPr>
        <w:t xml:space="preserve">Rok 2017 był drugim z kolei dobrym rokiem dla producentów mleka. Stosunkowo dobra koniunktura na światowym rynku w warunkach utrzymującego się wysokiego tempa wzrostu krajowego skupu mleka spowodowała, że ceny w skupie podniosły się w ciągu 12 miesięcy o 12,2%. </w:t>
      </w:r>
    </w:p>
    <w:p w:rsidR="00040929" w:rsidRPr="001C732F" w:rsidRDefault="006F10BF" w:rsidP="006050E4">
      <w:pPr>
        <w:spacing w:after="0" w:line="240" w:lineRule="auto"/>
        <w:ind w:firstLine="709"/>
        <w:jc w:val="right"/>
        <w:rPr>
          <w:rFonts w:ascii="Times New Roman" w:eastAsia="Times New Roman" w:hAnsi="Times New Roman" w:cs="Times New Roman"/>
          <w:sz w:val="26"/>
          <w:szCs w:val="26"/>
        </w:rPr>
      </w:pPr>
      <w:r w:rsidRPr="001C732F">
        <w:rPr>
          <w:rFonts w:ascii="Times New Roman" w:eastAsia="Times New Roman" w:hAnsi="Times New Roman" w:cs="Times New Roman"/>
          <w:sz w:val="26"/>
          <w:szCs w:val="26"/>
        </w:rPr>
        <w:t>Tabela 1</w:t>
      </w:r>
    </w:p>
    <w:p w:rsidR="00040929" w:rsidRPr="008351E6" w:rsidRDefault="00040929" w:rsidP="00040929">
      <w:pPr>
        <w:spacing w:after="60" w:line="240" w:lineRule="auto"/>
        <w:jc w:val="center"/>
        <w:rPr>
          <w:rFonts w:ascii="Times New Roman" w:eastAsia="Times New Roman" w:hAnsi="Times New Roman" w:cs="Times New Roman"/>
          <w:sz w:val="20"/>
          <w:szCs w:val="20"/>
        </w:rPr>
      </w:pPr>
      <w:r w:rsidRPr="008351E6">
        <w:rPr>
          <w:rFonts w:ascii="Times New Roman" w:eastAsia="Times New Roman" w:hAnsi="Times New Roman" w:cs="Times New Roman"/>
          <w:sz w:val="20"/>
          <w:szCs w:val="20"/>
        </w:rPr>
        <w:t>Skumulowane wskaźniki zmian cen</w:t>
      </w:r>
      <w:r w:rsidR="008351E6">
        <w:rPr>
          <w:rFonts w:ascii="Times New Roman" w:eastAsia="Times New Roman" w:hAnsi="Times New Roman" w:cs="Times New Roman"/>
          <w:sz w:val="20"/>
          <w:szCs w:val="20"/>
        </w:rPr>
        <w:t xml:space="preserve"> w latach 201</w:t>
      </w:r>
      <w:r w:rsidR="00B0394F">
        <w:rPr>
          <w:rFonts w:ascii="Times New Roman" w:eastAsia="Times New Roman" w:hAnsi="Times New Roman" w:cs="Times New Roman"/>
          <w:sz w:val="20"/>
          <w:szCs w:val="20"/>
        </w:rPr>
        <w:t>4</w:t>
      </w:r>
      <w:r w:rsidR="001F40CA">
        <w:rPr>
          <w:rFonts w:ascii="Times New Roman" w:eastAsia="Times New Roman" w:hAnsi="Times New Roman" w:cs="Times New Roman"/>
          <w:sz w:val="20"/>
          <w:szCs w:val="20"/>
        </w:rPr>
        <w:t>-201</w:t>
      </w:r>
      <w:r w:rsidR="00B0394F">
        <w:rPr>
          <w:rFonts w:ascii="Times New Roman" w:eastAsia="Times New Roman" w:hAnsi="Times New Roman" w:cs="Times New Roman"/>
          <w:sz w:val="20"/>
          <w:szCs w:val="20"/>
        </w:rPr>
        <w:t>7</w:t>
      </w:r>
      <w:r w:rsidRPr="008351E6">
        <w:rPr>
          <w:rFonts w:ascii="Times New Roman" w:eastAsia="Times New Roman" w:hAnsi="Times New Roman" w:cs="Times New Roman"/>
          <w:sz w:val="20"/>
          <w:szCs w:val="20"/>
        </w:rPr>
        <w:t xml:space="preserve"> (grudzień roku poprzedniego =100)</w:t>
      </w:r>
    </w:p>
    <w:tbl>
      <w:tblPr>
        <w:tblStyle w:val="Tabela-Siatka"/>
        <w:tblW w:w="4552" w:type="pct"/>
        <w:jc w:val="center"/>
        <w:tblLook w:val="01E0" w:firstRow="1" w:lastRow="1" w:firstColumn="1" w:lastColumn="1" w:noHBand="0" w:noVBand="0"/>
      </w:tblPr>
      <w:tblGrid>
        <w:gridCol w:w="2884"/>
        <w:gridCol w:w="1062"/>
        <w:gridCol w:w="1062"/>
        <w:gridCol w:w="930"/>
        <w:gridCol w:w="1266"/>
        <w:gridCol w:w="1250"/>
      </w:tblGrid>
      <w:tr w:rsidR="00376B9D" w:rsidRPr="00040929" w:rsidTr="008B4389">
        <w:trPr>
          <w:jc w:val="center"/>
        </w:trPr>
        <w:tc>
          <w:tcPr>
            <w:tcW w:w="1706" w:type="pct"/>
          </w:tcPr>
          <w:p w:rsidR="00376B9D" w:rsidRPr="00040929" w:rsidRDefault="00376B9D" w:rsidP="00040929">
            <w:pPr>
              <w:jc w:val="both"/>
              <w:rPr>
                <w:rFonts w:ascii="Times New Roman" w:eastAsia="Times New Roman" w:hAnsi="Times New Roman" w:cs="Times New Roman"/>
                <w:b/>
                <w:sz w:val="20"/>
                <w:szCs w:val="20"/>
              </w:rPr>
            </w:pPr>
          </w:p>
          <w:p w:rsidR="00376B9D" w:rsidRPr="00040929" w:rsidRDefault="00376B9D" w:rsidP="00040929">
            <w:pPr>
              <w:jc w:val="both"/>
              <w:rPr>
                <w:rFonts w:ascii="Times New Roman" w:eastAsia="Times New Roman" w:hAnsi="Times New Roman" w:cs="Times New Roman"/>
                <w:b/>
                <w:sz w:val="20"/>
                <w:szCs w:val="20"/>
              </w:rPr>
            </w:pPr>
            <w:r w:rsidRPr="00040929">
              <w:rPr>
                <w:rFonts w:ascii="Times New Roman" w:eastAsia="Times New Roman" w:hAnsi="Times New Roman" w:cs="Times New Roman"/>
                <w:b/>
                <w:sz w:val="20"/>
                <w:szCs w:val="20"/>
              </w:rPr>
              <w:t>Wyszczególnienie</w:t>
            </w:r>
          </w:p>
        </w:tc>
        <w:tc>
          <w:tcPr>
            <w:tcW w:w="628" w:type="pct"/>
            <w:vAlign w:val="center"/>
          </w:tcPr>
          <w:p w:rsidR="00376B9D" w:rsidRPr="00376B9D" w:rsidRDefault="00376B9D" w:rsidP="00376B9D">
            <w:pPr>
              <w:jc w:val="center"/>
              <w:rPr>
                <w:rFonts w:ascii="Times New Roman" w:eastAsia="Times New Roman" w:hAnsi="Times New Roman" w:cs="Times New Roman"/>
                <w:b/>
                <w:sz w:val="20"/>
                <w:szCs w:val="20"/>
              </w:rPr>
            </w:pPr>
            <w:r w:rsidRPr="00376B9D">
              <w:rPr>
                <w:rFonts w:ascii="Times New Roman" w:eastAsia="Times New Roman" w:hAnsi="Times New Roman" w:cs="Times New Roman"/>
                <w:b/>
                <w:sz w:val="20"/>
                <w:szCs w:val="20"/>
              </w:rPr>
              <w:t>2017</w:t>
            </w:r>
          </w:p>
        </w:tc>
        <w:tc>
          <w:tcPr>
            <w:tcW w:w="628" w:type="pct"/>
            <w:vAlign w:val="center"/>
          </w:tcPr>
          <w:p w:rsidR="00376B9D" w:rsidRPr="00376B9D" w:rsidRDefault="00376B9D" w:rsidP="00376B9D">
            <w:pPr>
              <w:jc w:val="center"/>
              <w:rPr>
                <w:rFonts w:ascii="Times New Roman" w:eastAsia="Times New Roman" w:hAnsi="Times New Roman" w:cs="Times New Roman"/>
                <w:b/>
                <w:sz w:val="20"/>
                <w:szCs w:val="20"/>
              </w:rPr>
            </w:pPr>
            <w:r w:rsidRPr="00376B9D">
              <w:rPr>
                <w:rFonts w:ascii="Times New Roman" w:eastAsia="Times New Roman" w:hAnsi="Times New Roman" w:cs="Times New Roman"/>
                <w:b/>
                <w:sz w:val="20"/>
                <w:szCs w:val="20"/>
              </w:rPr>
              <w:t>2016</w:t>
            </w:r>
          </w:p>
        </w:tc>
        <w:tc>
          <w:tcPr>
            <w:tcW w:w="550" w:type="pct"/>
            <w:vAlign w:val="center"/>
          </w:tcPr>
          <w:p w:rsidR="00376B9D" w:rsidRPr="00376B9D" w:rsidRDefault="00376B9D" w:rsidP="00376B9D">
            <w:pPr>
              <w:jc w:val="center"/>
              <w:rPr>
                <w:rFonts w:ascii="Times New Roman" w:eastAsia="Times New Roman" w:hAnsi="Times New Roman" w:cs="Times New Roman"/>
                <w:b/>
                <w:sz w:val="20"/>
                <w:szCs w:val="20"/>
              </w:rPr>
            </w:pPr>
            <w:r w:rsidRPr="00376B9D">
              <w:rPr>
                <w:rFonts w:ascii="Times New Roman" w:eastAsia="Times New Roman" w:hAnsi="Times New Roman" w:cs="Times New Roman"/>
                <w:b/>
                <w:sz w:val="20"/>
                <w:szCs w:val="20"/>
              </w:rPr>
              <w:t>2015</w:t>
            </w:r>
          </w:p>
        </w:tc>
        <w:tc>
          <w:tcPr>
            <w:tcW w:w="749" w:type="pct"/>
            <w:vAlign w:val="center"/>
          </w:tcPr>
          <w:p w:rsidR="00376B9D" w:rsidRPr="00376B9D" w:rsidRDefault="00376B9D" w:rsidP="00376B9D">
            <w:pPr>
              <w:jc w:val="center"/>
              <w:rPr>
                <w:rFonts w:ascii="Times New Roman" w:eastAsia="Times New Roman" w:hAnsi="Times New Roman" w:cs="Times New Roman"/>
                <w:b/>
                <w:sz w:val="20"/>
                <w:szCs w:val="20"/>
              </w:rPr>
            </w:pPr>
            <w:r w:rsidRPr="00376B9D">
              <w:rPr>
                <w:rFonts w:ascii="Times New Roman" w:eastAsia="Times New Roman" w:hAnsi="Times New Roman" w:cs="Times New Roman"/>
                <w:b/>
                <w:sz w:val="20"/>
                <w:szCs w:val="20"/>
              </w:rPr>
              <w:t>2014</w:t>
            </w:r>
          </w:p>
        </w:tc>
        <w:tc>
          <w:tcPr>
            <w:tcW w:w="739" w:type="pct"/>
            <w:tcBorders>
              <w:right w:val="single" w:sz="4" w:space="0" w:color="auto"/>
            </w:tcBorders>
          </w:tcPr>
          <w:p w:rsidR="00376B9D" w:rsidRPr="00040929" w:rsidRDefault="00376B9D" w:rsidP="000409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XI</w:t>
            </w:r>
            <w:r w:rsidRPr="00040929">
              <w:rPr>
                <w:rFonts w:ascii="Times New Roman" w:eastAsia="Times New Roman" w:hAnsi="Times New Roman" w:cs="Times New Roman"/>
                <w:b/>
                <w:sz w:val="20"/>
                <w:szCs w:val="20"/>
              </w:rPr>
              <w:t>I</w:t>
            </w:r>
          </w:p>
          <w:p w:rsidR="00376B9D" w:rsidRPr="00040929" w:rsidRDefault="00376B9D" w:rsidP="00376B9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2013</w:t>
            </w:r>
            <w:r w:rsidRPr="00040929">
              <w:rPr>
                <w:rFonts w:ascii="Times New Roman" w:eastAsia="Times New Roman" w:hAnsi="Times New Roman" w:cs="Times New Roman"/>
                <w:b/>
                <w:sz w:val="20"/>
                <w:szCs w:val="20"/>
              </w:rPr>
              <w:t>=100%</w:t>
            </w:r>
          </w:p>
        </w:tc>
      </w:tr>
      <w:tr w:rsidR="008B4389" w:rsidRPr="00040929" w:rsidTr="008B4389">
        <w:trPr>
          <w:jc w:val="center"/>
        </w:trPr>
        <w:tc>
          <w:tcPr>
            <w:tcW w:w="1706" w:type="pct"/>
          </w:tcPr>
          <w:p w:rsidR="008B4389" w:rsidRPr="00040929" w:rsidRDefault="008B4389" w:rsidP="00040929">
            <w:pPr>
              <w:rPr>
                <w:rFonts w:ascii="Times New Roman" w:eastAsia="Times New Roman" w:hAnsi="Times New Roman" w:cs="Times New Roman"/>
                <w:b/>
                <w:color w:val="000000"/>
                <w:sz w:val="20"/>
                <w:szCs w:val="20"/>
              </w:rPr>
            </w:pPr>
            <w:r w:rsidRPr="00040929">
              <w:rPr>
                <w:rFonts w:ascii="Times New Roman" w:eastAsia="Times New Roman" w:hAnsi="Times New Roman" w:cs="Times New Roman"/>
                <w:b/>
                <w:color w:val="000000"/>
                <w:sz w:val="20"/>
                <w:szCs w:val="20"/>
              </w:rPr>
              <w:t>Środki produkcji</w:t>
            </w:r>
          </w:p>
        </w:tc>
        <w:tc>
          <w:tcPr>
            <w:tcW w:w="628" w:type="pct"/>
          </w:tcPr>
          <w:p w:rsidR="008B4389" w:rsidRPr="008B4389" w:rsidRDefault="008B4389" w:rsidP="008B4389">
            <w:pPr>
              <w:ind w:right="113"/>
              <w:jc w:val="right"/>
              <w:rPr>
                <w:rFonts w:ascii="Times New Roman" w:eastAsia="Times New Roman" w:hAnsi="Times New Roman" w:cs="Times New Roman"/>
                <w:b/>
                <w:bCs/>
                <w:sz w:val="20"/>
                <w:szCs w:val="20"/>
              </w:rPr>
            </w:pPr>
            <w:r w:rsidRPr="008B4389">
              <w:rPr>
                <w:rFonts w:ascii="Times New Roman" w:eastAsia="Times New Roman" w:hAnsi="Times New Roman" w:cs="Times New Roman"/>
                <w:b/>
                <w:bCs/>
                <w:sz w:val="20"/>
                <w:szCs w:val="20"/>
              </w:rPr>
              <w:t>102,3</w:t>
            </w:r>
          </w:p>
        </w:tc>
        <w:tc>
          <w:tcPr>
            <w:tcW w:w="628" w:type="pct"/>
          </w:tcPr>
          <w:p w:rsidR="008B4389" w:rsidRPr="008B4389" w:rsidRDefault="008B4389" w:rsidP="008B4389">
            <w:pPr>
              <w:ind w:right="113"/>
              <w:jc w:val="right"/>
              <w:rPr>
                <w:rFonts w:ascii="Times New Roman" w:eastAsia="Times New Roman" w:hAnsi="Times New Roman" w:cs="Times New Roman"/>
                <w:b/>
                <w:bCs/>
                <w:sz w:val="20"/>
                <w:szCs w:val="20"/>
              </w:rPr>
            </w:pPr>
            <w:r w:rsidRPr="008B4389">
              <w:rPr>
                <w:rFonts w:ascii="Times New Roman" w:eastAsia="Times New Roman" w:hAnsi="Times New Roman" w:cs="Times New Roman"/>
                <w:b/>
                <w:bCs/>
                <w:sz w:val="20"/>
                <w:szCs w:val="20"/>
              </w:rPr>
              <w:t>99,5</w:t>
            </w:r>
          </w:p>
        </w:tc>
        <w:tc>
          <w:tcPr>
            <w:tcW w:w="550"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b/>
                <w:bCs/>
                <w:sz w:val="20"/>
                <w:szCs w:val="20"/>
              </w:rPr>
            </w:pPr>
            <w:r w:rsidRPr="008B4389">
              <w:rPr>
                <w:rFonts w:ascii="Times New Roman" w:eastAsia="Times New Roman" w:hAnsi="Times New Roman" w:cs="Times New Roman"/>
                <w:b/>
                <w:bCs/>
                <w:sz w:val="20"/>
                <w:szCs w:val="20"/>
              </w:rPr>
              <w:t>99,5</w:t>
            </w:r>
          </w:p>
        </w:tc>
        <w:tc>
          <w:tcPr>
            <w:tcW w:w="749" w:type="pct"/>
          </w:tcPr>
          <w:p w:rsidR="008B4389" w:rsidRPr="008B4389" w:rsidRDefault="008B4389" w:rsidP="008B4389">
            <w:pPr>
              <w:ind w:right="113"/>
              <w:jc w:val="right"/>
              <w:rPr>
                <w:rFonts w:ascii="Times New Roman" w:eastAsia="Times New Roman" w:hAnsi="Times New Roman" w:cs="Times New Roman"/>
                <w:b/>
                <w:bCs/>
                <w:sz w:val="20"/>
                <w:szCs w:val="20"/>
              </w:rPr>
            </w:pPr>
            <w:r w:rsidRPr="008B4389">
              <w:rPr>
                <w:rFonts w:ascii="Times New Roman" w:eastAsia="Times New Roman" w:hAnsi="Times New Roman" w:cs="Times New Roman"/>
                <w:b/>
                <w:bCs/>
                <w:sz w:val="20"/>
                <w:szCs w:val="20"/>
              </w:rPr>
              <w:t>98,2</w:t>
            </w:r>
          </w:p>
        </w:tc>
        <w:tc>
          <w:tcPr>
            <w:tcW w:w="739"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b/>
                <w:bCs/>
                <w:sz w:val="20"/>
                <w:szCs w:val="20"/>
              </w:rPr>
            </w:pPr>
            <w:r w:rsidRPr="008B4389">
              <w:rPr>
                <w:rFonts w:ascii="Times New Roman" w:eastAsia="Times New Roman" w:hAnsi="Times New Roman" w:cs="Times New Roman"/>
                <w:b/>
                <w:bCs/>
                <w:sz w:val="20"/>
                <w:szCs w:val="20"/>
              </w:rPr>
              <w:t>99,2</w:t>
            </w:r>
          </w:p>
        </w:tc>
      </w:tr>
      <w:tr w:rsidR="008B4389" w:rsidRPr="00040929" w:rsidTr="008B4389">
        <w:trPr>
          <w:jc w:val="center"/>
        </w:trPr>
        <w:tc>
          <w:tcPr>
            <w:tcW w:w="1706" w:type="pct"/>
          </w:tcPr>
          <w:p w:rsidR="008B4389" w:rsidRPr="00040929" w:rsidRDefault="008B4389" w:rsidP="00040929">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w tym nawozy mineralne</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97,8</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92,2</w:t>
            </w:r>
          </w:p>
        </w:tc>
        <w:tc>
          <w:tcPr>
            <w:tcW w:w="550"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100,7</w:t>
            </w:r>
          </w:p>
        </w:tc>
        <w:tc>
          <w:tcPr>
            <w:tcW w:w="749"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93,2</w:t>
            </w:r>
          </w:p>
        </w:tc>
        <w:tc>
          <w:tcPr>
            <w:tcW w:w="739"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80,1</w:t>
            </w:r>
          </w:p>
        </w:tc>
      </w:tr>
      <w:tr w:rsidR="008B4389" w:rsidRPr="00040929" w:rsidTr="008B4389">
        <w:trPr>
          <w:jc w:val="center"/>
        </w:trPr>
        <w:tc>
          <w:tcPr>
            <w:tcW w:w="1706" w:type="pct"/>
          </w:tcPr>
          <w:p w:rsidR="008B4389" w:rsidRPr="00040929" w:rsidRDefault="008B4389" w:rsidP="00040929">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 xml:space="preserve">           </w:t>
            </w:r>
            <w:r w:rsidR="00F15B85">
              <w:rPr>
                <w:rFonts w:ascii="Times New Roman" w:eastAsia="Times New Roman" w:hAnsi="Times New Roman" w:cs="Times New Roman"/>
                <w:color w:val="000000"/>
                <w:sz w:val="20"/>
                <w:szCs w:val="20"/>
              </w:rPr>
              <w:t>p</w:t>
            </w:r>
            <w:r w:rsidRPr="00040929">
              <w:rPr>
                <w:rFonts w:ascii="Times New Roman" w:eastAsia="Times New Roman" w:hAnsi="Times New Roman" w:cs="Times New Roman"/>
                <w:color w:val="000000"/>
                <w:sz w:val="20"/>
                <w:szCs w:val="20"/>
              </w:rPr>
              <w:t>estycydy</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101,3</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101,0</w:t>
            </w:r>
          </w:p>
        </w:tc>
        <w:tc>
          <w:tcPr>
            <w:tcW w:w="550"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101,6</w:t>
            </w:r>
          </w:p>
        </w:tc>
        <w:tc>
          <w:tcPr>
            <w:tcW w:w="749"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101,5</w:t>
            </w:r>
          </w:p>
        </w:tc>
        <w:tc>
          <w:tcPr>
            <w:tcW w:w="739"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107,8</w:t>
            </w:r>
          </w:p>
        </w:tc>
      </w:tr>
      <w:tr w:rsidR="008B4389" w:rsidRPr="00040929" w:rsidTr="008B4389">
        <w:trPr>
          <w:jc w:val="center"/>
        </w:trPr>
        <w:tc>
          <w:tcPr>
            <w:tcW w:w="1706" w:type="pct"/>
          </w:tcPr>
          <w:p w:rsidR="008B4389" w:rsidRPr="00040929" w:rsidRDefault="008B4389" w:rsidP="00040929">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 xml:space="preserve">           bezp. nośniki energii</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103,4</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102,5</w:t>
            </w:r>
          </w:p>
        </w:tc>
        <w:tc>
          <w:tcPr>
            <w:tcW w:w="550"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94,4</w:t>
            </w:r>
          </w:p>
        </w:tc>
        <w:tc>
          <w:tcPr>
            <w:tcW w:w="749"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95,1</w:t>
            </w:r>
          </w:p>
        </w:tc>
        <w:tc>
          <w:tcPr>
            <w:tcW w:w="739"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93,8</w:t>
            </w:r>
          </w:p>
        </w:tc>
      </w:tr>
      <w:tr w:rsidR="008B4389" w:rsidRPr="00040929" w:rsidTr="008B4389">
        <w:trPr>
          <w:jc w:val="center"/>
        </w:trPr>
        <w:tc>
          <w:tcPr>
            <w:tcW w:w="1706" w:type="pct"/>
          </w:tcPr>
          <w:p w:rsidR="008B4389" w:rsidRPr="00040929" w:rsidRDefault="008B4389" w:rsidP="00040929">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 xml:space="preserve">           </w:t>
            </w:r>
            <w:r w:rsidR="00F15B85">
              <w:rPr>
                <w:rFonts w:ascii="Times New Roman" w:eastAsia="Times New Roman" w:hAnsi="Times New Roman" w:cs="Times New Roman"/>
                <w:color w:val="000000"/>
                <w:sz w:val="20"/>
                <w:szCs w:val="20"/>
              </w:rPr>
              <w:t>m</w:t>
            </w:r>
            <w:r w:rsidRPr="00040929">
              <w:rPr>
                <w:rFonts w:ascii="Times New Roman" w:eastAsia="Times New Roman" w:hAnsi="Times New Roman" w:cs="Times New Roman"/>
                <w:color w:val="000000"/>
                <w:sz w:val="20"/>
                <w:szCs w:val="20"/>
              </w:rPr>
              <w:t>aszyny</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103,7</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102,4</w:t>
            </w:r>
          </w:p>
        </w:tc>
        <w:tc>
          <w:tcPr>
            <w:tcW w:w="550"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103,5</w:t>
            </w:r>
          </w:p>
        </w:tc>
        <w:tc>
          <w:tcPr>
            <w:tcW w:w="749"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102,2</w:t>
            </w:r>
          </w:p>
        </w:tc>
        <w:tc>
          <w:tcPr>
            <w:tcW w:w="739"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116,3</w:t>
            </w:r>
          </w:p>
        </w:tc>
      </w:tr>
      <w:tr w:rsidR="008B4389" w:rsidRPr="00040929" w:rsidTr="008B4389">
        <w:trPr>
          <w:jc w:val="center"/>
        </w:trPr>
        <w:tc>
          <w:tcPr>
            <w:tcW w:w="1706" w:type="pct"/>
          </w:tcPr>
          <w:p w:rsidR="008B4389" w:rsidRPr="00040929" w:rsidRDefault="008B4389" w:rsidP="00040929">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 xml:space="preserve">           materiały budowlane</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105,1</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99,5</w:t>
            </w:r>
          </w:p>
        </w:tc>
        <w:tc>
          <w:tcPr>
            <w:tcW w:w="550"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97,7</w:t>
            </w:r>
          </w:p>
        </w:tc>
        <w:tc>
          <w:tcPr>
            <w:tcW w:w="749"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99,3</w:t>
            </w:r>
          </w:p>
        </w:tc>
        <w:tc>
          <w:tcPr>
            <w:tcW w:w="739"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101,1</w:t>
            </w:r>
          </w:p>
        </w:tc>
      </w:tr>
      <w:tr w:rsidR="008B4389" w:rsidRPr="00040929" w:rsidTr="008B4389">
        <w:trPr>
          <w:jc w:val="center"/>
        </w:trPr>
        <w:tc>
          <w:tcPr>
            <w:tcW w:w="1706" w:type="pct"/>
          </w:tcPr>
          <w:p w:rsidR="008B4389" w:rsidRPr="00040929" w:rsidRDefault="008B4389" w:rsidP="00040929">
            <w:pPr>
              <w:rPr>
                <w:rFonts w:ascii="Times New Roman" w:eastAsia="Times New Roman" w:hAnsi="Times New Roman" w:cs="Times New Roman"/>
                <w:b/>
                <w:color w:val="000000"/>
                <w:sz w:val="20"/>
                <w:szCs w:val="20"/>
              </w:rPr>
            </w:pPr>
            <w:r w:rsidRPr="00040929">
              <w:rPr>
                <w:rFonts w:ascii="Times New Roman" w:eastAsia="Times New Roman" w:hAnsi="Times New Roman" w:cs="Times New Roman"/>
                <w:b/>
                <w:color w:val="000000"/>
                <w:sz w:val="20"/>
                <w:szCs w:val="20"/>
              </w:rPr>
              <w:t>Nożyce cen koszyka skupu</w:t>
            </w:r>
          </w:p>
        </w:tc>
        <w:tc>
          <w:tcPr>
            <w:tcW w:w="628" w:type="pct"/>
          </w:tcPr>
          <w:p w:rsidR="008B4389" w:rsidRPr="008B4389" w:rsidRDefault="008B4389" w:rsidP="008B4389">
            <w:pPr>
              <w:ind w:right="113"/>
              <w:jc w:val="right"/>
              <w:rPr>
                <w:rFonts w:ascii="Times New Roman" w:eastAsia="Times New Roman" w:hAnsi="Times New Roman" w:cs="Times New Roman"/>
                <w:b/>
                <w:bCs/>
                <w:sz w:val="20"/>
                <w:szCs w:val="20"/>
              </w:rPr>
            </w:pPr>
            <w:r w:rsidRPr="008B4389">
              <w:rPr>
                <w:rFonts w:ascii="Times New Roman" w:eastAsia="Times New Roman" w:hAnsi="Times New Roman" w:cs="Times New Roman"/>
                <w:b/>
                <w:bCs/>
                <w:sz w:val="20"/>
                <w:szCs w:val="20"/>
              </w:rPr>
              <w:t>101,3</w:t>
            </w:r>
          </w:p>
        </w:tc>
        <w:tc>
          <w:tcPr>
            <w:tcW w:w="628" w:type="pct"/>
          </w:tcPr>
          <w:p w:rsidR="008B4389" w:rsidRPr="008B4389" w:rsidRDefault="008B4389" w:rsidP="008B4389">
            <w:pPr>
              <w:ind w:right="113"/>
              <w:jc w:val="right"/>
              <w:rPr>
                <w:rFonts w:ascii="Times New Roman" w:eastAsia="Times New Roman" w:hAnsi="Times New Roman" w:cs="Times New Roman"/>
                <w:b/>
                <w:bCs/>
                <w:sz w:val="20"/>
                <w:szCs w:val="20"/>
              </w:rPr>
            </w:pPr>
            <w:r w:rsidRPr="008B4389">
              <w:rPr>
                <w:rFonts w:ascii="Times New Roman" w:eastAsia="Times New Roman" w:hAnsi="Times New Roman" w:cs="Times New Roman"/>
                <w:b/>
                <w:bCs/>
                <w:sz w:val="20"/>
                <w:szCs w:val="20"/>
              </w:rPr>
              <w:t>107,4</w:t>
            </w:r>
          </w:p>
        </w:tc>
        <w:tc>
          <w:tcPr>
            <w:tcW w:w="550"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b/>
                <w:bCs/>
                <w:sz w:val="20"/>
                <w:szCs w:val="20"/>
              </w:rPr>
            </w:pPr>
            <w:r w:rsidRPr="008B4389">
              <w:rPr>
                <w:rFonts w:ascii="Times New Roman" w:eastAsia="Times New Roman" w:hAnsi="Times New Roman" w:cs="Times New Roman"/>
                <w:b/>
                <w:bCs/>
                <w:sz w:val="20"/>
                <w:szCs w:val="20"/>
              </w:rPr>
              <w:t>96,2</w:t>
            </w:r>
          </w:p>
        </w:tc>
        <w:tc>
          <w:tcPr>
            <w:tcW w:w="749" w:type="pct"/>
          </w:tcPr>
          <w:p w:rsidR="008B4389" w:rsidRPr="008B4389" w:rsidRDefault="008B4389" w:rsidP="008B4389">
            <w:pPr>
              <w:ind w:right="113"/>
              <w:jc w:val="right"/>
              <w:rPr>
                <w:rFonts w:ascii="Times New Roman" w:eastAsia="Times New Roman" w:hAnsi="Times New Roman" w:cs="Times New Roman"/>
                <w:b/>
                <w:bCs/>
                <w:sz w:val="20"/>
                <w:szCs w:val="20"/>
              </w:rPr>
            </w:pPr>
            <w:r w:rsidRPr="008B4389">
              <w:rPr>
                <w:rFonts w:ascii="Times New Roman" w:eastAsia="Times New Roman" w:hAnsi="Times New Roman" w:cs="Times New Roman"/>
                <w:b/>
                <w:bCs/>
                <w:sz w:val="20"/>
                <w:szCs w:val="20"/>
              </w:rPr>
              <w:t>87,2</w:t>
            </w:r>
          </w:p>
        </w:tc>
        <w:tc>
          <w:tcPr>
            <w:tcW w:w="739"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b/>
                <w:bCs/>
                <w:sz w:val="20"/>
                <w:szCs w:val="20"/>
              </w:rPr>
            </w:pPr>
            <w:r w:rsidRPr="008B4389">
              <w:rPr>
                <w:rFonts w:ascii="Times New Roman" w:eastAsia="Times New Roman" w:hAnsi="Times New Roman" w:cs="Times New Roman"/>
                <w:b/>
                <w:bCs/>
                <w:sz w:val="20"/>
                <w:szCs w:val="20"/>
              </w:rPr>
              <w:t>90,0</w:t>
            </w:r>
          </w:p>
        </w:tc>
      </w:tr>
      <w:tr w:rsidR="008B4389" w:rsidRPr="00040929" w:rsidTr="008B4389">
        <w:trPr>
          <w:jc w:val="center"/>
        </w:trPr>
        <w:tc>
          <w:tcPr>
            <w:tcW w:w="1706" w:type="pct"/>
          </w:tcPr>
          <w:p w:rsidR="008B4389" w:rsidRPr="00040929" w:rsidRDefault="008B4389" w:rsidP="00040929">
            <w:pPr>
              <w:rPr>
                <w:rFonts w:ascii="Times New Roman" w:eastAsia="Times New Roman" w:hAnsi="Times New Roman" w:cs="Times New Roman"/>
                <w:b/>
                <w:color w:val="000000"/>
                <w:sz w:val="20"/>
                <w:szCs w:val="20"/>
              </w:rPr>
            </w:pPr>
            <w:r w:rsidRPr="00040929">
              <w:rPr>
                <w:rFonts w:ascii="Times New Roman" w:eastAsia="Times New Roman" w:hAnsi="Times New Roman" w:cs="Times New Roman"/>
                <w:b/>
                <w:color w:val="000000"/>
                <w:sz w:val="20"/>
                <w:szCs w:val="20"/>
              </w:rPr>
              <w:t>Koszyk skupu</w:t>
            </w:r>
          </w:p>
        </w:tc>
        <w:tc>
          <w:tcPr>
            <w:tcW w:w="628" w:type="pct"/>
          </w:tcPr>
          <w:p w:rsidR="008B4389" w:rsidRPr="008B4389" w:rsidRDefault="008B4389" w:rsidP="008B4389">
            <w:pPr>
              <w:ind w:right="113"/>
              <w:jc w:val="right"/>
              <w:rPr>
                <w:rFonts w:ascii="Times New Roman" w:eastAsia="Times New Roman" w:hAnsi="Times New Roman" w:cs="Times New Roman"/>
                <w:b/>
                <w:bCs/>
                <w:sz w:val="20"/>
                <w:szCs w:val="20"/>
              </w:rPr>
            </w:pPr>
            <w:r w:rsidRPr="008B4389">
              <w:rPr>
                <w:rFonts w:ascii="Times New Roman" w:eastAsia="Times New Roman" w:hAnsi="Times New Roman" w:cs="Times New Roman"/>
                <w:b/>
                <w:bCs/>
                <w:sz w:val="20"/>
                <w:szCs w:val="20"/>
              </w:rPr>
              <w:t>103,6</w:t>
            </w:r>
          </w:p>
        </w:tc>
        <w:tc>
          <w:tcPr>
            <w:tcW w:w="628" w:type="pct"/>
          </w:tcPr>
          <w:p w:rsidR="008B4389" w:rsidRPr="008B4389" w:rsidRDefault="008B4389" w:rsidP="008B4389">
            <w:pPr>
              <w:ind w:right="113"/>
              <w:jc w:val="right"/>
              <w:rPr>
                <w:rFonts w:ascii="Times New Roman" w:eastAsia="Times New Roman" w:hAnsi="Times New Roman" w:cs="Times New Roman"/>
                <w:b/>
                <w:bCs/>
                <w:sz w:val="20"/>
                <w:szCs w:val="20"/>
              </w:rPr>
            </w:pPr>
            <w:r w:rsidRPr="008B4389">
              <w:rPr>
                <w:rFonts w:ascii="Times New Roman" w:eastAsia="Times New Roman" w:hAnsi="Times New Roman" w:cs="Times New Roman"/>
                <w:b/>
                <w:bCs/>
                <w:sz w:val="20"/>
                <w:szCs w:val="20"/>
              </w:rPr>
              <w:t>106,9</w:t>
            </w:r>
          </w:p>
        </w:tc>
        <w:tc>
          <w:tcPr>
            <w:tcW w:w="550"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b/>
                <w:bCs/>
                <w:sz w:val="20"/>
                <w:szCs w:val="20"/>
              </w:rPr>
            </w:pPr>
            <w:r w:rsidRPr="008B4389">
              <w:rPr>
                <w:rFonts w:ascii="Times New Roman" w:eastAsia="Times New Roman" w:hAnsi="Times New Roman" w:cs="Times New Roman"/>
                <w:b/>
                <w:bCs/>
                <w:sz w:val="20"/>
                <w:szCs w:val="20"/>
              </w:rPr>
              <w:t>95,7</w:t>
            </w:r>
          </w:p>
        </w:tc>
        <w:tc>
          <w:tcPr>
            <w:tcW w:w="749" w:type="pct"/>
          </w:tcPr>
          <w:p w:rsidR="008B4389" w:rsidRPr="008B4389" w:rsidRDefault="008B4389" w:rsidP="008B4389">
            <w:pPr>
              <w:ind w:right="113"/>
              <w:jc w:val="right"/>
              <w:rPr>
                <w:rFonts w:ascii="Times New Roman" w:eastAsia="Times New Roman" w:hAnsi="Times New Roman" w:cs="Times New Roman"/>
                <w:b/>
                <w:bCs/>
                <w:sz w:val="20"/>
                <w:szCs w:val="20"/>
              </w:rPr>
            </w:pPr>
            <w:r w:rsidRPr="008B4389">
              <w:rPr>
                <w:rFonts w:ascii="Times New Roman" w:eastAsia="Times New Roman" w:hAnsi="Times New Roman" w:cs="Times New Roman"/>
                <w:b/>
                <w:bCs/>
                <w:sz w:val="20"/>
                <w:szCs w:val="20"/>
              </w:rPr>
              <w:t>85,6</w:t>
            </w:r>
          </w:p>
        </w:tc>
        <w:tc>
          <w:tcPr>
            <w:tcW w:w="739"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b/>
                <w:bCs/>
                <w:sz w:val="20"/>
                <w:szCs w:val="20"/>
              </w:rPr>
            </w:pPr>
            <w:r w:rsidRPr="008B4389">
              <w:rPr>
                <w:rFonts w:ascii="Times New Roman" w:eastAsia="Times New Roman" w:hAnsi="Times New Roman" w:cs="Times New Roman"/>
                <w:b/>
                <w:bCs/>
                <w:sz w:val="20"/>
                <w:szCs w:val="20"/>
              </w:rPr>
              <w:t>89,2</w:t>
            </w:r>
          </w:p>
        </w:tc>
      </w:tr>
      <w:tr w:rsidR="008B4389" w:rsidRPr="00040929" w:rsidTr="008B4389">
        <w:trPr>
          <w:jc w:val="center"/>
        </w:trPr>
        <w:tc>
          <w:tcPr>
            <w:tcW w:w="1706" w:type="pct"/>
          </w:tcPr>
          <w:p w:rsidR="008B4389" w:rsidRPr="00040929" w:rsidRDefault="008B4389" w:rsidP="00040929">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w tym pszenica</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105,4</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94,2</w:t>
            </w:r>
          </w:p>
        </w:tc>
        <w:tc>
          <w:tcPr>
            <w:tcW w:w="550"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100,9</w:t>
            </w:r>
          </w:p>
        </w:tc>
        <w:tc>
          <w:tcPr>
            <w:tcW w:w="749"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88,4</w:t>
            </w:r>
          </w:p>
        </w:tc>
        <w:tc>
          <w:tcPr>
            <w:tcW w:w="739"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66,2</w:t>
            </w:r>
          </w:p>
        </w:tc>
      </w:tr>
      <w:tr w:rsidR="008B4389" w:rsidRPr="00040929" w:rsidTr="008B4389">
        <w:trPr>
          <w:jc w:val="center"/>
        </w:trPr>
        <w:tc>
          <w:tcPr>
            <w:tcW w:w="1706" w:type="pct"/>
          </w:tcPr>
          <w:p w:rsidR="008B4389" w:rsidRPr="00F15B85" w:rsidRDefault="00F15B85" w:rsidP="00040929">
            <w:pPr>
              <w:rPr>
                <w:rFonts w:ascii="Times New Roman" w:eastAsia="Times New Roman" w:hAnsi="Times New Roman" w:cs="Times New Roman"/>
                <w:color w:val="000000"/>
                <w:sz w:val="18"/>
                <w:szCs w:val="20"/>
              </w:rPr>
            </w:pPr>
            <w:r w:rsidRPr="00F15B85">
              <w:rPr>
                <w:rFonts w:ascii="Times New Roman" w:eastAsia="Times New Roman" w:hAnsi="Times New Roman" w:cs="Times New Roman"/>
                <w:color w:val="000000"/>
                <w:sz w:val="18"/>
                <w:szCs w:val="20"/>
              </w:rPr>
              <w:t xml:space="preserve">           żyto</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104,7</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98,5</w:t>
            </w:r>
          </w:p>
        </w:tc>
        <w:tc>
          <w:tcPr>
            <w:tcW w:w="550"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105,3</w:t>
            </w:r>
          </w:p>
        </w:tc>
        <w:tc>
          <w:tcPr>
            <w:tcW w:w="749"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92,1</w:t>
            </w:r>
          </w:p>
        </w:tc>
        <w:tc>
          <w:tcPr>
            <w:tcW w:w="739"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76,0</w:t>
            </w:r>
          </w:p>
        </w:tc>
      </w:tr>
      <w:tr w:rsidR="008B4389" w:rsidRPr="00040929" w:rsidTr="008B4389">
        <w:trPr>
          <w:jc w:val="center"/>
        </w:trPr>
        <w:tc>
          <w:tcPr>
            <w:tcW w:w="1706" w:type="pct"/>
          </w:tcPr>
          <w:p w:rsidR="008B4389" w:rsidRPr="00F15B85" w:rsidRDefault="00F15B85" w:rsidP="00040929">
            <w:pPr>
              <w:rPr>
                <w:rFonts w:ascii="Times New Roman" w:eastAsia="Times New Roman" w:hAnsi="Times New Roman" w:cs="Times New Roman"/>
                <w:color w:val="000000"/>
                <w:sz w:val="18"/>
                <w:szCs w:val="20"/>
              </w:rPr>
            </w:pPr>
            <w:r w:rsidRPr="00F15B85">
              <w:rPr>
                <w:rFonts w:ascii="Times New Roman" w:eastAsia="Times New Roman" w:hAnsi="Times New Roman" w:cs="Times New Roman"/>
                <w:color w:val="000000"/>
                <w:sz w:val="18"/>
                <w:szCs w:val="20"/>
              </w:rPr>
              <w:t xml:space="preserve">           jęczmień</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112,4</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94,6</w:t>
            </w:r>
          </w:p>
        </w:tc>
        <w:tc>
          <w:tcPr>
            <w:tcW w:w="550"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104,3</w:t>
            </w:r>
          </w:p>
        </w:tc>
        <w:tc>
          <w:tcPr>
            <w:tcW w:w="749"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79,4</w:t>
            </w:r>
          </w:p>
        </w:tc>
        <w:tc>
          <w:tcPr>
            <w:tcW w:w="739"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78,2</w:t>
            </w:r>
          </w:p>
        </w:tc>
      </w:tr>
      <w:tr w:rsidR="008B4389" w:rsidRPr="00040929" w:rsidTr="008B4389">
        <w:trPr>
          <w:jc w:val="center"/>
        </w:trPr>
        <w:tc>
          <w:tcPr>
            <w:tcW w:w="1706" w:type="pct"/>
          </w:tcPr>
          <w:p w:rsidR="008B4389" w:rsidRPr="00F15B85" w:rsidRDefault="00F15B85" w:rsidP="00415AB8">
            <w:pPr>
              <w:rPr>
                <w:rFonts w:ascii="Times New Roman" w:eastAsia="Times New Roman" w:hAnsi="Times New Roman" w:cs="Times New Roman"/>
                <w:color w:val="000000"/>
                <w:sz w:val="18"/>
                <w:szCs w:val="20"/>
              </w:rPr>
            </w:pPr>
            <w:r w:rsidRPr="00F15B85">
              <w:rPr>
                <w:rFonts w:ascii="Times New Roman" w:eastAsia="Times New Roman" w:hAnsi="Times New Roman" w:cs="Times New Roman"/>
                <w:color w:val="000000"/>
                <w:sz w:val="18"/>
                <w:szCs w:val="20"/>
              </w:rPr>
              <w:t xml:space="preserve">           kukurydza</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97,8</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86,0</w:t>
            </w:r>
          </w:p>
        </w:tc>
        <w:tc>
          <w:tcPr>
            <w:tcW w:w="550"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127,2</w:t>
            </w:r>
          </w:p>
        </w:tc>
        <w:tc>
          <w:tcPr>
            <w:tcW w:w="749"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80,6</w:t>
            </w:r>
          </w:p>
        </w:tc>
        <w:tc>
          <w:tcPr>
            <w:tcW w:w="739"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68,3</w:t>
            </w:r>
          </w:p>
        </w:tc>
      </w:tr>
      <w:tr w:rsidR="008B4389" w:rsidRPr="00040929" w:rsidTr="008B4389">
        <w:trPr>
          <w:jc w:val="center"/>
        </w:trPr>
        <w:tc>
          <w:tcPr>
            <w:tcW w:w="1706" w:type="pct"/>
          </w:tcPr>
          <w:p w:rsidR="008B4389" w:rsidRPr="00F15B85" w:rsidRDefault="00F15B85" w:rsidP="00040929">
            <w:pPr>
              <w:rPr>
                <w:rFonts w:ascii="Times New Roman" w:eastAsia="Times New Roman" w:hAnsi="Times New Roman" w:cs="Times New Roman"/>
                <w:color w:val="000000"/>
                <w:sz w:val="18"/>
                <w:szCs w:val="20"/>
              </w:rPr>
            </w:pPr>
            <w:r w:rsidRPr="00F15B85">
              <w:rPr>
                <w:rFonts w:ascii="Times New Roman" w:eastAsia="Times New Roman" w:hAnsi="Times New Roman" w:cs="Times New Roman"/>
                <w:color w:val="000000"/>
                <w:sz w:val="18"/>
                <w:szCs w:val="20"/>
              </w:rPr>
              <w:t xml:space="preserve">           ziemniaki</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92,7</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69,4</w:t>
            </w:r>
          </w:p>
        </w:tc>
        <w:tc>
          <w:tcPr>
            <w:tcW w:w="550"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131,0</w:t>
            </w:r>
          </w:p>
        </w:tc>
        <w:tc>
          <w:tcPr>
            <w:tcW w:w="749"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70,9</w:t>
            </w:r>
          </w:p>
        </w:tc>
        <w:tc>
          <w:tcPr>
            <w:tcW w:w="739"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75,0</w:t>
            </w:r>
          </w:p>
        </w:tc>
      </w:tr>
      <w:tr w:rsidR="008B4389" w:rsidRPr="00040929" w:rsidTr="008B4389">
        <w:trPr>
          <w:jc w:val="center"/>
        </w:trPr>
        <w:tc>
          <w:tcPr>
            <w:tcW w:w="1706" w:type="pct"/>
          </w:tcPr>
          <w:p w:rsidR="008B4389" w:rsidRPr="00F15B85" w:rsidRDefault="00F15B85" w:rsidP="00040929">
            <w:pPr>
              <w:rPr>
                <w:rFonts w:ascii="Times New Roman" w:eastAsia="Times New Roman" w:hAnsi="Times New Roman" w:cs="Times New Roman"/>
                <w:color w:val="000000"/>
                <w:sz w:val="18"/>
                <w:szCs w:val="20"/>
              </w:rPr>
            </w:pPr>
            <w:r w:rsidRPr="00F15B85">
              <w:rPr>
                <w:rFonts w:ascii="Times New Roman" w:eastAsia="Times New Roman" w:hAnsi="Times New Roman" w:cs="Times New Roman"/>
                <w:color w:val="000000"/>
                <w:sz w:val="18"/>
                <w:szCs w:val="20"/>
              </w:rPr>
              <w:t xml:space="preserve">           bydło</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107,3</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100,9</w:t>
            </w:r>
          </w:p>
        </w:tc>
        <w:tc>
          <w:tcPr>
            <w:tcW w:w="550"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107,2</w:t>
            </w:r>
          </w:p>
        </w:tc>
        <w:tc>
          <w:tcPr>
            <w:tcW w:w="749"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94,3</w:t>
            </w:r>
          </w:p>
        </w:tc>
        <w:tc>
          <w:tcPr>
            <w:tcW w:w="739"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101,5</w:t>
            </w:r>
          </w:p>
        </w:tc>
      </w:tr>
      <w:tr w:rsidR="008B4389" w:rsidRPr="00040929" w:rsidTr="008B4389">
        <w:trPr>
          <w:jc w:val="center"/>
        </w:trPr>
        <w:tc>
          <w:tcPr>
            <w:tcW w:w="1706" w:type="pct"/>
          </w:tcPr>
          <w:p w:rsidR="008B4389" w:rsidRPr="00F15B85" w:rsidRDefault="00F15B85" w:rsidP="00040929">
            <w:pPr>
              <w:rPr>
                <w:rFonts w:ascii="Times New Roman" w:eastAsia="Times New Roman" w:hAnsi="Times New Roman" w:cs="Times New Roman"/>
                <w:color w:val="000000"/>
                <w:sz w:val="18"/>
                <w:szCs w:val="20"/>
              </w:rPr>
            </w:pPr>
            <w:r w:rsidRPr="00F15B85">
              <w:rPr>
                <w:rFonts w:ascii="Times New Roman" w:eastAsia="Times New Roman" w:hAnsi="Times New Roman" w:cs="Times New Roman"/>
                <w:color w:val="000000"/>
                <w:sz w:val="18"/>
                <w:szCs w:val="20"/>
              </w:rPr>
              <w:t xml:space="preserve">           trzoda chlewna</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90,6</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131,0</w:t>
            </w:r>
          </w:p>
        </w:tc>
        <w:tc>
          <w:tcPr>
            <w:tcW w:w="550"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92,3</w:t>
            </w:r>
          </w:p>
        </w:tc>
        <w:tc>
          <w:tcPr>
            <w:tcW w:w="749"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78,8</w:t>
            </w:r>
          </w:p>
        </w:tc>
        <w:tc>
          <w:tcPr>
            <w:tcW w:w="739"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85,0</w:t>
            </w:r>
          </w:p>
        </w:tc>
      </w:tr>
      <w:tr w:rsidR="008B4389" w:rsidRPr="00040929" w:rsidTr="008B4389">
        <w:trPr>
          <w:jc w:val="center"/>
        </w:trPr>
        <w:tc>
          <w:tcPr>
            <w:tcW w:w="1706" w:type="pct"/>
          </w:tcPr>
          <w:p w:rsidR="008B4389" w:rsidRPr="00F15B85" w:rsidRDefault="00F15B85" w:rsidP="00040929">
            <w:pPr>
              <w:rPr>
                <w:rFonts w:ascii="Times New Roman" w:eastAsia="Times New Roman" w:hAnsi="Times New Roman" w:cs="Times New Roman"/>
                <w:color w:val="000000"/>
                <w:sz w:val="18"/>
                <w:szCs w:val="20"/>
              </w:rPr>
            </w:pPr>
            <w:r w:rsidRPr="00F15B85">
              <w:rPr>
                <w:rFonts w:ascii="Times New Roman" w:eastAsia="Times New Roman" w:hAnsi="Times New Roman" w:cs="Times New Roman"/>
                <w:color w:val="000000"/>
                <w:sz w:val="18"/>
                <w:szCs w:val="20"/>
              </w:rPr>
              <w:t xml:space="preserve">           drób</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103,9</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95,1</w:t>
            </w:r>
          </w:p>
        </w:tc>
        <w:tc>
          <w:tcPr>
            <w:tcW w:w="550"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93,0</w:t>
            </w:r>
          </w:p>
        </w:tc>
        <w:tc>
          <w:tcPr>
            <w:tcW w:w="749"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100,0</w:t>
            </w:r>
          </w:p>
        </w:tc>
        <w:tc>
          <w:tcPr>
            <w:tcW w:w="739"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90,3</w:t>
            </w:r>
          </w:p>
        </w:tc>
      </w:tr>
      <w:tr w:rsidR="008B4389" w:rsidRPr="00040929" w:rsidTr="008B4389">
        <w:trPr>
          <w:jc w:val="center"/>
        </w:trPr>
        <w:tc>
          <w:tcPr>
            <w:tcW w:w="1706" w:type="pct"/>
          </w:tcPr>
          <w:p w:rsidR="008B4389" w:rsidRPr="00F15B85" w:rsidRDefault="00F15B85" w:rsidP="00040929">
            <w:pPr>
              <w:rPr>
                <w:rFonts w:ascii="Times New Roman" w:eastAsia="Times New Roman" w:hAnsi="Times New Roman" w:cs="Times New Roman"/>
                <w:color w:val="000000"/>
                <w:sz w:val="18"/>
                <w:szCs w:val="20"/>
              </w:rPr>
            </w:pPr>
            <w:r w:rsidRPr="00F15B85">
              <w:rPr>
                <w:rFonts w:ascii="Times New Roman" w:eastAsia="Times New Roman" w:hAnsi="Times New Roman" w:cs="Times New Roman"/>
                <w:color w:val="000000"/>
                <w:sz w:val="18"/>
                <w:szCs w:val="20"/>
              </w:rPr>
              <w:t xml:space="preserve">           cielęta</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110,4</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97,5</w:t>
            </w:r>
          </w:p>
        </w:tc>
        <w:tc>
          <w:tcPr>
            <w:tcW w:w="550"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100,7</w:t>
            </w:r>
          </w:p>
        </w:tc>
        <w:tc>
          <w:tcPr>
            <w:tcW w:w="749"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101,0</w:t>
            </w:r>
          </w:p>
        </w:tc>
        <w:tc>
          <w:tcPr>
            <w:tcW w:w="739"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98,2</w:t>
            </w:r>
          </w:p>
        </w:tc>
      </w:tr>
      <w:tr w:rsidR="008B4389" w:rsidRPr="00040929" w:rsidTr="008B4389">
        <w:trPr>
          <w:jc w:val="center"/>
        </w:trPr>
        <w:tc>
          <w:tcPr>
            <w:tcW w:w="1706" w:type="pct"/>
          </w:tcPr>
          <w:p w:rsidR="008B4389" w:rsidRPr="00F15B85" w:rsidRDefault="00F15B85" w:rsidP="00B03946">
            <w:pPr>
              <w:rPr>
                <w:rFonts w:ascii="Times New Roman" w:eastAsia="Times New Roman" w:hAnsi="Times New Roman" w:cs="Times New Roman"/>
                <w:color w:val="000000"/>
                <w:sz w:val="18"/>
                <w:szCs w:val="20"/>
              </w:rPr>
            </w:pPr>
            <w:r w:rsidRPr="00F15B85">
              <w:rPr>
                <w:rFonts w:ascii="Times New Roman" w:eastAsia="Times New Roman" w:hAnsi="Times New Roman" w:cs="Times New Roman"/>
                <w:color w:val="000000"/>
                <w:sz w:val="18"/>
                <w:szCs w:val="20"/>
              </w:rPr>
              <w:t xml:space="preserve">           mleko</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112,2</w:t>
            </w:r>
          </w:p>
        </w:tc>
        <w:tc>
          <w:tcPr>
            <w:tcW w:w="628"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120,4</w:t>
            </w:r>
          </w:p>
        </w:tc>
        <w:tc>
          <w:tcPr>
            <w:tcW w:w="550"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91,4</w:t>
            </w:r>
          </w:p>
        </w:tc>
        <w:tc>
          <w:tcPr>
            <w:tcW w:w="749" w:type="pct"/>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80,2</w:t>
            </w:r>
          </w:p>
        </w:tc>
        <w:tc>
          <w:tcPr>
            <w:tcW w:w="739" w:type="pct"/>
            <w:tcBorders>
              <w:right w:val="single" w:sz="4" w:space="0" w:color="auto"/>
            </w:tcBorders>
          </w:tcPr>
          <w:p w:rsidR="008B4389" w:rsidRPr="008B4389" w:rsidRDefault="008B4389" w:rsidP="008B4389">
            <w:pPr>
              <w:ind w:right="113"/>
              <w:jc w:val="right"/>
              <w:rPr>
                <w:rFonts w:ascii="Times New Roman" w:eastAsia="Times New Roman" w:hAnsi="Times New Roman" w:cs="Times New Roman"/>
                <w:sz w:val="20"/>
                <w:szCs w:val="20"/>
              </w:rPr>
            </w:pPr>
            <w:r w:rsidRPr="008B4389">
              <w:rPr>
                <w:rFonts w:ascii="Times New Roman" w:eastAsia="Times New Roman" w:hAnsi="Times New Roman" w:cs="Times New Roman"/>
                <w:sz w:val="20"/>
                <w:szCs w:val="20"/>
              </w:rPr>
              <w:t>121,2</w:t>
            </w:r>
          </w:p>
        </w:tc>
      </w:tr>
    </w:tbl>
    <w:p w:rsidR="00040929" w:rsidRDefault="00040929" w:rsidP="00040929">
      <w:pPr>
        <w:spacing w:before="40" w:after="0" w:line="240" w:lineRule="auto"/>
        <w:ind w:left="45"/>
        <w:jc w:val="both"/>
        <w:rPr>
          <w:rFonts w:ascii="Times New Roman" w:eastAsia="Times New Roman" w:hAnsi="Times New Roman" w:cs="Times New Roman"/>
          <w:i/>
          <w:iCs/>
          <w:sz w:val="20"/>
          <w:szCs w:val="20"/>
        </w:rPr>
      </w:pPr>
      <w:r w:rsidRPr="00B03946">
        <w:rPr>
          <w:rFonts w:ascii="Times New Roman" w:eastAsia="Times New Roman" w:hAnsi="Times New Roman" w:cs="Times New Roman"/>
          <w:b/>
          <w:iCs/>
          <w:sz w:val="20"/>
          <w:szCs w:val="20"/>
        </w:rPr>
        <w:t>Źród</w:t>
      </w:r>
      <w:r w:rsidR="006050E4" w:rsidRPr="00B03946">
        <w:rPr>
          <w:rFonts w:ascii="Times New Roman" w:eastAsia="Times New Roman" w:hAnsi="Times New Roman" w:cs="Times New Roman"/>
          <w:b/>
          <w:iCs/>
          <w:sz w:val="20"/>
          <w:szCs w:val="20"/>
        </w:rPr>
        <w:t>ło</w:t>
      </w:r>
      <w:r w:rsidR="00E803F6">
        <w:rPr>
          <w:rFonts w:ascii="Times New Roman" w:eastAsia="Times New Roman" w:hAnsi="Times New Roman" w:cs="Times New Roman"/>
          <w:i/>
          <w:iCs/>
          <w:sz w:val="20"/>
          <w:szCs w:val="20"/>
        </w:rPr>
        <w:t>: Rynek Rolny nr 2</w:t>
      </w:r>
      <w:r w:rsidR="00415AB8">
        <w:rPr>
          <w:rFonts w:ascii="Times New Roman" w:eastAsia="Times New Roman" w:hAnsi="Times New Roman" w:cs="Times New Roman"/>
          <w:i/>
          <w:iCs/>
          <w:sz w:val="20"/>
          <w:szCs w:val="20"/>
        </w:rPr>
        <w:t>/</w:t>
      </w:r>
      <w:r w:rsidR="00347A11">
        <w:rPr>
          <w:rFonts w:ascii="Times New Roman" w:eastAsia="Times New Roman" w:hAnsi="Times New Roman" w:cs="Times New Roman"/>
          <w:i/>
          <w:iCs/>
          <w:sz w:val="20"/>
          <w:szCs w:val="20"/>
        </w:rPr>
        <w:t>201</w:t>
      </w:r>
      <w:r w:rsidR="0031203F">
        <w:rPr>
          <w:rFonts w:ascii="Times New Roman" w:eastAsia="Times New Roman" w:hAnsi="Times New Roman" w:cs="Times New Roman"/>
          <w:i/>
          <w:iCs/>
          <w:sz w:val="20"/>
          <w:szCs w:val="20"/>
        </w:rPr>
        <w:t>8</w:t>
      </w:r>
      <w:r w:rsidR="00F15B85">
        <w:rPr>
          <w:rFonts w:ascii="Times New Roman" w:eastAsia="Times New Roman" w:hAnsi="Times New Roman" w:cs="Times New Roman"/>
          <w:i/>
          <w:iCs/>
          <w:sz w:val="20"/>
          <w:szCs w:val="20"/>
        </w:rPr>
        <w:t> </w:t>
      </w:r>
      <w:r w:rsidR="006050E4">
        <w:rPr>
          <w:rFonts w:ascii="Times New Roman" w:eastAsia="Times New Roman" w:hAnsi="Times New Roman" w:cs="Times New Roman"/>
          <w:i/>
          <w:iCs/>
          <w:sz w:val="20"/>
          <w:szCs w:val="20"/>
        </w:rPr>
        <w:t>r.</w:t>
      </w:r>
    </w:p>
    <w:p w:rsidR="00DE2470" w:rsidRPr="00040929" w:rsidRDefault="00DE2470" w:rsidP="00040929">
      <w:pPr>
        <w:spacing w:before="40" w:after="0" w:line="240" w:lineRule="auto"/>
        <w:ind w:left="45"/>
        <w:jc w:val="both"/>
        <w:rPr>
          <w:rFonts w:ascii="Times New Roman" w:eastAsia="Times New Roman" w:hAnsi="Times New Roman" w:cs="Times New Roman"/>
          <w:i/>
          <w:iCs/>
          <w:sz w:val="20"/>
          <w:szCs w:val="20"/>
        </w:rPr>
      </w:pPr>
    </w:p>
    <w:p w:rsidR="001F40CA" w:rsidRDefault="0031203F" w:rsidP="006B66D2">
      <w:pPr>
        <w:spacing w:after="0" w:line="264" w:lineRule="auto"/>
        <w:jc w:val="both"/>
        <w:rPr>
          <w:rFonts w:ascii="Times New Roman" w:eastAsia="Times New Roman" w:hAnsi="Times New Roman" w:cs="Times New Roman"/>
          <w:sz w:val="24"/>
          <w:szCs w:val="24"/>
        </w:rPr>
      </w:pPr>
      <w:r w:rsidRPr="0031203F">
        <w:rPr>
          <w:rFonts w:ascii="Times New Roman" w:eastAsia="Times New Roman" w:hAnsi="Times New Roman" w:cs="Times New Roman"/>
          <w:sz w:val="24"/>
          <w:szCs w:val="24"/>
        </w:rPr>
        <w:t>Wskaźniki obrazujące zmiany rynkowych uwarunkowań produkcji w rolnictwie</w:t>
      </w:r>
    </w:p>
    <w:tbl>
      <w:tblPr>
        <w:tblW w:w="1562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5"/>
        <w:gridCol w:w="5199"/>
        <w:gridCol w:w="5208"/>
      </w:tblGrid>
      <w:tr w:rsidR="0031203F" w:rsidRPr="0031203F" w:rsidTr="005D71C7">
        <w:trPr>
          <w:trHeight w:val="3704"/>
        </w:trPr>
        <w:tc>
          <w:tcPr>
            <w:tcW w:w="5215" w:type="dxa"/>
          </w:tcPr>
          <w:p w:rsidR="0031203F" w:rsidRPr="0031203F" w:rsidRDefault="0031203F" w:rsidP="0031203F">
            <w:pPr>
              <w:spacing w:after="0" w:line="240" w:lineRule="auto"/>
              <w:jc w:val="both"/>
              <w:rPr>
                <w:rFonts w:ascii="Times New Roman" w:eastAsia="Times New Roman" w:hAnsi="Times New Roman" w:cs="Times New Roman"/>
                <w:b/>
                <w:bCs/>
                <w:sz w:val="20"/>
                <w:szCs w:val="20"/>
              </w:rPr>
            </w:pPr>
            <w:r w:rsidRPr="0031203F">
              <w:rPr>
                <w:rFonts w:ascii="Times New Roman" w:eastAsia="Times New Roman" w:hAnsi="Times New Roman" w:cs="Times New Roman"/>
                <w:b/>
                <w:bCs/>
                <w:sz w:val="20"/>
                <w:szCs w:val="20"/>
              </w:rPr>
              <w:t>Rys. 1. Wyrównane wskaźniki koniunktury w rolnictwie</w:t>
            </w:r>
          </w:p>
          <w:p w:rsidR="0031203F" w:rsidRPr="0031203F" w:rsidRDefault="00C2440D" w:rsidP="0031203F">
            <w:pPr>
              <w:spacing w:after="0" w:line="240" w:lineRule="auto"/>
              <w:jc w:val="both"/>
              <w:rPr>
                <w:rFonts w:ascii="Times New Roman" w:eastAsia="Times New Roman" w:hAnsi="Times New Roman" w:cs="Times New Roman"/>
                <w:b/>
                <w:bCs/>
                <w:sz w:val="2"/>
                <w:szCs w:val="2"/>
              </w:rPr>
            </w:pPr>
            <w:r w:rsidRPr="0031203F">
              <w:rPr>
                <w:rFonts w:ascii="Times New Roman" w:eastAsia="Times New Roman" w:hAnsi="Times New Roman" w:cs="Times New Roman"/>
                <w:b/>
                <w:bCs/>
                <w:noProof/>
                <w:sz w:val="20"/>
                <w:szCs w:val="20"/>
              </w:rPr>
              <w:drawing>
                <wp:inline distT="0" distB="0" distL="0" distR="0">
                  <wp:extent cx="3228975" cy="2362200"/>
                  <wp:effectExtent l="0" t="0" r="0" b="0"/>
                  <wp:docPr id="1"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199" w:type="dxa"/>
          </w:tcPr>
          <w:p w:rsidR="0031203F" w:rsidRPr="0031203F" w:rsidRDefault="0031203F" w:rsidP="0031203F">
            <w:pPr>
              <w:spacing w:after="0" w:line="240" w:lineRule="auto"/>
              <w:jc w:val="both"/>
              <w:rPr>
                <w:rFonts w:ascii="Times New Roman" w:eastAsia="Times New Roman" w:hAnsi="Times New Roman" w:cs="Times New Roman"/>
                <w:b/>
                <w:bCs/>
                <w:sz w:val="20"/>
                <w:szCs w:val="20"/>
              </w:rPr>
            </w:pPr>
            <w:r w:rsidRPr="0031203F">
              <w:rPr>
                <w:rFonts w:ascii="Times New Roman" w:eastAsia="Times New Roman" w:hAnsi="Times New Roman" w:cs="Times New Roman"/>
                <w:b/>
                <w:bCs/>
                <w:sz w:val="20"/>
                <w:szCs w:val="20"/>
              </w:rPr>
              <w:t>Rys. 2. Wyrównane wskaźniki zmian cen</w:t>
            </w:r>
          </w:p>
          <w:p w:rsidR="0031203F" w:rsidRPr="0031203F" w:rsidRDefault="00C2440D" w:rsidP="0031203F">
            <w:pPr>
              <w:spacing w:after="0" w:line="240" w:lineRule="auto"/>
              <w:jc w:val="both"/>
              <w:rPr>
                <w:rFonts w:ascii="Times New Roman" w:eastAsia="Times New Roman" w:hAnsi="Times New Roman" w:cs="Times New Roman"/>
                <w:b/>
                <w:bCs/>
                <w:sz w:val="2"/>
                <w:szCs w:val="2"/>
              </w:rPr>
            </w:pPr>
            <w:r w:rsidRPr="0031203F">
              <w:rPr>
                <w:rFonts w:ascii="Times New Roman" w:eastAsia="Times New Roman" w:hAnsi="Times New Roman" w:cs="Times New Roman"/>
                <w:b/>
                <w:bCs/>
                <w:noProof/>
                <w:sz w:val="20"/>
                <w:szCs w:val="20"/>
              </w:rPr>
              <w:drawing>
                <wp:inline distT="0" distB="0" distL="0" distR="0">
                  <wp:extent cx="3181350" cy="2324100"/>
                  <wp:effectExtent l="0" t="0" r="0" b="0"/>
                  <wp:docPr id="2" name="Obiek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208" w:type="dxa"/>
            <w:tcBorders>
              <w:top w:val="nil"/>
              <w:bottom w:val="nil"/>
              <w:right w:val="nil"/>
            </w:tcBorders>
          </w:tcPr>
          <w:p w:rsidR="0031203F" w:rsidRPr="0031203F" w:rsidRDefault="0031203F" w:rsidP="0031203F">
            <w:pPr>
              <w:spacing w:after="0" w:line="240" w:lineRule="auto"/>
              <w:rPr>
                <w:rFonts w:ascii="Times New Roman" w:eastAsia="Times New Roman" w:hAnsi="Times New Roman" w:cs="Times New Roman"/>
                <w:b/>
                <w:bCs/>
                <w:sz w:val="20"/>
                <w:szCs w:val="20"/>
              </w:rPr>
            </w:pPr>
          </w:p>
        </w:tc>
      </w:tr>
      <w:tr w:rsidR="0031203F" w:rsidRPr="0031203F" w:rsidTr="005D71C7">
        <w:trPr>
          <w:trHeight w:val="3832"/>
        </w:trPr>
        <w:tc>
          <w:tcPr>
            <w:tcW w:w="5215" w:type="dxa"/>
          </w:tcPr>
          <w:p w:rsidR="0031203F" w:rsidRPr="0031203F" w:rsidRDefault="0031203F" w:rsidP="0031203F">
            <w:pPr>
              <w:spacing w:after="0" w:line="240" w:lineRule="auto"/>
              <w:jc w:val="both"/>
              <w:rPr>
                <w:rFonts w:ascii="Times New Roman" w:eastAsia="Times New Roman" w:hAnsi="Times New Roman" w:cs="Times New Roman"/>
                <w:b/>
                <w:bCs/>
                <w:sz w:val="20"/>
                <w:szCs w:val="20"/>
              </w:rPr>
            </w:pPr>
            <w:r w:rsidRPr="0031203F">
              <w:rPr>
                <w:rFonts w:ascii="Times New Roman" w:eastAsia="Times New Roman" w:hAnsi="Times New Roman" w:cs="Times New Roman"/>
                <w:b/>
                <w:bCs/>
                <w:sz w:val="20"/>
                <w:szCs w:val="20"/>
              </w:rPr>
              <w:t>Rys. 3. Wyrównane wskaźniki zmian cen</w:t>
            </w:r>
          </w:p>
          <w:p w:rsidR="0031203F" w:rsidRPr="0031203F" w:rsidRDefault="00C2440D" w:rsidP="0031203F">
            <w:pPr>
              <w:spacing w:after="0" w:line="240" w:lineRule="auto"/>
              <w:jc w:val="both"/>
              <w:rPr>
                <w:rFonts w:ascii="Times New Roman" w:eastAsia="Times New Roman" w:hAnsi="Times New Roman" w:cs="Times New Roman"/>
                <w:b/>
                <w:bCs/>
                <w:sz w:val="2"/>
                <w:szCs w:val="2"/>
              </w:rPr>
            </w:pPr>
            <w:r w:rsidRPr="0031203F">
              <w:rPr>
                <w:rFonts w:ascii="Times New Roman" w:eastAsia="Times New Roman" w:hAnsi="Times New Roman" w:cs="Times New Roman"/>
                <w:b/>
                <w:bCs/>
                <w:noProof/>
                <w:sz w:val="20"/>
                <w:szCs w:val="20"/>
              </w:rPr>
              <w:drawing>
                <wp:inline distT="0" distB="0" distL="0" distR="0">
                  <wp:extent cx="3162300" cy="2228850"/>
                  <wp:effectExtent l="0" t="0" r="0" b="0"/>
                  <wp:docPr id="3" name="Obiek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199" w:type="dxa"/>
          </w:tcPr>
          <w:p w:rsidR="0031203F" w:rsidRPr="0031203F" w:rsidRDefault="0031203F" w:rsidP="0031203F">
            <w:pPr>
              <w:spacing w:after="0" w:line="240" w:lineRule="auto"/>
              <w:jc w:val="both"/>
              <w:rPr>
                <w:rFonts w:ascii="Times New Roman" w:eastAsia="Times New Roman" w:hAnsi="Times New Roman" w:cs="Times New Roman"/>
                <w:b/>
                <w:bCs/>
                <w:sz w:val="20"/>
                <w:szCs w:val="20"/>
              </w:rPr>
            </w:pPr>
            <w:r w:rsidRPr="0031203F">
              <w:rPr>
                <w:rFonts w:ascii="Times New Roman" w:eastAsia="Times New Roman" w:hAnsi="Times New Roman" w:cs="Times New Roman"/>
                <w:b/>
                <w:bCs/>
                <w:sz w:val="20"/>
                <w:szCs w:val="20"/>
              </w:rPr>
              <w:t>Rys. 4. Skumulowany wskaźnik nożyc cen</w:t>
            </w:r>
          </w:p>
          <w:p w:rsidR="0031203F" w:rsidRPr="0031203F" w:rsidRDefault="00C2440D" w:rsidP="0031203F">
            <w:pPr>
              <w:spacing w:after="0" w:line="240" w:lineRule="auto"/>
              <w:jc w:val="both"/>
              <w:rPr>
                <w:rFonts w:ascii="Times New Roman" w:eastAsia="Times New Roman" w:hAnsi="Times New Roman" w:cs="Times New Roman"/>
                <w:b/>
                <w:bCs/>
                <w:sz w:val="2"/>
                <w:szCs w:val="2"/>
              </w:rPr>
            </w:pPr>
            <w:r w:rsidRPr="0031203F">
              <w:rPr>
                <w:rFonts w:ascii="Times New Roman" w:eastAsia="Times New Roman" w:hAnsi="Times New Roman" w:cs="Times New Roman"/>
                <w:b/>
                <w:bCs/>
                <w:noProof/>
                <w:sz w:val="20"/>
                <w:szCs w:val="20"/>
              </w:rPr>
              <w:drawing>
                <wp:inline distT="0" distB="0" distL="0" distR="0">
                  <wp:extent cx="3171825" cy="2228850"/>
                  <wp:effectExtent l="0" t="0" r="0" b="0"/>
                  <wp:docPr id="4" name="Obiek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208" w:type="dxa"/>
            <w:tcBorders>
              <w:top w:val="nil"/>
              <w:bottom w:val="nil"/>
              <w:right w:val="nil"/>
            </w:tcBorders>
          </w:tcPr>
          <w:p w:rsidR="0031203F" w:rsidRPr="0031203F" w:rsidRDefault="0031203F" w:rsidP="0031203F">
            <w:pPr>
              <w:spacing w:after="0" w:line="240" w:lineRule="auto"/>
              <w:rPr>
                <w:rFonts w:ascii="Times New Roman" w:eastAsia="Times New Roman" w:hAnsi="Times New Roman" w:cs="Times New Roman"/>
                <w:b/>
                <w:bCs/>
                <w:sz w:val="20"/>
                <w:szCs w:val="20"/>
              </w:rPr>
            </w:pPr>
          </w:p>
        </w:tc>
      </w:tr>
    </w:tbl>
    <w:p w:rsidR="0031203F" w:rsidRPr="00040929" w:rsidRDefault="0031203F" w:rsidP="0031203F">
      <w:pPr>
        <w:spacing w:before="40" w:after="0" w:line="240" w:lineRule="auto"/>
        <w:ind w:left="45"/>
        <w:jc w:val="both"/>
        <w:rPr>
          <w:rFonts w:ascii="Times New Roman" w:eastAsia="Times New Roman" w:hAnsi="Times New Roman" w:cs="Times New Roman"/>
          <w:i/>
          <w:iCs/>
          <w:sz w:val="20"/>
          <w:szCs w:val="20"/>
        </w:rPr>
      </w:pPr>
      <w:r w:rsidRPr="00B03946">
        <w:rPr>
          <w:rFonts w:ascii="Times New Roman" w:eastAsia="Times New Roman" w:hAnsi="Times New Roman" w:cs="Times New Roman"/>
          <w:b/>
          <w:iCs/>
          <w:sz w:val="20"/>
          <w:szCs w:val="20"/>
        </w:rPr>
        <w:t>Źródło</w:t>
      </w:r>
      <w:r>
        <w:rPr>
          <w:rFonts w:ascii="Times New Roman" w:eastAsia="Times New Roman" w:hAnsi="Times New Roman" w:cs="Times New Roman"/>
          <w:i/>
          <w:iCs/>
          <w:sz w:val="20"/>
          <w:szCs w:val="20"/>
        </w:rPr>
        <w:t>: Rynek Rolny nr 2/2018r.</w:t>
      </w:r>
    </w:p>
    <w:p w:rsidR="001F40CA" w:rsidRDefault="001F40CA" w:rsidP="006B66D2">
      <w:pPr>
        <w:spacing w:after="0" w:line="264" w:lineRule="auto"/>
        <w:jc w:val="both"/>
        <w:rPr>
          <w:rFonts w:ascii="Times New Roman" w:eastAsia="Times New Roman" w:hAnsi="Times New Roman" w:cs="Times New Roman"/>
          <w:sz w:val="24"/>
          <w:szCs w:val="24"/>
        </w:rPr>
      </w:pPr>
    </w:p>
    <w:p w:rsidR="008351E6" w:rsidRDefault="006F10BF" w:rsidP="008351E6">
      <w:pPr>
        <w:spacing w:after="0" w:line="240" w:lineRule="auto"/>
        <w:jc w:val="right"/>
        <w:rPr>
          <w:rFonts w:ascii="Times New Roman" w:hAnsi="Times New Roman"/>
          <w:sz w:val="24"/>
          <w:szCs w:val="24"/>
        </w:rPr>
      </w:pPr>
      <w:r>
        <w:rPr>
          <w:rFonts w:ascii="Times New Roman" w:hAnsi="Times New Roman"/>
          <w:sz w:val="24"/>
          <w:szCs w:val="24"/>
        </w:rPr>
        <w:t>Tabela 2</w:t>
      </w:r>
    </w:p>
    <w:p w:rsidR="00040929" w:rsidRPr="00040929" w:rsidRDefault="00040929" w:rsidP="00040929">
      <w:pPr>
        <w:spacing w:after="120" w:line="240" w:lineRule="auto"/>
        <w:jc w:val="both"/>
        <w:rPr>
          <w:rFonts w:ascii="Times New Roman" w:hAnsi="Times New Roman"/>
          <w:sz w:val="24"/>
          <w:szCs w:val="24"/>
        </w:rPr>
      </w:pPr>
      <w:r w:rsidRPr="00040929">
        <w:rPr>
          <w:rFonts w:ascii="Times New Roman" w:hAnsi="Times New Roman"/>
          <w:sz w:val="24"/>
          <w:szCs w:val="24"/>
        </w:rPr>
        <w:t>Ceny skupu p</w:t>
      </w:r>
      <w:r w:rsidR="00E57464">
        <w:rPr>
          <w:rFonts w:ascii="Times New Roman" w:hAnsi="Times New Roman"/>
          <w:sz w:val="24"/>
          <w:szCs w:val="24"/>
        </w:rPr>
        <w:t>łodów rolnych w latach 201</w:t>
      </w:r>
      <w:r w:rsidR="002F09DC">
        <w:rPr>
          <w:rFonts w:ascii="Times New Roman" w:hAnsi="Times New Roman"/>
          <w:sz w:val="24"/>
          <w:szCs w:val="24"/>
        </w:rPr>
        <w:t>4</w:t>
      </w:r>
      <w:r w:rsidR="004F149E">
        <w:rPr>
          <w:rFonts w:ascii="Times New Roman" w:hAnsi="Times New Roman"/>
          <w:sz w:val="24"/>
          <w:szCs w:val="24"/>
        </w:rPr>
        <w:t>-201</w:t>
      </w:r>
      <w:r w:rsidR="002F09DC">
        <w:rPr>
          <w:rFonts w:ascii="Times New Roman" w:hAnsi="Times New Roman"/>
          <w:sz w:val="24"/>
          <w:szCs w:val="24"/>
        </w:rPr>
        <w:t>7</w:t>
      </w:r>
      <w:r w:rsidRPr="00040929">
        <w:rPr>
          <w:rFonts w:ascii="Times New Roman" w:hAnsi="Times New Roman"/>
          <w:sz w:val="24"/>
          <w:szCs w:val="24"/>
        </w:rPr>
        <w:t xml:space="preserve"> (dane z miesiąca grudnia w zł) </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851"/>
        <w:gridCol w:w="590"/>
        <w:gridCol w:w="885"/>
        <w:gridCol w:w="1076"/>
        <w:gridCol w:w="993"/>
        <w:gridCol w:w="708"/>
        <w:gridCol w:w="851"/>
        <w:gridCol w:w="567"/>
        <w:gridCol w:w="709"/>
        <w:gridCol w:w="708"/>
      </w:tblGrid>
      <w:tr w:rsidR="00040929" w:rsidRPr="00040929" w:rsidTr="002A2404">
        <w:trPr>
          <w:trHeight w:val="285"/>
          <w:jc w:val="center"/>
        </w:trPr>
        <w:tc>
          <w:tcPr>
            <w:tcW w:w="715" w:type="dxa"/>
            <w:shd w:val="clear" w:color="auto" w:fill="auto"/>
            <w:noWrap/>
            <w:vAlign w:val="center"/>
            <w:hideMark/>
          </w:tcPr>
          <w:p w:rsidR="00040929" w:rsidRPr="00040929" w:rsidRDefault="00040929" w:rsidP="0068458B">
            <w:pPr>
              <w:spacing w:after="120" w:line="240" w:lineRule="auto"/>
              <w:jc w:val="center"/>
              <w:rPr>
                <w:rFonts w:ascii="Times New Roman" w:hAnsi="Times New Roman"/>
                <w:sz w:val="20"/>
                <w:szCs w:val="20"/>
              </w:rPr>
            </w:pPr>
            <w:r w:rsidRPr="00040929">
              <w:rPr>
                <w:rFonts w:ascii="Times New Roman" w:hAnsi="Times New Roman"/>
                <w:sz w:val="20"/>
                <w:szCs w:val="20"/>
              </w:rPr>
              <w:t>Lata</w:t>
            </w:r>
          </w:p>
        </w:tc>
        <w:tc>
          <w:tcPr>
            <w:tcW w:w="851" w:type="dxa"/>
            <w:shd w:val="clear" w:color="auto" w:fill="auto"/>
            <w:noWrap/>
            <w:vAlign w:val="center"/>
            <w:hideMark/>
          </w:tcPr>
          <w:p w:rsidR="00040929" w:rsidRPr="00040929" w:rsidRDefault="00040929" w:rsidP="0068458B">
            <w:pPr>
              <w:spacing w:after="120" w:line="240" w:lineRule="auto"/>
              <w:jc w:val="center"/>
              <w:rPr>
                <w:rFonts w:ascii="Times New Roman" w:hAnsi="Times New Roman"/>
                <w:sz w:val="20"/>
                <w:szCs w:val="20"/>
              </w:rPr>
            </w:pPr>
            <w:r w:rsidRPr="00040929">
              <w:rPr>
                <w:rFonts w:ascii="Times New Roman" w:hAnsi="Times New Roman"/>
                <w:sz w:val="20"/>
                <w:szCs w:val="20"/>
              </w:rPr>
              <w:t xml:space="preserve">Pszenica </w:t>
            </w:r>
            <w:r w:rsidRPr="00040929">
              <w:rPr>
                <w:rFonts w:ascii="Times New Roman" w:hAnsi="Times New Roman"/>
                <w:sz w:val="16"/>
                <w:szCs w:val="16"/>
              </w:rPr>
              <w:t>(dt)</w:t>
            </w:r>
          </w:p>
        </w:tc>
        <w:tc>
          <w:tcPr>
            <w:tcW w:w="590" w:type="dxa"/>
            <w:shd w:val="clear" w:color="auto" w:fill="auto"/>
            <w:noWrap/>
            <w:vAlign w:val="center"/>
            <w:hideMark/>
          </w:tcPr>
          <w:p w:rsidR="00040929" w:rsidRPr="00040929" w:rsidRDefault="00040929" w:rsidP="0068458B">
            <w:pPr>
              <w:spacing w:after="120" w:line="240" w:lineRule="auto"/>
              <w:jc w:val="center"/>
              <w:rPr>
                <w:rFonts w:ascii="Times New Roman" w:hAnsi="Times New Roman"/>
                <w:sz w:val="20"/>
                <w:szCs w:val="20"/>
              </w:rPr>
            </w:pPr>
            <w:r w:rsidRPr="00040929">
              <w:rPr>
                <w:rFonts w:ascii="Times New Roman" w:hAnsi="Times New Roman"/>
                <w:sz w:val="20"/>
                <w:szCs w:val="20"/>
              </w:rPr>
              <w:t xml:space="preserve">Żyto </w:t>
            </w:r>
            <w:r w:rsidRPr="00040929">
              <w:rPr>
                <w:rFonts w:ascii="Times New Roman" w:hAnsi="Times New Roman"/>
                <w:sz w:val="16"/>
                <w:szCs w:val="16"/>
              </w:rPr>
              <w:t>(dt)</w:t>
            </w:r>
          </w:p>
        </w:tc>
        <w:tc>
          <w:tcPr>
            <w:tcW w:w="885" w:type="dxa"/>
            <w:shd w:val="clear" w:color="auto" w:fill="auto"/>
            <w:noWrap/>
            <w:vAlign w:val="center"/>
            <w:hideMark/>
          </w:tcPr>
          <w:p w:rsidR="00040929" w:rsidRPr="00040929" w:rsidRDefault="00040929" w:rsidP="0068458B">
            <w:pPr>
              <w:spacing w:after="120" w:line="240" w:lineRule="auto"/>
              <w:jc w:val="center"/>
              <w:rPr>
                <w:rFonts w:ascii="Times New Roman" w:hAnsi="Times New Roman"/>
                <w:sz w:val="20"/>
                <w:szCs w:val="20"/>
              </w:rPr>
            </w:pPr>
            <w:r w:rsidRPr="00040929">
              <w:rPr>
                <w:rFonts w:ascii="Times New Roman" w:hAnsi="Times New Roman"/>
                <w:sz w:val="20"/>
                <w:szCs w:val="20"/>
              </w:rPr>
              <w:t xml:space="preserve">Jęczmień </w:t>
            </w:r>
            <w:r w:rsidRPr="00040929">
              <w:rPr>
                <w:rFonts w:ascii="Times New Roman" w:hAnsi="Times New Roman"/>
                <w:sz w:val="16"/>
                <w:szCs w:val="16"/>
              </w:rPr>
              <w:t>(dt)</w:t>
            </w:r>
          </w:p>
        </w:tc>
        <w:tc>
          <w:tcPr>
            <w:tcW w:w="1076" w:type="dxa"/>
            <w:shd w:val="clear" w:color="auto" w:fill="auto"/>
            <w:noWrap/>
            <w:vAlign w:val="center"/>
            <w:hideMark/>
          </w:tcPr>
          <w:p w:rsidR="00040929" w:rsidRPr="00040929" w:rsidRDefault="00040929" w:rsidP="0068458B">
            <w:pPr>
              <w:spacing w:after="120" w:line="240" w:lineRule="auto"/>
              <w:jc w:val="center"/>
              <w:rPr>
                <w:rFonts w:ascii="Times New Roman" w:hAnsi="Times New Roman"/>
                <w:sz w:val="20"/>
                <w:szCs w:val="20"/>
              </w:rPr>
            </w:pPr>
            <w:r w:rsidRPr="00040929">
              <w:rPr>
                <w:rFonts w:ascii="Times New Roman" w:hAnsi="Times New Roman"/>
                <w:sz w:val="20"/>
                <w:szCs w:val="20"/>
              </w:rPr>
              <w:t xml:space="preserve">Kukurydza </w:t>
            </w:r>
            <w:r w:rsidRPr="00040929">
              <w:rPr>
                <w:rFonts w:ascii="Times New Roman" w:hAnsi="Times New Roman"/>
                <w:sz w:val="16"/>
                <w:szCs w:val="16"/>
              </w:rPr>
              <w:t>(dt)</w:t>
            </w:r>
          </w:p>
        </w:tc>
        <w:tc>
          <w:tcPr>
            <w:tcW w:w="993" w:type="dxa"/>
            <w:shd w:val="clear" w:color="auto" w:fill="auto"/>
            <w:noWrap/>
            <w:vAlign w:val="center"/>
            <w:hideMark/>
          </w:tcPr>
          <w:p w:rsidR="00040929" w:rsidRPr="00040929" w:rsidRDefault="00344F0F" w:rsidP="0068458B">
            <w:pPr>
              <w:spacing w:after="120" w:line="240" w:lineRule="auto"/>
              <w:jc w:val="center"/>
              <w:rPr>
                <w:rFonts w:ascii="Times New Roman" w:hAnsi="Times New Roman"/>
                <w:sz w:val="20"/>
                <w:szCs w:val="20"/>
              </w:rPr>
            </w:pPr>
            <w:r>
              <w:rPr>
                <w:rFonts w:ascii="Times New Roman" w:hAnsi="Times New Roman"/>
                <w:sz w:val="20"/>
                <w:szCs w:val="20"/>
              </w:rPr>
              <w:t>Rzepak</w:t>
            </w:r>
            <w:r w:rsidR="00040929" w:rsidRPr="00040929">
              <w:rPr>
                <w:rFonts w:ascii="Times New Roman" w:hAnsi="Times New Roman"/>
                <w:sz w:val="20"/>
                <w:szCs w:val="20"/>
              </w:rPr>
              <w:t xml:space="preserve"> </w:t>
            </w:r>
            <w:r w:rsidR="00040929" w:rsidRPr="00040929">
              <w:rPr>
                <w:rFonts w:ascii="Times New Roman" w:hAnsi="Times New Roman"/>
                <w:sz w:val="16"/>
                <w:szCs w:val="16"/>
              </w:rPr>
              <w:t>(dt)</w:t>
            </w:r>
          </w:p>
        </w:tc>
        <w:tc>
          <w:tcPr>
            <w:tcW w:w="708" w:type="dxa"/>
            <w:shd w:val="clear" w:color="auto" w:fill="auto"/>
            <w:noWrap/>
            <w:vAlign w:val="center"/>
            <w:hideMark/>
          </w:tcPr>
          <w:p w:rsidR="00040929" w:rsidRPr="00040929" w:rsidRDefault="00040929" w:rsidP="0068458B">
            <w:pPr>
              <w:spacing w:after="120" w:line="240" w:lineRule="auto"/>
              <w:jc w:val="center"/>
              <w:rPr>
                <w:rFonts w:ascii="Times New Roman" w:hAnsi="Times New Roman"/>
                <w:sz w:val="20"/>
                <w:szCs w:val="20"/>
              </w:rPr>
            </w:pPr>
            <w:r w:rsidRPr="00040929">
              <w:rPr>
                <w:rFonts w:ascii="Times New Roman" w:hAnsi="Times New Roman"/>
                <w:sz w:val="20"/>
                <w:szCs w:val="20"/>
              </w:rPr>
              <w:t xml:space="preserve">Bydło </w:t>
            </w:r>
            <w:r w:rsidRPr="00040929">
              <w:rPr>
                <w:rFonts w:ascii="Times New Roman" w:hAnsi="Times New Roman"/>
                <w:sz w:val="16"/>
                <w:szCs w:val="16"/>
              </w:rPr>
              <w:t>(kg)</w:t>
            </w:r>
          </w:p>
        </w:tc>
        <w:tc>
          <w:tcPr>
            <w:tcW w:w="851" w:type="dxa"/>
            <w:shd w:val="clear" w:color="auto" w:fill="auto"/>
            <w:noWrap/>
            <w:vAlign w:val="center"/>
            <w:hideMark/>
          </w:tcPr>
          <w:p w:rsidR="00040929" w:rsidRPr="00040929" w:rsidRDefault="00040929" w:rsidP="0068458B">
            <w:pPr>
              <w:spacing w:after="120" w:line="240" w:lineRule="auto"/>
              <w:ind w:right="-70"/>
              <w:jc w:val="center"/>
              <w:rPr>
                <w:rFonts w:ascii="Times New Roman" w:hAnsi="Times New Roman"/>
                <w:sz w:val="20"/>
                <w:szCs w:val="20"/>
              </w:rPr>
            </w:pPr>
            <w:r w:rsidRPr="00040929">
              <w:rPr>
                <w:rFonts w:ascii="Times New Roman" w:hAnsi="Times New Roman"/>
                <w:sz w:val="20"/>
                <w:szCs w:val="20"/>
              </w:rPr>
              <w:t xml:space="preserve">Trzoda chlewna </w:t>
            </w:r>
            <w:r w:rsidRPr="00040929">
              <w:rPr>
                <w:rFonts w:ascii="Times New Roman" w:hAnsi="Times New Roman"/>
                <w:sz w:val="16"/>
                <w:szCs w:val="16"/>
              </w:rPr>
              <w:t>(kg)</w:t>
            </w:r>
          </w:p>
        </w:tc>
        <w:tc>
          <w:tcPr>
            <w:tcW w:w="567" w:type="dxa"/>
            <w:shd w:val="clear" w:color="auto" w:fill="auto"/>
            <w:noWrap/>
            <w:vAlign w:val="center"/>
            <w:hideMark/>
          </w:tcPr>
          <w:p w:rsidR="00040929" w:rsidRPr="00040929" w:rsidRDefault="00040929" w:rsidP="0068458B">
            <w:pPr>
              <w:spacing w:after="120" w:line="240" w:lineRule="auto"/>
              <w:jc w:val="center"/>
              <w:rPr>
                <w:rFonts w:ascii="Times New Roman" w:hAnsi="Times New Roman"/>
                <w:sz w:val="20"/>
                <w:szCs w:val="20"/>
              </w:rPr>
            </w:pPr>
            <w:r w:rsidRPr="00040929">
              <w:rPr>
                <w:rFonts w:ascii="Times New Roman" w:hAnsi="Times New Roman"/>
                <w:sz w:val="20"/>
                <w:szCs w:val="20"/>
              </w:rPr>
              <w:t xml:space="preserve">Drób </w:t>
            </w:r>
            <w:r w:rsidRPr="00040929">
              <w:rPr>
                <w:rFonts w:ascii="Times New Roman" w:hAnsi="Times New Roman"/>
                <w:sz w:val="16"/>
                <w:szCs w:val="16"/>
              </w:rPr>
              <w:t>(kg)</w:t>
            </w:r>
          </w:p>
        </w:tc>
        <w:tc>
          <w:tcPr>
            <w:tcW w:w="709" w:type="dxa"/>
            <w:shd w:val="clear" w:color="auto" w:fill="auto"/>
            <w:noWrap/>
            <w:vAlign w:val="center"/>
            <w:hideMark/>
          </w:tcPr>
          <w:p w:rsidR="00040929" w:rsidRPr="00040929" w:rsidRDefault="00040929" w:rsidP="0068458B">
            <w:pPr>
              <w:spacing w:after="120" w:line="240" w:lineRule="auto"/>
              <w:jc w:val="center"/>
              <w:rPr>
                <w:rFonts w:ascii="Times New Roman" w:hAnsi="Times New Roman"/>
                <w:sz w:val="20"/>
                <w:szCs w:val="20"/>
              </w:rPr>
            </w:pPr>
            <w:r w:rsidRPr="00040929">
              <w:rPr>
                <w:rFonts w:ascii="Times New Roman" w:hAnsi="Times New Roman"/>
                <w:sz w:val="20"/>
                <w:szCs w:val="20"/>
              </w:rPr>
              <w:t xml:space="preserve">Cielęta </w:t>
            </w:r>
            <w:r w:rsidRPr="00040929">
              <w:rPr>
                <w:rFonts w:ascii="Times New Roman" w:hAnsi="Times New Roman"/>
                <w:sz w:val="16"/>
                <w:szCs w:val="16"/>
              </w:rPr>
              <w:t>(kg)</w:t>
            </w:r>
          </w:p>
        </w:tc>
        <w:tc>
          <w:tcPr>
            <w:tcW w:w="708" w:type="dxa"/>
            <w:shd w:val="clear" w:color="auto" w:fill="auto"/>
            <w:noWrap/>
            <w:vAlign w:val="center"/>
            <w:hideMark/>
          </w:tcPr>
          <w:p w:rsidR="00040929" w:rsidRPr="00040929" w:rsidRDefault="00040929" w:rsidP="0068458B">
            <w:pPr>
              <w:spacing w:after="120" w:line="240" w:lineRule="auto"/>
              <w:jc w:val="center"/>
              <w:rPr>
                <w:rFonts w:ascii="Times New Roman" w:hAnsi="Times New Roman"/>
                <w:sz w:val="20"/>
                <w:szCs w:val="20"/>
              </w:rPr>
            </w:pPr>
            <w:r w:rsidRPr="00040929">
              <w:rPr>
                <w:rFonts w:ascii="Times New Roman" w:hAnsi="Times New Roman"/>
                <w:sz w:val="20"/>
                <w:szCs w:val="20"/>
              </w:rPr>
              <w:t xml:space="preserve">Mleko </w:t>
            </w:r>
            <w:r w:rsidR="00B03946">
              <w:rPr>
                <w:rFonts w:ascii="Times New Roman" w:hAnsi="Times New Roman"/>
                <w:sz w:val="16"/>
                <w:szCs w:val="16"/>
              </w:rPr>
              <w:t>(l</w:t>
            </w:r>
            <w:r w:rsidRPr="00040929">
              <w:rPr>
                <w:rFonts w:ascii="Times New Roman" w:hAnsi="Times New Roman"/>
                <w:sz w:val="16"/>
                <w:szCs w:val="16"/>
              </w:rPr>
              <w:t>)</w:t>
            </w:r>
          </w:p>
        </w:tc>
      </w:tr>
      <w:tr w:rsidR="00ED3492" w:rsidRPr="00040929" w:rsidTr="002A2404">
        <w:trPr>
          <w:trHeight w:val="285"/>
          <w:jc w:val="center"/>
        </w:trPr>
        <w:tc>
          <w:tcPr>
            <w:tcW w:w="715" w:type="dxa"/>
            <w:shd w:val="clear" w:color="auto" w:fill="auto"/>
            <w:noWrap/>
            <w:vAlign w:val="bottom"/>
          </w:tcPr>
          <w:p w:rsidR="00ED3492" w:rsidRPr="00040929" w:rsidRDefault="005C3A1C" w:rsidP="002F09DC">
            <w:pPr>
              <w:spacing w:after="120" w:line="240" w:lineRule="auto"/>
              <w:jc w:val="both"/>
              <w:rPr>
                <w:rFonts w:ascii="Times New Roman" w:hAnsi="Times New Roman"/>
                <w:sz w:val="20"/>
                <w:szCs w:val="20"/>
              </w:rPr>
            </w:pPr>
            <w:r>
              <w:rPr>
                <w:rFonts w:ascii="Times New Roman" w:hAnsi="Times New Roman"/>
                <w:sz w:val="20"/>
                <w:szCs w:val="20"/>
              </w:rPr>
              <w:t>201</w:t>
            </w:r>
            <w:r w:rsidR="002F09DC">
              <w:rPr>
                <w:rFonts w:ascii="Times New Roman" w:hAnsi="Times New Roman"/>
                <w:sz w:val="20"/>
                <w:szCs w:val="20"/>
              </w:rPr>
              <w:t>7</w:t>
            </w:r>
          </w:p>
        </w:tc>
        <w:tc>
          <w:tcPr>
            <w:tcW w:w="851" w:type="dxa"/>
            <w:shd w:val="clear" w:color="auto" w:fill="auto"/>
            <w:noWrap/>
            <w:vAlign w:val="bottom"/>
          </w:tcPr>
          <w:p w:rsidR="00ED3492" w:rsidRPr="00040929"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67</w:t>
            </w:r>
            <w:r>
              <w:rPr>
                <w:rFonts w:ascii="Times New Roman" w:hAnsi="Times New Roman"/>
                <w:sz w:val="20"/>
                <w:szCs w:val="20"/>
              </w:rPr>
              <w:t>,3</w:t>
            </w:r>
            <w:r w:rsidRPr="002F09DC">
              <w:rPr>
                <w:rFonts w:ascii="Times New Roman" w:hAnsi="Times New Roman"/>
                <w:sz w:val="20"/>
                <w:szCs w:val="20"/>
              </w:rPr>
              <w:t>1</w:t>
            </w:r>
          </w:p>
        </w:tc>
        <w:tc>
          <w:tcPr>
            <w:tcW w:w="590" w:type="dxa"/>
            <w:shd w:val="clear" w:color="auto" w:fill="auto"/>
            <w:noWrap/>
            <w:vAlign w:val="bottom"/>
          </w:tcPr>
          <w:p w:rsidR="00ED3492" w:rsidRPr="00040929"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56</w:t>
            </w:r>
            <w:r>
              <w:rPr>
                <w:rFonts w:ascii="Times New Roman" w:hAnsi="Times New Roman"/>
                <w:sz w:val="20"/>
                <w:szCs w:val="20"/>
              </w:rPr>
              <w:t>,8</w:t>
            </w:r>
            <w:r w:rsidRPr="002F09DC">
              <w:rPr>
                <w:rFonts w:ascii="Times New Roman" w:hAnsi="Times New Roman"/>
                <w:sz w:val="20"/>
                <w:szCs w:val="20"/>
              </w:rPr>
              <w:t>4</w:t>
            </w:r>
          </w:p>
        </w:tc>
        <w:tc>
          <w:tcPr>
            <w:tcW w:w="885" w:type="dxa"/>
            <w:shd w:val="clear" w:color="auto" w:fill="auto"/>
            <w:noWrap/>
            <w:vAlign w:val="bottom"/>
          </w:tcPr>
          <w:p w:rsidR="00ED3492" w:rsidRPr="00040929"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66</w:t>
            </w:r>
            <w:r>
              <w:rPr>
                <w:rFonts w:ascii="Times New Roman" w:hAnsi="Times New Roman"/>
                <w:sz w:val="20"/>
                <w:szCs w:val="20"/>
              </w:rPr>
              <w:t>,8</w:t>
            </w:r>
            <w:r w:rsidRPr="002F09DC">
              <w:rPr>
                <w:rFonts w:ascii="Times New Roman" w:hAnsi="Times New Roman"/>
                <w:sz w:val="20"/>
                <w:szCs w:val="20"/>
              </w:rPr>
              <w:t>6</w:t>
            </w:r>
          </w:p>
        </w:tc>
        <w:tc>
          <w:tcPr>
            <w:tcW w:w="1076" w:type="dxa"/>
            <w:shd w:val="clear" w:color="auto" w:fill="auto"/>
            <w:noWrap/>
            <w:vAlign w:val="bottom"/>
          </w:tcPr>
          <w:p w:rsidR="00ED3492" w:rsidRPr="00040929"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54</w:t>
            </w:r>
            <w:r>
              <w:rPr>
                <w:rFonts w:ascii="Times New Roman" w:hAnsi="Times New Roman"/>
                <w:sz w:val="20"/>
                <w:szCs w:val="20"/>
              </w:rPr>
              <w:t>,5</w:t>
            </w:r>
            <w:r w:rsidRPr="002F09DC">
              <w:rPr>
                <w:rFonts w:ascii="Times New Roman" w:hAnsi="Times New Roman"/>
                <w:sz w:val="20"/>
                <w:szCs w:val="20"/>
              </w:rPr>
              <w:t>9</w:t>
            </w:r>
          </w:p>
        </w:tc>
        <w:tc>
          <w:tcPr>
            <w:tcW w:w="993" w:type="dxa"/>
            <w:shd w:val="clear" w:color="auto" w:fill="auto"/>
            <w:noWrap/>
            <w:vAlign w:val="bottom"/>
          </w:tcPr>
          <w:p w:rsidR="00ED3492" w:rsidRPr="00040929"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163</w:t>
            </w:r>
            <w:r>
              <w:rPr>
                <w:rFonts w:ascii="Times New Roman" w:hAnsi="Times New Roman"/>
                <w:sz w:val="20"/>
                <w:szCs w:val="20"/>
              </w:rPr>
              <w:t>,</w:t>
            </w:r>
            <w:r w:rsidRPr="002F09DC">
              <w:rPr>
                <w:rFonts w:ascii="Times New Roman" w:hAnsi="Times New Roman"/>
                <w:sz w:val="20"/>
                <w:szCs w:val="20"/>
              </w:rPr>
              <w:t>1</w:t>
            </w:r>
            <w:r>
              <w:rPr>
                <w:rFonts w:ascii="Times New Roman" w:hAnsi="Times New Roman"/>
                <w:sz w:val="20"/>
                <w:szCs w:val="20"/>
              </w:rPr>
              <w:t>0</w:t>
            </w:r>
          </w:p>
        </w:tc>
        <w:tc>
          <w:tcPr>
            <w:tcW w:w="708" w:type="dxa"/>
            <w:shd w:val="clear" w:color="auto" w:fill="auto"/>
            <w:noWrap/>
            <w:vAlign w:val="bottom"/>
          </w:tcPr>
          <w:p w:rsidR="00ED3492" w:rsidRPr="00040929" w:rsidRDefault="002F09DC" w:rsidP="00F15B85">
            <w:pPr>
              <w:spacing w:after="120" w:line="240" w:lineRule="auto"/>
              <w:jc w:val="center"/>
              <w:rPr>
                <w:rFonts w:ascii="Times New Roman" w:hAnsi="Times New Roman"/>
                <w:sz w:val="20"/>
                <w:szCs w:val="20"/>
              </w:rPr>
            </w:pPr>
            <w:r>
              <w:rPr>
                <w:rFonts w:ascii="Times New Roman" w:hAnsi="Times New Roman"/>
                <w:sz w:val="20"/>
                <w:szCs w:val="20"/>
              </w:rPr>
              <w:t>6,88</w:t>
            </w:r>
          </w:p>
        </w:tc>
        <w:tc>
          <w:tcPr>
            <w:tcW w:w="851" w:type="dxa"/>
            <w:shd w:val="clear" w:color="auto" w:fill="auto"/>
            <w:noWrap/>
            <w:vAlign w:val="bottom"/>
          </w:tcPr>
          <w:p w:rsidR="00ED3492" w:rsidRPr="00040929" w:rsidRDefault="002F09DC" w:rsidP="00F15B85">
            <w:pPr>
              <w:spacing w:after="120" w:line="240" w:lineRule="auto"/>
              <w:jc w:val="center"/>
              <w:rPr>
                <w:rFonts w:ascii="Times New Roman" w:hAnsi="Times New Roman"/>
                <w:sz w:val="20"/>
                <w:szCs w:val="20"/>
              </w:rPr>
            </w:pPr>
            <w:r>
              <w:rPr>
                <w:rFonts w:ascii="Times New Roman" w:hAnsi="Times New Roman"/>
                <w:sz w:val="20"/>
                <w:szCs w:val="20"/>
              </w:rPr>
              <w:t>4,56</w:t>
            </w:r>
          </w:p>
        </w:tc>
        <w:tc>
          <w:tcPr>
            <w:tcW w:w="567" w:type="dxa"/>
            <w:shd w:val="clear" w:color="auto" w:fill="auto"/>
            <w:noWrap/>
            <w:vAlign w:val="bottom"/>
          </w:tcPr>
          <w:p w:rsidR="00ED3492" w:rsidRPr="00040929" w:rsidRDefault="002F09DC" w:rsidP="00F15B85">
            <w:pPr>
              <w:spacing w:after="120" w:line="240" w:lineRule="auto"/>
              <w:jc w:val="center"/>
              <w:rPr>
                <w:rFonts w:ascii="Times New Roman" w:hAnsi="Times New Roman"/>
                <w:sz w:val="20"/>
                <w:szCs w:val="20"/>
              </w:rPr>
            </w:pPr>
            <w:r>
              <w:rPr>
                <w:rFonts w:ascii="Times New Roman" w:hAnsi="Times New Roman"/>
                <w:sz w:val="20"/>
                <w:szCs w:val="20"/>
              </w:rPr>
              <w:t>3,37</w:t>
            </w:r>
          </w:p>
        </w:tc>
        <w:tc>
          <w:tcPr>
            <w:tcW w:w="709" w:type="dxa"/>
            <w:shd w:val="clear" w:color="auto" w:fill="auto"/>
            <w:noWrap/>
            <w:vAlign w:val="bottom"/>
          </w:tcPr>
          <w:p w:rsidR="00ED3492" w:rsidRPr="00040929" w:rsidRDefault="0031203F" w:rsidP="00F15B85">
            <w:pPr>
              <w:spacing w:after="120" w:line="240" w:lineRule="auto"/>
              <w:jc w:val="center"/>
              <w:rPr>
                <w:rFonts w:ascii="Times New Roman" w:hAnsi="Times New Roman"/>
                <w:sz w:val="20"/>
                <w:szCs w:val="20"/>
              </w:rPr>
            </w:pPr>
            <w:r>
              <w:rPr>
                <w:rFonts w:ascii="Times New Roman" w:hAnsi="Times New Roman"/>
                <w:sz w:val="20"/>
                <w:szCs w:val="20"/>
              </w:rPr>
              <w:t>10,60</w:t>
            </w:r>
          </w:p>
        </w:tc>
        <w:tc>
          <w:tcPr>
            <w:tcW w:w="708" w:type="dxa"/>
            <w:shd w:val="clear" w:color="auto" w:fill="auto"/>
            <w:noWrap/>
            <w:vAlign w:val="bottom"/>
          </w:tcPr>
          <w:p w:rsidR="00ED3492" w:rsidRPr="00040929" w:rsidRDefault="0031203F" w:rsidP="00F15B85">
            <w:pPr>
              <w:spacing w:after="120" w:line="240" w:lineRule="auto"/>
              <w:jc w:val="center"/>
              <w:rPr>
                <w:rFonts w:ascii="Times New Roman" w:hAnsi="Times New Roman"/>
                <w:sz w:val="20"/>
                <w:szCs w:val="20"/>
              </w:rPr>
            </w:pPr>
            <w:r>
              <w:rPr>
                <w:rFonts w:ascii="Times New Roman" w:hAnsi="Times New Roman"/>
                <w:sz w:val="20"/>
                <w:szCs w:val="20"/>
              </w:rPr>
              <w:t>1,53</w:t>
            </w:r>
          </w:p>
        </w:tc>
      </w:tr>
      <w:tr w:rsidR="002F09DC" w:rsidRPr="00040929" w:rsidTr="005D71C7">
        <w:trPr>
          <w:trHeight w:val="285"/>
          <w:jc w:val="center"/>
        </w:trPr>
        <w:tc>
          <w:tcPr>
            <w:tcW w:w="715" w:type="dxa"/>
            <w:shd w:val="clear" w:color="auto" w:fill="auto"/>
            <w:noWrap/>
          </w:tcPr>
          <w:p w:rsidR="002F09DC" w:rsidRPr="002F09DC" w:rsidRDefault="002F09DC" w:rsidP="002F09DC">
            <w:pPr>
              <w:spacing w:after="120" w:line="240" w:lineRule="auto"/>
              <w:jc w:val="both"/>
              <w:rPr>
                <w:rFonts w:ascii="Times New Roman" w:hAnsi="Times New Roman"/>
                <w:sz w:val="20"/>
                <w:szCs w:val="20"/>
              </w:rPr>
            </w:pPr>
            <w:r w:rsidRPr="002F09DC">
              <w:rPr>
                <w:rFonts w:ascii="Times New Roman" w:hAnsi="Times New Roman"/>
                <w:sz w:val="20"/>
                <w:szCs w:val="20"/>
              </w:rPr>
              <w:t>2016</w:t>
            </w:r>
          </w:p>
        </w:tc>
        <w:tc>
          <w:tcPr>
            <w:tcW w:w="851"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63,88</w:t>
            </w:r>
          </w:p>
        </w:tc>
        <w:tc>
          <w:tcPr>
            <w:tcW w:w="590"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54,31</w:t>
            </w:r>
          </w:p>
        </w:tc>
        <w:tc>
          <w:tcPr>
            <w:tcW w:w="885"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59,50</w:t>
            </w:r>
          </w:p>
        </w:tc>
        <w:tc>
          <w:tcPr>
            <w:tcW w:w="1076"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55,80</w:t>
            </w:r>
          </w:p>
        </w:tc>
        <w:tc>
          <w:tcPr>
            <w:tcW w:w="993"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183,50</w:t>
            </w:r>
          </w:p>
        </w:tc>
        <w:tc>
          <w:tcPr>
            <w:tcW w:w="708"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6,22</w:t>
            </w:r>
          </w:p>
        </w:tc>
        <w:tc>
          <w:tcPr>
            <w:tcW w:w="851"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5,03</w:t>
            </w:r>
          </w:p>
        </w:tc>
        <w:tc>
          <w:tcPr>
            <w:tcW w:w="567"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3,53</w:t>
            </w:r>
          </w:p>
        </w:tc>
        <w:tc>
          <w:tcPr>
            <w:tcW w:w="709"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9,60</w:t>
            </w:r>
          </w:p>
        </w:tc>
        <w:tc>
          <w:tcPr>
            <w:tcW w:w="708"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1,36</w:t>
            </w:r>
          </w:p>
        </w:tc>
      </w:tr>
      <w:tr w:rsidR="002F09DC" w:rsidRPr="00040929" w:rsidTr="005D71C7">
        <w:trPr>
          <w:trHeight w:val="285"/>
          <w:jc w:val="center"/>
        </w:trPr>
        <w:tc>
          <w:tcPr>
            <w:tcW w:w="715" w:type="dxa"/>
            <w:shd w:val="clear" w:color="auto" w:fill="auto"/>
            <w:noWrap/>
          </w:tcPr>
          <w:p w:rsidR="002F09DC" w:rsidRPr="002F09DC" w:rsidRDefault="002F09DC" w:rsidP="002F09DC">
            <w:pPr>
              <w:spacing w:after="120" w:line="240" w:lineRule="auto"/>
              <w:jc w:val="both"/>
              <w:rPr>
                <w:rFonts w:ascii="Times New Roman" w:hAnsi="Times New Roman"/>
                <w:sz w:val="20"/>
                <w:szCs w:val="20"/>
              </w:rPr>
            </w:pPr>
            <w:r w:rsidRPr="002F09DC">
              <w:rPr>
                <w:rFonts w:ascii="Times New Roman" w:hAnsi="Times New Roman"/>
                <w:sz w:val="20"/>
                <w:szCs w:val="20"/>
              </w:rPr>
              <w:t>2015</w:t>
            </w:r>
          </w:p>
        </w:tc>
        <w:tc>
          <w:tcPr>
            <w:tcW w:w="851"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67,82</w:t>
            </w:r>
          </w:p>
        </w:tc>
        <w:tc>
          <w:tcPr>
            <w:tcW w:w="590"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55,12</w:t>
            </w:r>
          </w:p>
        </w:tc>
        <w:tc>
          <w:tcPr>
            <w:tcW w:w="885"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62,88</w:t>
            </w:r>
          </w:p>
        </w:tc>
        <w:tc>
          <w:tcPr>
            <w:tcW w:w="1076"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64,85</w:t>
            </w:r>
          </w:p>
        </w:tc>
        <w:tc>
          <w:tcPr>
            <w:tcW w:w="993"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166,70</w:t>
            </w:r>
          </w:p>
        </w:tc>
        <w:tc>
          <w:tcPr>
            <w:tcW w:w="708"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6,16</w:t>
            </w:r>
          </w:p>
        </w:tc>
        <w:tc>
          <w:tcPr>
            <w:tcW w:w="851"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3,84</w:t>
            </w:r>
          </w:p>
        </w:tc>
        <w:tc>
          <w:tcPr>
            <w:tcW w:w="567"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3,7</w:t>
            </w:r>
          </w:p>
        </w:tc>
        <w:tc>
          <w:tcPr>
            <w:tcW w:w="709"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9,84</w:t>
            </w:r>
          </w:p>
        </w:tc>
        <w:tc>
          <w:tcPr>
            <w:tcW w:w="708" w:type="dxa"/>
            <w:shd w:val="clear" w:color="auto" w:fill="auto"/>
            <w:noWrap/>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1,13</w:t>
            </w:r>
          </w:p>
        </w:tc>
      </w:tr>
      <w:tr w:rsidR="002F09DC" w:rsidRPr="00040929" w:rsidTr="005D71C7">
        <w:trPr>
          <w:trHeight w:val="285"/>
          <w:jc w:val="center"/>
        </w:trPr>
        <w:tc>
          <w:tcPr>
            <w:tcW w:w="715" w:type="dxa"/>
            <w:shd w:val="clear" w:color="auto" w:fill="auto"/>
            <w:noWrap/>
            <w:hideMark/>
          </w:tcPr>
          <w:p w:rsidR="002F09DC" w:rsidRPr="002F09DC" w:rsidRDefault="002F09DC" w:rsidP="002F09DC">
            <w:pPr>
              <w:spacing w:after="120" w:line="240" w:lineRule="auto"/>
              <w:jc w:val="both"/>
              <w:rPr>
                <w:rFonts w:ascii="Times New Roman" w:hAnsi="Times New Roman"/>
                <w:sz w:val="20"/>
                <w:szCs w:val="20"/>
              </w:rPr>
            </w:pPr>
            <w:r w:rsidRPr="002F09DC">
              <w:rPr>
                <w:rFonts w:ascii="Times New Roman" w:hAnsi="Times New Roman"/>
                <w:sz w:val="20"/>
                <w:szCs w:val="20"/>
              </w:rPr>
              <w:t>2014</w:t>
            </w:r>
          </w:p>
        </w:tc>
        <w:tc>
          <w:tcPr>
            <w:tcW w:w="851" w:type="dxa"/>
            <w:shd w:val="clear" w:color="auto" w:fill="auto"/>
            <w:noWrap/>
            <w:hideMark/>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67,23</w:t>
            </w:r>
          </w:p>
        </w:tc>
        <w:tc>
          <w:tcPr>
            <w:tcW w:w="590" w:type="dxa"/>
            <w:shd w:val="clear" w:color="auto" w:fill="auto"/>
            <w:noWrap/>
            <w:hideMark/>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52,36</w:t>
            </w:r>
          </w:p>
        </w:tc>
        <w:tc>
          <w:tcPr>
            <w:tcW w:w="885" w:type="dxa"/>
            <w:shd w:val="clear" w:color="auto" w:fill="auto"/>
            <w:noWrap/>
            <w:hideMark/>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60,31</w:t>
            </w:r>
          </w:p>
        </w:tc>
        <w:tc>
          <w:tcPr>
            <w:tcW w:w="1076" w:type="dxa"/>
            <w:shd w:val="clear" w:color="auto" w:fill="auto"/>
            <w:noWrap/>
            <w:hideMark/>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50,99</w:t>
            </w:r>
          </w:p>
        </w:tc>
        <w:tc>
          <w:tcPr>
            <w:tcW w:w="993" w:type="dxa"/>
            <w:shd w:val="clear" w:color="auto" w:fill="auto"/>
            <w:noWrap/>
            <w:hideMark/>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140,40</w:t>
            </w:r>
          </w:p>
        </w:tc>
        <w:tc>
          <w:tcPr>
            <w:tcW w:w="708" w:type="dxa"/>
            <w:shd w:val="clear" w:color="auto" w:fill="auto"/>
            <w:noWrap/>
            <w:hideMark/>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5,75</w:t>
            </w:r>
          </w:p>
        </w:tc>
        <w:tc>
          <w:tcPr>
            <w:tcW w:w="851" w:type="dxa"/>
            <w:shd w:val="clear" w:color="auto" w:fill="auto"/>
            <w:noWrap/>
            <w:hideMark/>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4,16</w:t>
            </w:r>
          </w:p>
        </w:tc>
        <w:tc>
          <w:tcPr>
            <w:tcW w:w="567" w:type="dxa"/>
            <w:shd w:val="clear" w:color="auto" w:fill="auto"/>
            <w:noWrap/>
            <w:hideMark/>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3,9</w:t>
            </w:r>
          </w:p>
        </w:tc>
        <w:tc>
          <w:tcPr>
            <w:tcW w:w="709" w:type="dxa"/>
            <w:shd w:val="clear" w:color="auto" w:fill="auto"/>
            <w:noWrap/>
            <w:hideMark/>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9,52</w:t>
            </w:r>
          </w:p>
        </w:tc>
        <w:tc>
          <w:tcPr>
            <w:tcW w:w="708" w:type="dxa"/>
            <w:shd w:val="clear" w:color="auto" w:fill="auto"/>
            <w:noWrap/>
            <w:hideMark/>
          </w:tcPr>
          <w:p w:rsidR="002F09DC" w:rsidRPr="002F09DC" w:rsidRDefault="002F09DC" w:rsidP="00F15B85">
            <w:pPr>
              <w:spacing w:after="120" w:line="240" w:lineRule="auto"/>
              <w:jc w:val="center"/>
              <w:rPr>
                <w:rFonts w:ascii="Times New Roman" w:hAnsi="Times New Roman"/>
                <w:sz w:val="20"/>
                <w:szCs w:val="20"/>
              </w:rPr>
            </w:pPr>
            <w:r w:rsidRPr="002F09DC">
              <w:rPr>
                <w:rFonts w:ascii="Times New Roman" w:hAnsi="Times New Roman"/>
                <w:sz w:val="20"/>
                <w:szCs w:val="20"/>
              </w:rPr>
              <w:t>1,23</w:t>
            </w:r>
          </w:p>
        </w:tc>
      </w:tr>
    </w:tbl>
    <w:p w:rsidR="00DC20D2" w:rsidRDefault="00040929" w:rsidP="00DC20D2">
      <w:pPr>
        <w:spacing w:after="240"/>
        <w:rPr>
          <w:rFonts w:ascii="Times New Roman" w:hAnsi="Times New Roman" w:cs="Times New Roman"/>
          <w:i/>
          <w:iCs/>
          <w:sz w:val="20"/>
        </w:rPr>
      </w:pPr>
      <w:r w:rsidRPr="00B03946">
        <w:rPr>
          <w:rFonts w:ascii="Times New Roman" w:hAnsi="Times New Roman" w:cs="Times New Roman"/>
          <w:b/>
          <w:sz w:val="20"/>
        </w:rPr>
        <w:t>Źródło</w:t>
      </w:r>
      <w:r w:rsidRPr="00040929">
        <w:rPr>
          <w:rFonts w:ascii="Times New Roman" w:hAnsi="Times New Roman" w:cs="Times New Roman"/>
          <w:sz w:val="20"/>
        </w:rPr>
        <w:t xml:space="preserve">: </w:t>
      </w:r>
      <w:r w:rsidRPr="00B03946">
        <w:rPr>
          <w:rFonts w:ascii="Times New Roman" w:hAnsi="Times New Roman" w:cs="Times New Roman"/>
          <w:i/>
          <w:sz w:val="20"/>
        </w:rPr>
        <w:t>„</w:t>
      </w:r>
      <w:r w:rsidRPr="00B03946">
        <w:rPr>
          <w:rFonts w:ascii="Times New Roman" w:hAnsi="Times New Roman" w:cs="Times New Roman"/>
          <w:i/>
          <w:iCs/>
          <w:sz w:val="20"/>
        </w:rPr>
        <w:t xml:space="preserve">Skup i ceny produktów rolnych </w:t>
      </w:r>
      <w:r w:rsidR="004F149E">
        <w:rPr>
          <w:rFonts w:ascii="Times New Roman" w:hAnsi="Times New Roman" w:cs="Times New Roman"/>
          <w:i/>
          <w:iCs/>
          <w:sz w:val="20"/>
        </w:rPr>
        <w:t>w 201</w:t>
      </w:r>
      <w:r w:rsidR="002F09DC">
        <w:rPr>
          <w:rFonts w:ascii="Times New Roman" w:hAnsi="Times New Roman" w:cs="Times New Roman"/>
          <w:i/>
          <w:iCs/>
          <w:sz w:val="20"/>
        </w:rPr>
        <w:t>7</w:t>
      </w:r>
      <w:r w:rsidR="004F149E">
        <w:rPr>
          <w:rFonts w:ascii="Times New Roman" w:hAnsi="Times New Roman" w:cs="Times New Roman"/>
          <w:i/>
          <w:iCs/>
          <w:sz w:val="20"/>
        </w:rPr>
        <w:t xml:space="preserve"> r.”, GUS, Warszawa 201</w:t>
      </w:r>
      <w:r w:rsidR="002F09DC">
        <w:rPr>
          <w:rFonts w:ascii="Times New Roman" w:hAnsi="Times New Roman" w:cs="Times New Roman"/>
          <w:i/>
          <w:iCs/>
          <w:sz w:val="20"/>
        </w:rPr>
        <w:t>8</w:t>
      </w:r>
      <w:r w:rsidR="003A7298" w:rsidRPr="00B03946">
        <w:rPr>
          <w:rFonts w:ascii="Times New Roman" w:hAnsi="Times New Roman" w:cs="Times New Roman"/>
          <w:i/>
          <w:iCs/>
          <w:sz w:val="20"/>
        </w:rPr>
        <w:t>.</w:t>
      </w:r>
    </w:p>
    <w:p w:rsidR="00BA08E2" w:rsidRPr="00DE2470" w:rsidRDefault="00796004" w:rsidP="008E079B">
      <w:pPr>
        <w:spacing w:before="120" w:after="120" w:line="264" w:lineRule="auto"/>
        <w:jc w:val="both"/>
        <w:rPr>
          <w:rFonts w:ascii="Times New Roman" w:eastAsia="Times New Roman" w:hAnsi="Times New Roman" w:cs="Times New Roman"/>
          <w:b/>
          <w:sz w:val="26"/>
          <w:szCs w:val="26"/>
        </w:rPr>
      </w:pPr>
      <w:r w:rsidRPr="00DE2470">
        <w:rPr>
          <w:rFonts w:ascii="Times New Roman" w:eastAsia="Times New Roman" w:hAnsi="Times New Roman" w:cs="Times New Roman"/>
          <w:b/>
          <w:sz w:val="26"/>
          <w:szCs w:val="26"/>
        </w:rPr>
        <w:t>Wyniki ekonomiczne spółdzielni</w:t>
      </w:r>
    </w:p>
    <w:p w:rsidR="009F755A" w:rsidRPr="00DE2470" w:rsidRDefault="000C5139" w:rsidP="00DE2470">
      <w:pPr>
        <w:spacing w:before="40" w:after="0" w:line="264" w:lineRule="auto"/>
        <w:ind w:firstLine="426"/>
        <w:jc w:val="both"/>
        <w:rPr>
          <w:rFonts w:ascii="Times New Roman" w:hAnsi="Times New Roman"/>
          <w:sz w:val="26"/>
          <w:szCs w:val="26"/>
        </w:rPr>
      </w:pPr>
      <w:r w:rsidRPr="00DE2470">
        <w:rPr>
          <w:rFonts w:ascii="Times New Roman" w:hAnsi="Times New Roman"/>
          <w:sz w:val="26"/>
          <w:szCs w:val="26"/>
        </w:rPr>
        <w:t>Opracowane wyniki</w:t>
      </w:r>
      <w:r w:rsidR="00811C77" w:rsidRPr="00DE2470">
        <w:rPr>
          <w:rFonts w:ascii="Times New Roman" w:hAnsi="Times New Roman"/>
          <w:sz w:val="26"/>
          <w:szCs w:val="26"/>
        </w:rPr>
        <w:t xml:space="preserve"> </w:t>
      </w:r>
      <w:r w:rsidRPr="00DE2470">
        <w:rPr>
          <w:rFonts w:ascii="Times New Roman" w:hAnsi="Times New Roman"/>
          <w:sz w:val="26"/>
          <w:szCs w:val="26"/>
        </w:rPr>
        <w:t>ekonomiczne RSP w latach 2015-2017 powstały</w:t>
      </w:r>
      <w:r w:rsidR="00811C77" w:rsidRPr="00DE2470">
        <w:rPr>
          <w:rFonts w:ascii="Times New Roman" w:hAnsi="Times New Roman"/>
          <w:sz w:val="26"/>
          <w:szCs w:val="26"/>
        </w:rPr>
        <w:t xml:space="preserve"> w oparciu </w:t>
      </w:r>
      <w:r w:rsidR="0023106E" w:rsidRPr="00DE2470">
        <w:rPr>
          <w:rFonts w:ascii="Times New Roman" w:hAnsi="Times New Roman"/>
          <w:sz w:val="26"/>
          <w:szCs w:val="26"/>
        </w:rPr>
        <w:t xml:space="preserve">o trzyletnie dane </w:t>
      </w:r>
      <w:r w:rsidR="00153E4A" w:rsidRPr="00DE2470">
        <w:rPr>
          <w:rFonts w:ascii="Times New Roman" w:hAnsi="Times New Roman"/>
          <w:sz w:val="26"/>
          <w:szCs w:val="26"/>
        </w:rPr>
        <w:t>panelowe</w:t>
      </w:r>
      <w:r w:rsidR="0023106E" w:rsidRPr="00DE2470">
        <w:rPr>
          <w:rFonts w:ascii="Times New Roman" w:hAnsi="Times New Roman"/>
          <w:sz w:val="26"/>
          <w:szCs w:val="26"/>
        </w:rPr>
        <w:t xml:space="preserve"> </w:t>
      </w:r>
      <w:r w:rsidR="00153E4A" w:rsidRPr="00DE2470">
        <w:rPr>
          <w:rFonts w:ascii="Times New Roman" w:hAnsi="Times New Roman"/>
          <w:sz w:val="26"/>
          <w:szCs w:val="26"/>
        </w:rPr>
        <w:t xml:space="preserve">z </w:t>
      </w:r>
      <w:r w:rsidR="000E4BEC" w:rsidRPr="00DE2470">
        <w:rPr>
          <w:rFonts w:ascii="Times New Roman" w:hAnsi="Times New Roman"/>
          <w:sz w:val="26"/>
          <w:szCs w:val="26"/>
        </w:rPr>
        <w:t>79</w:t>
      </w:r>
      <w:r w:rsidR="00811C77" w:rsidRPr="00DE2470">
        <w:rPr>
          <w:rFonts w:ascii="Times New Roman" w:hAnsi="Times New Roman"/>
          <w:sz w:val="26"/>
          <w:szCs w:val="26"/>
        </w:rPr>
        <w:t xml:space="preserve"> spółdzielni</w:t>
      </w:r>
      <w:r w:rsidR="00657F2B" w:rsidRPr="00DE2470">
        <w:rPr>
          <w:rFonts w:ascii="Times New Roman" w:hAnsi="Times New Roman"/>
          <w:sz w:val="26"/>
          <w:szCs w:val="26"/>
        </w:rPr>
        <w:t>,</w:t>
      </w:r>
      <w:r w:rsidR="003D5815" w:rsidRPr="00DE2470">
        <w:rPr>
          <w:rFonts w:ascii="Times New Roman" w:hAnsi="Times New Roman"/>
          <w:sz w:val="26"/>
          <w:szCs w:val="26"/>
        </w:rPr>
        <w:t xml:space="preserve"> rok</w:t>
      </w:r>
      <w:r w:rsidRPr="00DE2470">
        <w:rPr>
          <w:rFonts w:ascii="Times New Roman" w:hAnsi="Times New Roman"/>
          <w:sz w:val="26"/>
          <w:szCs w:val="26"/>
        </w:rPr>
        <w:t>rocznie uczestniczących w naszym rankingu</w:t>
      </w:r>
      <w:r w:rsidR="005A4CD9" w:rsidRPr="00DE2470">
        <w:rPr>
          <w:rFonts w:ascii="Times New Roman" w:hAnsi="Times New Roman"/>
          <w:sz w:val="26"/>
          <w:szCs w:val="26"/>
        </w:rPr>
        <w:t xml:space="preserve"> (t</w:t>
      </w:r>
      <w:r w:rsidR="004A46F9" w:rsidRPr="00DE2470">
        <w:rPr>
          <w:rFonts w:ascii="Times New Roman" w:hAnsi="Times New Roman"/>
          <w:sz w:val="26"/>
          <w:szCs w:val="26"/>
        </w:rPr>
        <w:t>abela 3)</w:t>
      </w:r>
      <w:r w:rsidR="00811C77" w:rsidRPr="00DE2470">
        <w:rPr>
          <w:rFonts w:ascii="Times New Roman" w:hAnsi="Times New Roman"/>
          <w:sz w:val="26"/>
          <w:szCs w:val="26"/>
        </w:rPr>
        <w:t xml:space="preserve">. </w:t>
      </w:r>
      <w:r w:rsidR="00BC22CC" w:rsidRPr="00DE2470">
        <w:rPr>
          <w:rFonts w:ascii="Times New Roman" w:hAnsi="Times New Roman"/>
          <w:sz w:val="26"/>
          <w:szCs w:val="26"/>
        </w:rPr>
        <w:t xml:space="preserve">Zbiorowość ta stanowi </w:t>
      </w:r>
      <w:r w:rsidRPr="00DE2470">
        <w:rPr>
          <w:rFonts w:ascii="Times New Roman" w:hAnsi="Times New Roman"/>
          <w:sz w:val="26"/>
          <w:szCs w:val="26"/>
        </w:rPr>
        <w:t>13</w:t>
      </w:r>
      <w:r w:rsidR="00BC22CC" w:rsidRPr="00DE2470">
        <w:rPr>
          <w:rFonts w:ascii="Times New Roman" w:hAnsi="Times New Roman"/>
          <w:sz w:val="26"/>
          <w:szCs w:val="26"/>
        </w:rPr>
        <w:t>% wszystkich działających w Polsce spółdzielni</w:t>
      </w:r>
      <w:r w:rsidR="00F15B85" w:rsidRPr="00DE2470">
        <w:rPr>
          <w:rFonts w:ascii="Times New Roman" w:hAnsi="Times New Roman"/>
          <w:sz w:val="26"/>
          <w:szCs w:val="26"/>
        </w:rPr>
        <w:t xml:space="preserve"> rolniczych</w:t>
      </w:r>
      <w:r w:rsidR="00BC22CC" w:rsidRPr="00DE2470">
        <w:rPr>
          <w:rFonts w:ascii="Times New Roman" w:hAnsi="Times New Roman"/>
          <w:sz w:val="26"/>
          <w:szCs w:val="26"/>
        </w:rPr>
        <w:t xml:space="preserve">, zatem </w:t>
      </w:r>
      <w:r w:rsidR="003F2E0F" w:rsidRPr="00DE2470">
        <w:rPr>
          <w:rFonts w:ascii="Times New Roman" w:hAnsi="Times New Roman"/>
          <w:sz w:val="26"/>
          <w:szCs w:val="26"/>
        </w:rPr>
        <w:t>można stwierdzić, iż stanowi stosunkowo duże pole obserwacji tego typu gospodarstw</w:t>
      </w:r>
      <w:r w:rsidR="00BC22CC" w:rsidRPr="00DE2470">
        <w:rPr>
          <w:rFonts w:ascii="Times New Roman" w:hAnsi="Times New Roman"/>
          <w:sz w:val="26"/>
          <w:szCs w:val="26"/>
        </w:rPr>
        <w:t>.</w:t>
      </w:r>
    </w:p>
    <w:p w:rsidR="001F3541" w:rsidRPr="00DE2470" w:rsidRDefault="000C5139" w:rsidP="00DE2470">
      <w:pPr>
        <w:spacing w:before="40" w:after="0" w:line="264" w:lineRule="auto"/>
        <w:ind w:firstLine="425"/>
        <w:jc w:val="both"/>
        <w:rPr>
          <w:rFonts w:ascii="Times New Roman" w:hAnsi="Times New Roman"/>
          <w:sz w:val="26"/>
          <w:szCs w:val="26"/>
        </w:rPr>
      </w:pPr>
      <w:r w:rsidRPr="00DE2470">
        <w:rPr>
          <w:rFonts w:ascii="Times New Roman" w:hAnsi="Times New Roman"/>
          <w:sz w:val="26"/>
          <w:szCs w:val="26"/>
        </w:rPr>
        <w:lastRenderedPageBreak/>
        <w:t xml:space="preserve">W ostatnim roku badanym </w:t>
      </w:r>
      <w:r w:rsidR="00BC22CC" w:rsidRPr="00DE2470">
        <w:rPr>
          <w:rFonts w:ascii="Times New Roman" w:hAnsi="Times New Roman"/>
          <w:sz w:val="26"/>
          <w:szCs w:val="26"/>
        </w:rPr>
        <w:t>gospodarstw</w:t>
      </w:r>
      <w:r w:rsidRPr="00DE2470">
        <w:rPr>
          <w:rFonts w:ascii="Times New Roman" w:hAnsi="Times New Roman"/>
          <w:sz w:val="26"/>
          <w:szCs w:val="26"/>
        </w:rPr>
        <w:t>om spółdzielczym</w:t>
      </w:r>
      <w:r w:rsidR="00BC22CC" w:rsidRPr="00DE2470">
        <w:rPr>
          <w:rFonts w:ascii="Times New Roman" w:hAnsi="Times New Roman"/>
          <w:sz w:val="26"/>
          <w:szCs w:val="26"/>
        </w:rPr>
        <w:t xml:space="preserve"> </w:t>
      </w:r>
      <w:r w:rsidRPr="00DE2470">
        <w:rPr>
          <w:rFonts w:ascii="Times New Roman" w:hAnsi="Times New Roman"/>
          <w:sz w:val="26"/>
          <w:szCs w:val="26"/>
        </w:rPr>
        <w:t xml:space="preserve">udało się uzyskać </w:t>
      </w:r>
      <w:r w:rsidR="00E44A48" w:rsidRPr="00DE2470">
        <w:rPr>
          <w:rFonts w:ascii="Times New Roman" w:hAnsi="Times New Roman"/>
          <w:sz w:val="26"/>
          <w:szCs w:val="26"/>
        </w:rPr>
        <w:t>bardzo</w:t>
      </w:r>
      <w:r w:rsidRPr="00DE2470">
        <w:rPr>
          <w:rFonts w:ascii="Times New Roman" w:hAnsi="Times New Roman"/>
          <w:sz w:val="26"/>
          <w:szCs w:val="26"/>
        </w:rPr>
        <w:t xml:space="preserve"> dobre wyniki</w:t>
      </w:r>
      <w:r w:rsidR="00BC22CC" w:rsidRPr="00DE2470">
        <w:rPr>
          <w:rFonts w:ascii="Times New Roman" w:hAnsi="Times New Roman"/>
          <w:sz w:val="26"/>
          <w:szCs w:val="26"/>
        </w:rPr>
        <w:t xml:space="preserve">, </w:t>
      </w:r>
      <w:r w:rsidRPr="00DE2470">
        <w:rPr>
          <w:rFonts w:ascii="Times New Roman" w:hAnsi="Times New Roman"/>
          <w:sz w:val="26"/>
          <w:szCs w:val="26"/>
        </w:rPr>
        <w:t>mimo nie do końca korzystnego przebiegu pogody, wczesnowiosennej suszy oraz deszczowych żniw w wielu rejonach kraju.</w:t>
      </w:r>
      <w:r w:rsidR="00E44A48" w:rsidRPr="00DE2470">
        <w:rPr>
          <w:rFonts w:ascii="Times New Roman" w:hAnsi="Times New Roman"/>
          <w:sz w:val="26"/>
          <w:szCs w:val="26"/>
        </w:rPr>
        <w:t xml:space="preserve"> Uwarunkowania pogodowe były jednak zdecydowanie lep</w:t>
      </w:r>
      <w:r w:rsidR="003F2E0F" w:rsidRPr="00DE2470">
        <w:rPr>
          <w:rFonts w:ascii="Times New Roman" w:hAnsi="Times New Roman"/>
          <w:sz w:val="26"/>
          <w:szCs w:val="26"/>
        </w:rPr>
        <w:t>s</w:t>
      </w:r>
      <w:r w:rsidR="00E44A48" w:rsidRPr="00DE2470">
        <w:rPr>
          <w:rFonts w:ascii="Times New Roman" w:hAnsi="Times New Roman"/>
          <w:sz w:val="26"/>
          <w:szCs w:val="26"/>
        </w:rPr>
        <w:t>ze niż w 2015</w:t>
      </w:r>
      <w:r w:rsidR="00F15B85" w:rsidRPr="00DE2470">
        <w:rPr>
          <w:rFonts w:ascii="Times New Roman" w:hAnsi="Times New Roman"/>
          <w:sz w:val="26"/>
          <w:szCs w:val="26"/>
        </w:rPr>
        <w:t xml:space="preserve"> </w:t>
      </w:r>
      <w:r w:rsidR="00275EFF" w:rsidRPr="00DE2470">
        <w:rPr>
          <w:rFonts w:ascii="Times New Roman" w:hAnsi="Times New Roman"/>
          <w:sz w:val="26"/>
          <w:szCs w:val="26"/>
        </w:rPr>
        <w:t>r</w:t>
      </w:r>
      <w:r w:rsidR="00306D91" w:rsidRPr="00DE2470">
        <w:rPr>
          <w:rFonts w:ascii="Times New Roman" w:hAnsi="Times New Roman"/>
          <w:sz w:val="26"/>
          <w:szCs w:val="26"/>
        </w:rPr>
        <w:t>.</w:t>
      </w:r>
      <w:r w:rsidR="00E44A48" w:rsidRPr="00DE2470">
        <w:rPr>
          <w:rFonts w:ascii="Times New Roman" w:hAnsi="Times New Roman"/>
          <w:sz w:val="26"/>
          <w:szCs w:val="26"/>
        </w:rPr>
        <w:t xml:space="preserve">, kiedy </w:t>
      </w:r>
      <w:r w:rsidR="003F2E0F" w:rsidRPr="00DE2470">
        <w:rPr>
          <w:rFonts w:ascii="Times New Roman" w:hAnsi="Times New Roman"/>
          <w:sz w:val="26"/>
          <w:szCs w:val="26"/>
        </w:rPr>
        <w:t>to w</w:t>
      </w:r>
      <w:r w:rsidR="008F7C68" w:rsidRPr="00DE2470">
        <w:rPr>
          <w:rFonts w:ascii="Times New Roman" w:hAnsi="Times New Roman"/>
          <w:sz w:val="26"/>
          <w:szCs w:val="26"/>
        </w:rPr>
        <w:t xml:space="preserve"> kraju</w:t>
      </w:r>
      <w:r w:rsidR="003F2E0F" w:rsidRPr="00DE2470">
        <w:rPr>
          <w:rFonts w:ascii="Times New Roman" w:hAnsi="Times New Roman"/>
          <w:sz w:val="26"/>
          <w:szCs w:val="26"/>
        </w:rPr>
        <w:t xml:space="preserve"> panował silny deficyt opadów, jak również </w:t>
      </w:r>
      <w:r w:rsidR="00E44A48" w:rsidRPr="00DE2470">
        <w:rPr>
          <w:rFonts w:ascii="Times New Roman" w:hAnsi="Times New Roman"/>
          <w:sz w:val="26"/>
          <w:szCs w:val="26"/>
        </w:rPr>
        <w:t>w 2016</w:t>
      </w:r>
      <w:r w:rsidR="00F15B85" w:rsidRPr="00DE2470">
        <w:rPr>
          <w:rFonts w:ascii="Times New Roman" w:hAnsi="Times New Roman"/>
          <w:sz w:val="26"/>
          <w:szCs w:val="26"/>
        </w:rPr>
        <w:t> </w:t>
      </w:r>
      <w:r w:rsidR="00275EFF" w:rsidRPr="00DE2470">
        <w:rPr>
          <w:rFonts w:ascii="Times New Roman" w:hAnsi="Times New Roman"/>
          <w:sz w:val="26"/>
          <w:szCs w:val="26"/>
        </w:rPr>
        <w:t>r.</w:t>
      </w:r>
      <w:r w:rsidR="00E44A48" w:rsidRPr="00DE2470">
        <w:rPr>
          <w:rFonts w:ascii="Times New Roman" w:hAnsi="Times New Roman"/>
          <w:sz w:val="26"/>
          <w:szCs w:val="26"/>
        </w:rPr>
        <w:t xml:space="preserve"> </w:t>
      </w:r>
      <w:r w:rsidR="008F7C68" w:rsidRPr="00DE2470">
        <w:rPr>
          <w:rFonts w:ascii="Times New Roman" w:hAnsi="Times New Roman"/>
          <w:sz w:val="26"/>
          <w:szCs w:val="26"/>
        </w:rPr>
        <w:t xml:space="preserve">gdy </w:t>
      </w:r>
      <w:r w:rsidR="00E44A48" w:rsidRPr="00DE2470">
        <w:rPr>
          <w:rFonts w:ascii="Times New Roman" w:hAnsi="Times New Roman"/>
          <w:sz w:val="26"/>
          <w:szCs w:val="26"/>
        </w:rPr>
        <w:t xml:space="preserve">mieliśmy do czynienia </w:t>
      </w:r>
      <w:r w:rsidR="003F2E0F" w:rsidRPr="00DE2470">
        <w:rPr>
          <w:rFonts w:ascii="Times New Roman" w:hAnsi="Times New Roman"/>
          <w:sz w:val="26"/>
          <w:szCs w:val="26"/>
        </w:rPr>
        <w:t>z ogromn</w:t>
      </w:r>
      <w:r w:rsidR="00306D91" w:rsidRPr="00DE2470">
        <w:rPr>
          <w:rFonts w:ascii="Times New Roman" w:hAnsi="Times New Roman"/>
          <w:sz w:val="26"/>
          <w:szCs w:val="26"/>
        </w:rPr>
        <w:t>ą</w:t>
      </w:r>
      <w:r w:rsidR="003F2E0F" w:rsidRPr="00DE2470">
        <w:rPr>
          <w:rFonts w:ascii="Times New Roman" w:hAnsi="Times New Roman"/>
          <w:sz w:val="26"/>
          <w:szCs w:val="26"/>
        </w:rPr>
        <w:t xml:space="preserve"> skalą</w:t>
      </w:r>
      <w:r w:rsidR="00E44A48" w:rsidRPr="00DE2470">
        <w:rPr>
          <w:rFonts w:ascii="Times New Roman" w:hAnsi="Times New Roman"/>
          <w:sz w:val="26"/>
          <w:szCs w:val="26"/>
        </w:rPr>
        <w:t xml:space="preserve"> wymarznięć na polach. </w:t>
      </w:r>
    </w:p>
    <w:p w:rsidR="00D106D1" w:rsidRPr="00DE2470" w:rsidRDefault="00EE5D5F" w:rsidP="00DE2470">
      <w:pPr>
        <w:tabs>
          <w:tab w:val="left" w:pos="426"/>
        </w:tabs>
        <w:spacing w:before="40" w:after="0" w:line="264" w:lineRule="auto"/>
        <w:ind w:firstLine="425"/>
        <w:jc w:val="both"/>
        <w:rPr>
          <w:rFonts w:ascii="Times New Roman" w:hAnsi="Times New Roman"/>
          <w:sz w:val="26"/>
          <w:szCs w:val="26"/>
        </w:rPr>
      </w:pPr>
      <w:r w:rsidRPr="00DE2470">
        <w:rPr>
          <w:rFonts w:ascii="Times New Roman" w:hAnsi="Times New Roman"/>
          <w:sz w:val="26"/>
          <w:szCs w:val="26"/>
        </w:rPr>
        <w:t>D</w:t>
      </w:r>
      <w:r w:rsidR="001F1EC8" w:rsidRPr="00DE2470">
        <w:rPr>
          <w:rFonts w:ascii="Times New Roman" w:hAnsi="Times New Roman"/>
          <w:sz w:val="26"/>
          <w:szCs w:val="26"/>
        </w:rPr>
        <w:t>ochodo</w:t>
      </w:r>
      <w:r w:rsidR="00056F1D" w:rsidRPr="00DE2470">
        <w:rPr>
          <w:rFonts w:ascii="Times New Roman" w:hAnsi="Times New Roman"/>
          <w:sz w:val="26"/>
          <w:szCs w:val="26"/>
        </w:rPr>
        <w:t>woś</w:t>
      </w:r>
      <w:r w:rsidR="00E30516" w:rsidRPr="00DE2470">
        <w:rPr>
          <w:rFonts w:ascii="Times New Roman" w:hAnsi="Times New Roman"/>
          <w:sz w:val="26"/>
          <w:szCs w:val="26"/>
        </w:rPr>
        <w:t>ć</w:t>
      </w:r>
      <w:r w:rsidR="00056F1D" w:rsidRPr="00DE2470">
        <w:rPr>
          <w:rFonts w:ascii="Times New Roman" w:hAnsi="Times New Roman"/>
          <w:sz w:val="26"/>
          <w:szCs w:val="26"/>
        </w:rPr>
        <w:t xml:space="preserve"> działalności gospodarczej</w:t>
      </w:r>
      <w:r w:rsidRPr="00DE2470">
        <w:rPr>
          <w:rFonts w:ascii="Times New Roman" w:hAnsi="Times New Roman"/>
          <w:sz w:val="26"/>
          <w:szCs w:val="26"/>
        </w:rPr>
        <w:t xml:space="preserve"> w RSP</w:t>
      </w:r>
      <w:r w:rsidR="00B909BA" w:rsidRPr="00DE2470">
        <w:rPr>
          <w:rFonts w:ascii="Times New Roman" w:hAnsi="Times New Roman"/>
          <w:sz w:val="26"/>
          <w:szCs w:val="26"/>
        </w:rPr>
        <w:t xml:space="preserve"> </w:t>
      </w:r>
      <w:r w:rsidR="00E44A48" w:rsidRPr="00DE2470">
        <w:rPr>
          <w:rFonts w:ascii="Times New Roman" w:hAnsi="Times New Roman"/>
          <w:sz w:val="26"/>
          <w:szCs w:val="26"/>
        </w:rPr>
        <w:t>wzrosła</w:t>
      </w:r>
      <w:r w:rsidR="001128E4" w:rsidRPr="00DE2470">
        <w:rPr>
          <w:rFonts w:ascii="Times New Roman" w:hAnsi="Times New Roman"/>
          <w:sz w:val="26"/>
          <w:szCs w:val="26"/>
        </w:rPr>
        <w:t xml:space="preserve"> w relacji do 201</w:t>
      </w:r>
      <w:r w:rsidR="00E44A48" w:rsidRPr="00DE2470">
        <w:rPr>
          <w:rFonts w:ascii="Times New Roman" w:hAnsi="Times New Roman"/>
          <w:sz w:val="26"/>
          <w:szCs w:val="26"/>
        </w:rPr>
        <w:t>5</w:t>
      </w:r>
      <w:r w:rsidR="00F15B85" w:rsidRPr="00DE2470">
        <w:rPr>
          <w:rFonts w:ascii="Times New Roman" w:hAnsi="Times New Roman"/>
          <w:sz w:val="26"/>
          <w:szCs w:val="26"/>
        </w:rPr>
        <w:t> </w:t>
      </w:r>
      <w:r w:rsidR="00275EFF" w:rsidRPr="00DE2470">
        <w:rPr>
          <w:rFonts w:ascii="Times New Roman" w:hAnsi="Times New Roman"/>
          <w:sz w:val="26"/>
          <w:szCs w:val="26"/>
        </w:rPr>
        <w:t>r.</w:t>
      </w:r>
      <w:r w:rsidR="00827051" w:rsidRPr="00DE2470">
        <w:rPr>
          <w:rFonts w:ascii="Times New Roman" w:hAnsi="Times New Roman"/>
          <w:sz w:val="26"/>
          <w:szCs w:val="26"/>
        </w:rPr>
        <w:t xml:space="preserve"> </w:t>
      </w:r>
      <w:r w:rsidR="000151A8" w:rsidRPr="00DE2470">
        <w:rPr>
          <w:rFonts w:ascii="Times New Roman" w:hAnsi="Times New Roman"/>
          <w:sz w:val="26"/>
          <w:szCs w:val="26"/>
        </w:rPr>
        <w:t xml:space="preserve">o </w:t>
      </w:r>
      <w:r w:rsidR="00E44A48" w:rsidRPr="00DE2470">
        <w:rPr>
          <w:rFonts w:ascii="Times New Roman" w:hAnsi="Times New Roman"/>
          <w:sz w:val="26"/>
          <w:szCs w:val="26"/>
        </w:rPr>
        <w:t>2</w:t>
      </w:r>
      <w:r w:rsidR="001F3541" w:rsidRPr="00DE2470">
        <w:rPr>
          <w:rFonts w:ascii="Times New Roman" w:hAnsi="Times New Roman"/>
          <w:sz w:val="26"/>
          <w:szCs w:val="26"/>
        </w:rPr>
        <w:t>,</w:t>
      </w:r>
      <w:r w:rsidR="00E44A48" w:rsidRPr="00DE2470">
        <w:rPr>
          <w:rFonts w:ascii="Times New Roman" w:hAnsi="Times New Roman"/>
          <w:sz w:val="26"/>
          <w:szCs w:val="26"/>
        </w:rPr>
        <w:t>4</w:t>
      </w:r>
      <w:r w:rsidR="009D1006" w:rsidRPr="00DE2470">
        <w:rPr>
          <w:rFonts w:ascii="Times New Roman" w:hAnsi="Times New Roman"/>
          <w:sz w:val="26"/>
          <w:szCs w:val="26"/>
        </w:rPr>
        <w:t xml:space="preserve"> </w:t>
      </w:r>
      <w:r w:rsidR="000151A8" w:rsidRPr="00DE2470">
        <w:rPr>
          <w:rFonts w:ascii="Times New Roman" w:hAnsi="Times New Roman"/>
          <w:sz w:val="26"/>
          <w:szCs w:val="26"/>
        </w:rPr>
        <w:t>p.p.,</w:t>
      </w:r>
      <w:r w:rsidR="00E44A48" w:rsidRPr="00DE2470">
        <w:rPr>
          <w:rFonts w:ascii="Times New Roman" w:hAnsi="Times New Roman"/>
          <w:sz w:val="26"/>
          <w:szCs w:val="26"/>
        </w:rPr>
        <w:t xml:space="preserve"> a w relacji do roku 2016 o 3</w:t>
      </w:r>
      <w:r w:rsidR="00C911FD" w:rsidRPr="00DE2470">
        <w:rPr>
          <w:rFonts w:ascii="Times New Roman" w:hAnsi="Times New Roman"/>
          <w:sz w:val="26"/>
          <w:szCs w:val="26"/>
        </w:rPr>
        <w:t xml:space="preserve"> </w:t>
      </w:r>
      <w:r w:rsidR="00E44A48" w:rsidRPr="00DE2470">
        <w:rPr>
          <w:rFonts w:ascii="Times New Roman" w:hAnsi="Times New Roman"/>
          <w:sz w:val="26"/>
          <w:szCs w:val="26"/>
        </w:rPr>
        <w:t>p.p.,</w:t>
      </w:r>
      <w:r w:rsidR="00F35999" w:rsidRPr="00DE2470">
        <w:rPr>
          <w:rFonts w:ascii="Times New Roman" w:hAnsi="Times New Roman"/>
          <w:sz w:val="26"/>
          <w:szCs w:val="26"/>
        </w:rPr>
        <w:t xml:space="preserve"> był</w:t>
      </w:r>
      <w:r w:rsidR="00E44A48" w:rsidRPr="00DE2470">
        <w:rPr>
          <w:rFonts w:ascii="Times New Roman" w:hAnsi="Times New Roman"/>
          <w:sz w:val="26"/>
          <w:szCs w:val="26"/>
        </w:rPr>
        <w:t>y</w:t>
      </w:r>
      <w:r w:rsidR="00F35999" w:rsidRPr="00DE2470">
        <w:rPr>
          <w:rFonts w:ascii="Times New Roman" w:hAnsi="Times New Roman"/>
          <w:sz w:val="26"/>
          <w:szCs w:val="26"/>
        </w:rPr>
        <w:t xml:space="preserve"> to wi</w:t>
      </w:r>
      <w:r w:rsidR="00AA2781" w:rsidRPr="00DE2470">
        <w:rPr>
          <w:rFonts w:ascii="Times New Roman" w:hAnsi="Times New Roman"/>
          <w:sz w:val="26"/>
          <w:szCs w:val="26"/>
        </w:rPr>
        <w:t>ę</w:t>
      </w:r>
      <w:r w:rsidR="00306D91" w:rsidRPr="00DE2470">
        <w:rPr>
          <w:rFonts w:ascii="Times New Roman" w:hAnsi="Times New Roman"/>
          <w:sz w:val="26"/>
          <w:szCs w:val="26"/>
        </w:rPr>
        <w:t>c</w:t>
      </w:r>
      <w:r w:rsidR="00E44A48" w:rsidRPr="00DE2470">
        <w:rPr>
          <w:rFonts w:ascii="Times New Roman" w:hAnsi="Times New Roman"/>
          <w:sz w:val="26"/>
          <w:szCs w:val="26"/>
        </w:rPr>
        <w:t xml:space="preserve"> </w:t>
      </w:r>
      <w:r w:rsidR="00F35999" w:rsidRPr="00DE2470">
        <w:rPr>
          <w:rFonts w:ascii="Times New Roman" w:hAnsi="Times New Roman"/>
          <w:sz w:val="26"/>
          <w:szCs w:val="26"/>
        </w:rPr>
        <w:t>zamian</w:t>
      </w:r>
      <w:r w:rsidR="00E44A48" w:rsidRPr="00DE2470">
        <w:rPr>
          <w:rFonts w:ascii="Times New Roman" w:hAnsi="Times New Roman"/>
          <w:sz w:val="26"/>
          <w:szCs w:val="26"/>
        </w:rPr>
        <w:t>y</w:t>
      </w:r>
      <w:r w:rsidR="007609E1" w:rsidRPr="00DE2470">
        <w:rPr>
          <w:rFonts w:ascii="Times New Roman" w:hAnsi="Times New Roman"/>
          <w:sz w:val="26"/>
          <w:szCs w:val="26"/>
        </w:rPr>
        <w:t xml:space="preserve"> </w:t>
      </w:r>
      <w:r w:rsidR="00E44A48" w:rsidRPr="00DE2470">
        <w:rPr>
          <w:rFonts w:ascii="Times New Roman" w:hAnsi="Times New Roman"/>
          <w:sz w:val="26"/>
          <w:szCs w:val="26"/>
        </w:rPr>
        <w:t>znaczące</w:t>
      </w:r>
      <w:r w:rsidR="001128E4" w:rsidRPr="00DE2470">
        <w:rPr>
          <w:rFonts w:ascii="Times New Roman" w:hAnsi="Times New Roman"/>
          <w:sz w:val="26"/>
          <w:szCs w:val="26"/>
        </w:rPr>
        <w:t>.</w:t>
      </w:r>
      <w:r w:rsidR="00F35999" w:rsidRPr="00DE2470">
        <w:rPr>
          <w:rFonts w:ascii="Times New Roman" w:hAnsi="Times New Roman"/>
          <w:sz w:val="26"/>
          <w:szCs w:val="26"/>
        </w:rPr>
        <w:t xml:space="preserve"> </w:t>
      </w:r>
      <w:r w:rsidR="00524EC4" w:rsidRPr="00DE2470">
        <w:rPr>
          <w:rFonts w:ascii="Times New Roman" w:hAnsi="Times New Roman"/>
          <w:sz w:val="26"/>
          <w:szCs w:val="26"/>
        </w:rPr>
        <w:t>Można nawet przypuszczać, że wypracowane wyniki powinny w ostatnim</w:t>
      </w:r>
      <w:r w:rsidR="00F35999" w:rsidRPr="00DE2470">
        <w:rPr>
          <w:rFonts w:ascii="Times New Roman" w:hAnsi="Times New Roman"/>
          <w:sz w:val="26"/>
          <w:szCs w:val="26"/>
        </w:rPr>
        <w:t xml:space="preserve"> ro</w:t>
      </w:r>
      <w:r w:rsidR="008B169A" w:rsidRPr="00DE2470">
        <w:rPr>
          <w:rFonts w:ascii="Times New Roman" w:hAnsi="Times New Roman"/>
          <w:sz w:val="26"/>
          <w:szCs w:val="26"/>
        </w:rPr>
        <w:t xml:space="preserve">ku </w:t>
      </w:r>
      <w:r w:rsidR="00524EC4" w:rsidRPr="00DE2470">
        <w:rPr>
          <w:rFonts w:ascii="Times New Roman" w:hAnsi="Times New Roman"/>
          <w:sz w:val="26"/>
          <w:szCs w:val="26"/>
        </w:rPr>
        <w:t xml:space="preserve">pozwolić na poprawę </w:t>
      </w:r>
      <w:r w:rsidR="006F4D98" w:rsidRPr="00DE2470">
        <w:rPr>
          <w:rFonts w:ascii="Times New Roman" w:hAnsi="Times New Roman"/>
          <w:sz w:val="26"/>
          <w:szCs w:val="26"/>
        </w:rPr>
        <w:t xml:space="preserve">poziomu </w:t>
      </w:r>
      <w:r w:rsidR="00524EC4" w:rsidRPr="00DE2470">
        <w:rPr>
          <w:rFonts w:ascii="Times New Roman" w:hAnsi="Times New Roman"/>
          <w:sz w:val="26"/>
          <w:szCs w:val="26"/>
        </w:rPr>
        <w:t>opłaty pracy członków, czy spłatę zaległych zobowiązań.</w:t>
      </w:r>
      <w:r w:rsidR="006F4D98" w:rsidRPr="00DE2470">
        <w:rPr>
          <w:rFonts w:ascii="Times New Roman" w:hAnsi="Times New Roman"/>
          <w:sz w:val="26"/>
          <w:szCs w:val="26"/>
        </w:rPr>
        <w:t xml:space="preserve"> W przypadku analizowanego trzylecia możemy mówić o 11% poprawie dochodowości gospodarstw spółdzielczych. </w:t>
      </w:r>
      <w:r w:rsidR="00F5382B" w:rsidRPr="00DE2470">
        <w:rPr>
          <w:rFonts w:ascii="Times New Roman" w:hAnsi="Times New Roman"/>
          <w:sz w:val="26"/>
          <w:szCs w:val="26"/>
        </w:rPr>
        <w:t>Podobn</w:t>
      </w:r>
      <w:r w:rsidR="00D106D1" w:rsidRPr="00DE2470">
        <w:rPr>
          <w:rFonts w:ascii="Times New Roman" w:hAnsi="Times New Roman"/>
          <w:sz w:val="26"/>
          <w:szCs w:val="26"/>
        </w:rPr>
        <w:t>e relacje</w:t>
      </w:r>
      <w:r w:rsidR="00E027BD" w:rsidRPr="00DE2470">
        <w:rPr>
          <w:rFonts w:ascii="Times New Roman" w:hAnsi="Times New Roman"/>
          <w:sz w:val="26"/>
          <w:szCs w:val="26"/>
        </w:rPr>
        <w:t xml:space="preserve"> </w:t>
      </w:r>
      <w:r w:rsidR="006F4D98" w:rsidRPr="00DE2470">
        <w:rPr>
          <w:rFonts w:ascii="Times New Roman" w:hAnsi="Times New Roman"/>
          <w:sz w:val="26"/>
          <w:szCs w:val="26"/>
        </w:rPr>
        <w:t>w latach</w:t>
      </w:r>
      <w:r w:rsidR="00E027BD" w:rsidRPr="00DE2470">
        <w:rPr>
          <w:rFonts w:ascii="Times New Roman" w:hAnsi="Times New Roman"/>
          <w:sz w:val="26"/>
          <w:szCs w:val="26"/>
        </w:rPr>
        <w:t xml:space="preserve"> 201</w:t>
      </w:r>
      <w:r w:rsidR="006F4D98" w:rsidRPr="00DE2470">
        <w:rPr>
          <w:rFonts w:ascii="Times New Roman" w:hAnsi="Times New Roman"/>
          <w:sz w:val="26"/>
          <w:szCs w:val="26"/>
        </w:rPr>
        <w:t>5-</w:t>
      </w:r>
      <w:r w:rsidR="00E027BD" w:rsidRPr="00DE2470">
        <w:rPr>
          <w:rFonts w:ascii="Times New Roman" w:hAnsi="Times New Roman"/>
          <w:sz w:val="26"/>
          <w:szCs w:val="26"/>
        </w:rPr>
        <w:t>201</w:t>
      </w:r>
      <w:r w:rsidR="006F4D98" w:rsidRPr="00DE2470">
        <w:rPr>
          <w:rFonts w:ascii="Times New Roman" w:hAnsi="Times New Roman"/>
          <w:sz w:val="26"/>
          <w:szCs w:val="26"/>
        </w:rPr>
        <w:t>7</w:t>
      </w:r>
      <w:r w:rsidR="00D106D1" w:rsidRPr="00DE2470">
        <w:rPr>
          <w:rFonts w:ascii="Times New Roman" w:hAnsi="Times New Roman"/>
          <w:sz w:val="26"/>
          <w:szCs w:val="26"/>
        </w:rPr>
        <w:t xml:space="preserve"> </w:t>
      </w:r>
      <w:r w:rsidR="00F35999" w:rsidRPr="00DE2470">
        <w:rPr>
          <w:rFonts w:ascii="Times New Roman" w:hAnsi="Times New Roman"/>
          <w:sz w:val="26"/>
          <w:szCs w:val="26"/>
        </w:rPr>
        <w:t>obrazuje</w:t>
      </w:r>
      <w:r w:rsidR="00D106D1" w:rsidRPr="00DE2470">
        <w:rPr>
          <w:rFonts w:ascii="Times New Roman" w:hAnsi="Times New Roman"/>
          <w:sz w:val="26"/>
          <w:szCs w:val="26"/>
        </w:rPr>
        <w:t xml:space="preserve"> wskaźnik wartości dodanej, choć tu </w:t>
      </w:r>
      <w:r w:rsidR="006F4D98" w:rsidRPr="00DE2470">
        <w:rPr>
          <w:rFonts w:ascii="Times New Roman" w:hAnsi="Times New Roman"/>
          <w:sz w:val="26"/>
          <w:szCs w:val="26"/>
        </w:rPr>
        <w:t>wzrosty miały łagodniejszy charakter, wzrost wyniósł odpowiednio 1,3p.p. i 1,</w:t>
      </w:r>
      <w:r w:rsidR="00275EFF" w:rsidRPr="00DE2470">
        <w:rPr>
          <w:rFonts w:ascii="Times New Roman" w:hAnsi="Times New Roman"/>
          <w:sz w:val="26"/>
          <w:szCs w:val="26"/>
        </w:rPr>
        <w:t>8p.p. w stosunku do 2015 i 2016</w:t>
      </w:r>
      <w:r w:rsidR="00F15B85" w:rsidRPr="00DE2470">
        <w:rPr>
          <w:rFonts w:ascii="Times New Roman" w:hAnsi="Times New Roman"/>
          <w:sz w:val="26"/>
          <w:szCs w:val="26"/>
        </w:rPr>
        <w:t xml:space="preserve"> </w:t>
      </w:r>
      <w:r w:rsidR="006F4D98" w:rsidRPr="00DE2470">
        <w:rPr>
          <w:rFonts w:ascii="Times New Roman" w:hAnsi="Times New Roman"/>
          <w:sz w:val="26"/>
          <w:szCs w:val="26"/>
        </w:rPr>
        <w:t xml:space="preserve">r. </w:t>
      </w:r>
    </w:p>
    <w:p w:rsidR="007C1DD6" w:rsidRPr="00DE2470" w:rsidRDefault="00D929B4" w:rsidP="00DE2470">
      <w:pPr>
        <w:spacing w:before="40" w:after="0" w:line="264" w:lineRule="auto"/>
        <w:ind w:firstLine="425"/>
        <w:jc w:val="both"/>
        <w:rPr>
          <w:rFonts w:ascii="Times New Roman" w:hAnsi="Times New Roman"/>
          <w:sz w:val="26"/>
          <w:szCs w:val="26"/>
        </w:rPr>
      </w:pPr>
      <w:r w:rsidRPr="00DE2470">
        <w:rPr>
          <w:rFonts w:ascii="Times New Roman" w:hAnsi="Times New Roman"/>
          <w:sz w:val="26"/>
          <w:szCs w:val="26"/>
        </w:rPr>
        <w:t>Poprawa dochodowości</w:t>
      </w:r>
      <w:r w:rsidR="004528AF" w:rsidRPr="00DE2470">
        <w:rPr>
          <w:rFonts w:ascii="Times New Roman" w:hAnsi="Times New Roman"/>
          <w:sz w:val="26"/>
          <w:szCs w:val="26"/>
        </w:rPr>
        <w:t xml:space="preserve"> działalności w </w:t>
      </w:r>
      <w:r w:rsidRPr="00DE2470">
        <w:rPr>
          <w:rFonts w:ascii="Times New Roman" w:hAnsi="Times New Roman"/>
          <w:sz w:val="26"/>
          <w:szCs w:val="26"/>
        </w:rPr>
        <w:t>gospodarstwach spółdzielczych nastąpiła głównie dzięki poprawie</w:t>
      </w:r>
      <w:r w:rsidR="004528AF" w:rsidRPr="00DE2470">
        <w:rPr>
          <w:rFonts w:ascii="Times New Roman" w:hAnsi="Times New Roman"/>
          <w:sz w:val="26"/>
          <w:szCs w:val="26"/>
        </w:rPr>
        <w:t xml:space="preserve"> przychodów ze sprzedaży</w:t>
      </w:r>
      <w:r w:rsidR="007C1DD6" w:rsidRPr="00DE2470">
        <w:rPr>
          <w:rFonts w:ascii="Times New Roman" w:hAnsi="Times New Roman"/>
          <w:sz w:val="26"/>
          <w:szCs w:val="26"/>
        </w:rPr>
        <w:t>, przeciętnie przychody wzrosły od 177 do 264 tys. zł.</w:t>
      </w:r>
      <w:r w:rsidR="004528AF" w:rsidRPr="00DE2470">
        <w:rPr>
          <w:rFonts w:ascii="Times New Roman" w:hAnsi="Times New Roman"/>
          <w:sz w:val="26"/>
          <w:szCs w:val="26"/>
        </w:rPr>
        <w:t xml:space="preserve"> </w:t>
      </w:r>
      <w:r w:rsidR="007C1DD6" w:rsidRPr="00DE2470">
        <w:rPr>
          <w:rFonts w:ascii="Times New Roman" w:hAnsi="Times New Roman"/>
          <w:sz w:val="26"/>
          <w:szCs w:val="26"/>
        </w:rPr>
        <w:t>Warto zauważyć, iż wzrost dochodowości jak również wartości dodanej w RSP, był widoczny mimo dalszego obniżenia</w:t>
      </w:r>
      <w:r w:rsidR="008F7C68" w:rsidRPr="00DE2470">
        <w:rPr>
          <w:rFonts w:ascii="Times New Roman" w:hAnsi="Times New Roman"/>
          <w:sz w:val="26"/>
          <w:szCs w:val="26"/>
        </w:rPr>
        <w:t xml:space="preserve"> strumienia</w:t>
      </w:r>
      <w:r w:rsidR="007C1DD6" w:rsidRPr="00DE2470">
        <w:rPr>
          <w:rFonts w:ascii="Times New Roman" w:hAnsi="Times New Roman"/>
          <w:sz w:val="26"/>
          <w:szCs w:val="26"/>
        </w:rPr>
        <w:t xml:space="preserve"> środków</w:t>
      </w:r>
      <w:r w:rsidR="000C705C" w:rsidRPr="00DE2470">
        <w:rPr>
          <w:rFonts w:ascii="Times New Roman" w:hAnsi="Times New Roman"/>
          <w:sz w:val="26"/>
          <w:szCs w:val="26"/>
        </w:rPr>
        <w:t>,</w:t>
      </w:r>
      <w:r w:rsidR="007C1DD6" w:rsidRPr="00DE2470">
        <w:rPr>
          <w:rFonts w:ascii="Times New Roman" w:hAnsi="Times New Roman"/>
          <w:sz w:val="26"/>
          <w:szCs w:val="26"/>
        </w:rPr>
        <w:t xml:space="preserve"> jakie gospodarstwa te otrzymały w ramach dopłat bezpośrednich. Poziom</w:t>
      </w:r>
      <w:r w:rsidR="000C7294" w:rsidRPr="00DE2470">
        <w:rPr>
          <w:rFonts w:ascii="Times New Roman" w:hAnsi="Times New Roman"/>
          <w:sz w:val="26"/>
          <w:szCs w:val="26"/>
        </w:rPr>
        <w:t xml:space="preserve"> wsparcia</w:t>
      </w:r>
      <w:r w:rsidR="007C1DD6" w:rsidRPr="00DE2470">
        <w:rPr>
          <w:rFonts w:ascii="Times New Roman" w:hAnsi="Times New Roman"/>
          <w:sz w:val="26"/>
          <w:szCs w:val="26"/>
        </w:rPr>
        <w:t xml:space="preserve"> </w:t>
      </w:r>
      <w:r w:rsidR="000C7294" w:rsidRPr="00DE2470">
        <w:rPr>
          <w:rFonts w:ascii="Times New Roman" w:hAnsi="Times New Roman"/>
          <w:sz w:val="26"/>
          <w:szCs w:val="26"/>
        </w:rPr>
        <w:t>budżetowego</w:t>
      </w:r>
      <w:r w:rsidR="008F7C68" w:rsidRPr="00DE2470">
        <w:rPr>
          <w:rFonts w:ascii="Times New Roman" w:hAnsi="Times New Roman"/>
          <w:sz w:val="26"/>
          <w:szCs w:val="26"/>
        </w:rPr>
        <w:t xml:space="preserve"> pochodzącego ze</w:t>
      </w:r>
      <w:r w:rsidR="000C7294" w:rsidRPr="00DE2470">
        <w:rPr>
          <w:rFonts w:ascii="Times New Roman" w:hAnsi="Times New Roman"/>
          <w:sz w:val="26"/>
          <w:szCs w:val="26"/>
        </w:rPr>
        <w:t xml:space="preserve"> Wspólnej Polityki Rolnej</w:t>
      </w:r>
      <w:r w:rsidR="00275EFF" w:rsidRPr="00DE2470">
        <w:rPr>
          <w:rFonts w:ascii="Times New Roman" w:hAnsi="Times New Roman"/>
          <w:sz w:val="26"/>
          <w:szCs w:val="26"/>
        </w:rPr>
        <w:t xml:space="preserve"> w 2017</w:t>
      </w:r>
      <w:r w:rsidR="00A31F21" w:rsidRPr="00DE2470">
        <w:rPr>
          <w:rFonts w:ascii="Times New Roman" w:hAnsi="Times New Roman"/>
          <w:sz w:val="26"/>
          <w:szCs w:val="26"/>
        </w:rPr>
        <w:t> </w:t>
      </w:r>
      <w:r w:rsidR="00275EFF" w:rsidRPr="00DE2470">
        <w:rPr>
          <w:rFonts w:ascii="Times New Roman" w:hAnsi="Times New Roman"/>
          <w:sz w:val="26"/>
          <w:szCs w:val="26"/>
        </w:rPr>
        <w:t xml:space="preserve">r. </w:t>
      </w:r>
      <w:r w:rsidR="007C1DD6" w:rsidRPr="00DE2470">
        <w:rPr>
          <w:rFonts w:ascii="Times New Roman" w:hAnsi="Times New Roman"/>
          <w:sz w:val="26"/>
          <w:szCs w:val="26"/>
        </w:rPr>
        <w:t>wyniósł</w:t>
      </w:r>
      <w:r w:rsidR="000C7294" w:rsidRPr="00DE2470">
        <w:rPr>
          <w:rFonts w:ascii="Times New Roman" w:hAnsi="Times New Roman"/>
          <w:sz w:val="26"/>
          <w:szCs w:val="26"/>
        </w:rPr>
        <w:t xml:space="preserve"> przeciętnie </w:t>
      </w:r>
      <w:r w:rsidR="00451288" w:rsidRPr="00DE2470">
        <w:rPr>
          <w:rFonts w:ascii="Times New Roman" w:hAnsi="Times New Roman"/>
          <w:sz w:val="26"/>
          <w:szCs w:val="26"/>
        </w:rPr>
        <w:t>w spółdzielni</w:t>
      </w:r>
      <w:r w:rsidR="007C1DD6" w:rsidRPr="00DE2470">
        <w:rPr>
          <w:rFonts w:ascii="Times New Roman" w:hAnsi="Times New Roman"/>
          <w:sz w:val="26"/>
          <w:szCs w:val="26"/>
        </w:rPr>
        <w:t xml:space="preserve"> 940 zł/ha, podczas gdy w</w:t>
      </w:r>
      <w:r w:rsidR="000C7294" w:rsidRPr="00DE2470">
        <w:rPr>
          <w:rFonts w:ascii="Times New Roman" w:hAnsi="Times New Roman"/>
          <w:sz w:val="26"/>
          <w:szCs w:val="26"/>
        </w:rPr>
        <w:t xml:space="preserve"> 2015 r</w:t>
      </w:r>
      <w:r w:rsidR="00A31F21" w:rsidRPr="00DE2470">
        <w:rPr>
          <w:rFonts w:ascii="Times New Roman" w:hAnsi="Times New Roman"/>
          <w:sz w:val="26"/>
          <w:szCs w:val="26"/>
        </w:rPr>
        <w:t>.</w:t>
      </w:r>
      <w:r w:rsidR="000C7294" w:rsidRPr="00DE2470">
        <w:rPr>
          <w:rFonts w:ascii="Times New Roman" w:hAnsi="Times New Roman"/>
          <w:sz w:val="26"/>
          <w:szCs w:val="26"/>
        </w:rPr>
        <w:t xml:space="preserve"> </w:t>
      </w:r>
      <w:r w:rsidR="00A31F21" w:rsidRPr="00DE2470">
        <w:rPr>
          <w:rFonts w:ascii="Times New Roman" w:hAnsi="Times New Roman"/>
          <w:sz w:val="26"/>
          <w:szCs w:val="26"/>
        </w:rPr>
        <w:t xml:space="preserve">– </w:t>
      </w:r>
      <w:r w:rsidR="000C7294" w:rsidRPr="00DE2470">
        <w:rPr>
          <w:rFonts w:ascii="Times New Roman" w:hAnsi="Times New Roman"/>
          <w:sz w:val="26"/>
          <w:szCs w:val="26"/>
        </w:rPr>
        <w:t>975zł/ha</w:t>
      </w:r>
      <w:r w:rsidR="00A31F21" w:rsidRPr="00DE2470">
        <w:rPr>
          <w:rFonts w:ascii="Times New Roman" w:hAnsi="Times New Roman"/>
          <w:sz w:val="26"/>
          <w:szCs w:val="26"/>
        </w:rPr>
        <w:t>,</w:t>
      </w:r>
      <w:r w:rsidR="000C7294" w:rsidRPr="00DE2470">
        <w:rPr>
          <w:rFonts w:ascii="Times New Roman" w:hAnsi="Times New Roman"/>
          <w:sz w:val="26"/>
          <w:szCs w:val="26"/>
        </w:rPr>
        <w:t xml:space="preserve"> a</w:t>
      </w:r>
      <w:r w:rsidR="007C1DD6" w:rsidRPr="00DE2470">
        <w:rPr>
          <w:rFonts w:ascii="Times New Roman" w:hAnsi="Times New Roman"/>
          <w:sz w:val="26"/>
          <w:szCs w:val="26"/>
        </w:rPr>
        <w:t xml:space="preserve"> </w:t>
      </w:r>
      <w:r w:rsidR="00A31F21" w:rsidRPr="00DE2470">
        <w:rPr>
          <w:rFonts w:ascii="Times New Roman" w:hAnsi="Times New Roman"/>
          <w:sz w:val="26"/>
          <w:szCs w:val="26"/>
        </w:rPr>
        <w:t xml:space="preserve">w </w:t>
      </w:r>
      <w:r w:rsidR="007C1DD6" w:rsidRPr="00DE2470">
        <w:rPr>
          <w:rFonts w:ascii="Times New Roman" w:hAnsi="Times New Roman"/>
          <w:sz w:val="26"/>
          <w:szCs w:val="26"/>
        </w:rPr>
        <w:t>20</w:t>
      </w:r>
      <w:r w:rsidR="00451288" w:rsidRPr="00DE2470">
        <w:rPr>
          <w:rFonts w:ascii="Times New Roman" w:hAnsi="Times New Roman"/>
          <w:sz w:val="26"/>
          <w:szCs w:val="26"/>
        </w:rPr>
        <w:t>16</w:t>
      </w:r>
      <w:r w:rsidR="00A31F21" w:rsidRPr="00DE2470">
        <w:rPr>
          <w:rFonts w:ascii="Times New Roman" w:hAnsi="Times New Roman"/>
          <w:sz w:val="26"/>
          <w:szCs w:val="26"/>
        </w:rPr>
        <w:t> r.</w:t>
      </w:r>
      <w:r w:rsidR="00451288" w:rsidRPr="00DE2470">
        <w:rPr>
          <w:rFonts w:ascii="Times New Roman" w:hAnsi="Times New Roman"/>
          <w:sz w:val="26"/>
          <w:szCs w:val="26"/>
        </w:rPr>
        <w:t xml:space="preserve"> </w:t>
      </w:r>
      <w:r w:rsidR="00A31F21" w:rsidRPr="00DE2470">
        <w:rPr>
          <w:rFonts w:ascii="Times New Roman" w:hAnsi="Times New Roman"/>
          <w:sz w:val="26"/>
          <w:szCs w:val="26"/>
        </w:rPr>
        <w:t xml:space="preserve">– </w:t>
      </w:r>
      <w:r w:rsidR="00451288" w:rsidRPr="00DE2470">
        <w:rPr>
          <w:rFonts w:ascii="Times New Roman" w:hAnsi="Times New Roman"/>
          <w:sz w:val="26"/>
          <w:szCs w:val="26"/>
        </w:rPr>
        <w:t xml:space="preserve">946 zł/ha. </w:t>
      </w:r>
      <w:r w:rsidR="000C7294" w:rsidRPr="00DE2470">
        <w:rPr>
          <w:rFonts w:ascii="Times New Roman" w:hAnsi="Times New Roman"/>
          <w:sz w:val="26"/>
          <w:szCs w:val="26"/>
        </w:rPr>
        <w:t>Poziom udziału dotacji w przychodach w ostatnim roku obniżył się do 37,5% wobec 40,5% w roku 2015 i 39,3% w roku 2016. Należy przypomnieć, że płatności, które spółdzielnie otrzymały za 2015, 2016 i 2017</w:t>
      </w:r>
      <w:r w:rsidR="00A31F21" w:rsidRPr="00DE2470">
        <w:rPr>
          <w:rFonts w:ascii="Times New Roman" w:hAnsi="Times New Roman"/>
          <w:sz w:val="26"/>
          <w:szCs w:val="26"/>
        </w:rPr>
        <w:t xml:space="preserve"> </w:t>
      </w:r>
      <w:r w:rsidR="00275EFF" w:rsidRPr="00DE2470">
        <w:rPr>
          <w:rFonts w:ascii="Times New Roman" w:hAnsi="Times New Roman"/>
          <w:sz w:val="26"/>
          <w:szCs w:val="26"/>
        </w:rPr>
        <w:t>r.</w:t>
      </w:r>
      <w:r w:rsidR="00BF28EE" w:rsidRPr="00DE2470">
        <w:rPr>
          <w:rFonts w:ascii="Times New Roman" w:hAnsi="Times New Roman"/>
          <w:sz w:val="26"/>
          <w:szCs w:val="26"/>
        </w:rPr>
        <w:t>, wypłacano</w:t>
      </w:r>
      <w:r w:rsidR="000C7294" w:rsidRPr="00DE2470">
        <w:rPr>
          <w:rFonts w:ascii="Times New Roman" w:hAnsi="Times New Roman"/>
          <w:sz w:val="26"/>
          <w:szCs w:val="26"/>
        </w:rPr>
        <w:t xml:space="preserve"> wg nowych zasad, które były korzystniejsze dla małych i średnich gospodarstw o wielkości do 30 ha. Spółdzielnie jednak, mimo swojej wielorodzinnej formy, były przy podziale środków traktowane jako jeden podmiot, co skutkowało obniżeniem kwoty przyznanych płatności.</w:t>
      </w:r>
    </w:p>
    <w:p w:rsidR="004C4A1D" w:rsidRPr="00DE2470" w:rsidRDefault="004C4A1D" w:rsidP="00DE2470">
      <w:pPr>
        <w:spacing w:before="40" w:after="0" w:line="264" w:lineRule="auto"/>
        <w:ind w:firstLine="425"/>
        <w:jc w:val="both"/>
        <w:rPr>
          <w:rFonts w:ascii="Times New Roman" w:hAnsi="Times New Roman"/>
          <w:sz w:val="26"/>
          <w:szCs w:val="26"/>
        </w:rPr>
      </w:pPr>
      <w:r w:rsidRPr="00DE2470">
        <w:rPr>
          <w:rFonts w:ascii="Times New Roman" w:hAnsi="Times New Roman"/>
          <w:sz w:val="26"/>
          <w:szCs w:val="26"/>
        </w:rPr>
        <w:t>Warto podkreślić, iż p</w:t>
      </w:r>
      <w:r w:rsidR="000C7294" w:rsidRPr="00DE2470">
        <w:rPr>
          <w:rFonts w:ascii="Times New Roman" w:hAnsi="Times New Roman"/>
          <w:sz w:val="26"/>
          <w:szCs w:val="26"/>
        </w:rPr>
        <w:t>oprawa dochodowości w ostatnim roku nie spowodowała</w:t>
      </w:r>
      <w:r w:rsidR="00451288" w:rsidRPr="00DE2470">
        <w:rPr>
          <w:rFonts w:ascii="Times New Roman" w:hAnsi="Times New Roman"/>
          <w:sz w:val="26"/>
          <w:szCs w:val="26"/>
        </w:rPr>
        <w:t xml:space="preserve"> zahamowania procesu restrukturyzacji zatrudnienia</w:t>
      </w:r>
      <w:r w:rsidR="000C7294" w:rsidRPr="00DE2470">
        <w:rPr>
          <w:rFonts w:ascii="Times New Roman" w:hAnsi="Times New Roman"/>
          <w:sz w:val="26"/>
          <w:szCs w:val="26"/>
        </w:rPr>
        <w:t xml:space="preserve"> w gospodarstwach spółdzi</w:t>
      </w:r>
      <w:r w:rsidRPr="00DE2470">
        <w:rPr>
          <w:rFonts w:ascii="Times New Roman" w:hAnsi="Times New Roman"/>
          <w:sz w:val="26"/>
          <w:szCs w:val="26"/>
        </w:rPr>
        <w:t>e</w:t>
      </w:r>
      <w:r w:rsidR="000C7294" w:rsidRPr="00DE2470">
        <w:rPr>
          <w:rFonts w:ascii="Times New Roman" w:hAnsi="Times New Roman"/>
          <w:sz w:val="26"/>
          <w:szCs w:val="26"/>
        </w:rPr>
        <w:t>lczych</w:t>
      </w:r>
      <w:r w:rsidR="00451288" w:rsidRPr="00DE2470">
        <w:rPr>
          <w:rFonts w:ascii="Times New Roman" w:hAnsi="Times New Roman"/>
          <w:sz w:val="26"/>
          <w:szCs w:val="26"/>
        </w:rPr>
        <w:t>, a r</w:t>
      </w:r>
      <w:r w:rsidRPr="00DE2470">
        <w:rPr>
          <w:rFonts w:ascii="Times New Roman" w:hAnsi="Times New Roman"/>
          <w:sz w:val="26"/>
          <w:szCs w:val="26"/>
        </w:rPr>
        <w:t>ok 2017 był kolejnym, kiedy spółdzielnie ograniczały zatrudnienie. W latach 2015-2017 przeciętnie w co czwartej spółdzielni zmniejszono stan załogi o jedną osobę, co w przeliczeniu na 100 ha użytków rolnych spowodowało obniżenie tego wskaźnika o 4%. Wskutek poprawy dochodowości</w:t>
      </w:r>
      <w:r w:rsidR="000C705C" w:rsidRPr="00DE2470">
        <w:rPr>
          <w:rFonts w:ascii="Times New Roman" w:hAnsi="Times New Roman"/>
          <w:sz w:val="26"/>
          <w:szCs w:val="26"/>
        </w:rPr>
        <w:t xml:space="preserve"> poprawiła się również wydajność</w:t>
      </w:r>
      <w:r w:rsidRPr="00DE2470">
        <w:rPr>
          <w:rFonts w:ascii="Times New Roman" w:hAnsi="Times New Roman"/>
          <w:sz w:val="26"/>
          <w:szCs w:val="26"/>
        </w:rPr>
        <w:t xml:space="preserve"> pracy oraz jej dochodowość w tych gospodarstwach. W 2017</w:t>
      </w:r>
      <w:r w:rsidR="00A31F21" w:rsidRPr="00DE2470">
        <w:rPr>
          <w:rFonts w:ascii="Times New Roman" w:hAnsi="Times New Roman"/>
          <w:sz w:val="26"/>
          <w:szCs w:val="26"/>
        </w:rPr>
        <w:t> </w:t>
      </w:r>
      <w:r w:rsidR="00275EFF" w:rsidRPr="00DE2470">
        <w:rPr>
          <w:rFonts w:ascii="Times New Roman" w:hAnsi="Times New Roman"/>
          <w:sz w:val="26"/>
          <w:szCs w:val="26"/>
        </w:rPr>
        <w:t>r.</w:t>
      </w:r>
      <w:r w:rsidRPr="00DE2470">
        <w:rPr>
          <w:rFonts w:ascii="Times New Roman" w:hAnsi="Times New Roman"/>
          <w:sz w:val="26"/>
          <w:szCs w:val="26"/>
        </w:rPr>
        <w:t xml:space="preserve"> w</w:t>
      </w:r>
      <w:r w:rsidR="000C705C" w:rsidRPr="00DE2470">
        <w:rPr>
          <w:rFonts w:ascii="Times New Roman" w:hAnsi="Times New Roman"/>
          <w:sz w:val="26"/>
          <w:szCs w:val="26"/>
        </w:rPr>
        <w:t>artość dodana na osobę pracującą</w:t>
      </w:r>
      <w:r w:rsidRPr="00DE2470">
        <w:rPr>
          <w:rFonts w:ascii="Times New Roman" w:hAnsi="Times New Roman"/>
          <w:sz w:val="26"/>
          <w:szCs w:val="26"/>
        </w:rPr>
        <w:t xml:space="preserve"> wyniosła 105,1 tys. zł i była o 18% wyższa niż dwa lata wcześniej. W przypadku dochodowości pracy członka odnotowano aż 37% wzrost, z 54,7 tys. zł w roku 2015 do 75,1 tys. zł w roku 2017.</w:t>
      </w:r>
    </w:p>
    <w:p w:rsidR="00A31F21" w:rsidRDefault="00A31F21" w:rsidP="00DE2470">
      <w:pPr>
        <w:spacing w:before="40" w:after="0" w:line="264" w:lineRule="auto"/>
        <w:ind w:firstLine="567"/>
        <w:jc w:val="both"/>
        <w:rPr>
          <w:rFonts w:ascii="Times New Roman" w:hAnsi="Times New Roman"/>
          <w:sz w:val="24"/>
          <w:szCs w:val="24"/>
        </w:rPr>
      </w:pPr>
    </w:p>
    <w:p w:rsidR="00A31F21" w:rsidRDefault="00A31F21" w:rsidP="0040198D">
      <w:pPr>
        <w:spacing w:after="0" w:line="264" w:lineRule="auto"/>
        <w:ind w:firstLine="567"/>
        <w:jc w:val="both"/>
        <w:rPr>
          <w:rFonts w:ascii="Times New Roman" w:hAnsi="Times New Roman"/>
          <w:sz w:val="24"/>
          <w:szCs w:val="24"/>
        </w:rPr>
      </w:pPr>
    </w:p>
    <w:p w:rsidR="00A31F21" w:rsidRDefault="00A31F21" w:rsidP="0040198D">
      <w:pPr>
        <w:spacing w:after="0" w:line="264" w:lineRule="auto"/>
        <w:ind w:firstLine="567"/>
        <w:jc w:val="both"/>
        <w:rPr>
          <w:rFonts w:ascii="Times New Roman" w:hAnsi="Times New Roman"/>
          <w:sz w:val="24"/>
          <w:szCs w:val="24"/>
        </w:rPr>
      </w:pPr>
    </w:p>
    <w:p w:rsidR="00A31F21" w:rsidRDefault="00A31F21" w:rsidP="0040198D">
      <w:pPr>
        <w:spacing w:after="0" w:line="264" w:lineRule="auto"/>
        <w:ind w:firstLine="567"/>
        <w:jc w:val="both"/>
        <w:rPr>
          <w:rFonts w:ascii="Times New Roman" w:hAnsi="Times New Roman"/>
          <w:sz w:val="24"/>
          <w:szCs w:val="24"/>
        </w:rPr>
      </w:pPr>
    </w:p>
    <w:p w:rsidR="008E079B" w:rsidRDefault="008E079B" w:rsidP="0040198D">
      <w:pPr>
        <w:spacing w:after="0" w:line="264" w:lineRule="auto"/>
        <w:ind w:firstLine="567"/>
        <w:jc w:val="both"/>
        <w:rPr>
          <w:rFonts w:ascii="Times New Roman" w:hAnsi="Times New Roman"/>
          <w:sz w:val="24"/>
          <w:szCs w:val="24"/>
        </w:rPr>
      </w:pPr>
    </w:p>
    <w:p w:rsidR="004446B1" w:rsidRDefault="004446B1" w:rsidP="0069391E">
      <w:pPr>
        <w:spacing w:after="0" w:line="240" w:lineRule="auto"/>
        <w:rPr>
          <w:rFonts w:ascii="Times New Roman" w:eastAsia="Times New Roman" w:hAnsi="Times New Roman" w:cs="Times New Roman"/>
        </w:rPr>
      </w:pPr>
    </w:p>
    <w:p w:rsidR="00BA08E2" w:rsidRPr="00BA08E2" w:rsidRDefault="006F10BF" w:rsidP="00BA08E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Tabela 3</w:t>
      </w:r>
    </w:p>
    <w:p w:rsidR="00BA08E2" w:rsidRPr="00BA08E2" w:rsidRDefault="00BA08E2" w:rsidP="00BA08E2">
      <w:pPr>
        <w:spacing w:after="0" w:line="240" w:lineRule="auto"/>
        <w:jc w:val="center"/>
        <w:rPr>
          <w:rFonts w:ascii="Times New Roman" w:eastAsia="Times New Roman" w:hAnsi="Times New Roman" w:cs="Times New Roman"/>
        </w:rPr>
      </w:pPr>
      <w:r w:rsidRPr="00BA08E2">
        <w:rPr>
          <w:rFonts w:ascii="Times New Roman" w:eastAsia="Times New Roman" w:hAnsi="Times New Roman" w:cs="Times New Roman"/>
        </w:rPr>
        <w:t>Sytuacja ekonomi</w:t>
      </w:r>
      <w:r w:rsidR="002A4A14">
        <w:rPr>
          <w:rFonts w:ascii="Times New Roman" w:eastAsia="Times New Roman" w:hAnsi="Times New Roman" w:cs="Times New Roman"/>
        </w:rPr>
        <w:t>czno-finansowa RSP w latach 201</w:t>
      </w:r>
      <w:r w:rsidR="000E4BEC">
        <w:rPr>
          <w:rFonts w:ascii="Times New Roman" w:eastAsia="Times New Roman" w:hAnsi="Times New Roman" w:cs="Times New Roman"/>
        </w:rPr>
        <w:t>5</w:t>
      </w:r>
      <w:r w:rsidR="002A4A14">
        <w:rPr>
          <w:rFonts w:ascii="Times New Roman" w:eastAsia="Times New Roman" w:hAnsi="Times New Roman" w:cs="Times New Roman"/>
        </w:rPr>
        <w:t>-201</w:t>
      </w:r>
      <w:r w:rsidR="000E4BEC">
        <w:rPr>
          <w:rFonts w:ascii="Times New Roman" w:eastAsia="Times New Roman" w:hAnsi="Times New Roman" w:cs="Times New Roman"/>
        </w:rPr>
        <w:t>7</w:t>
      </w:r>
    </w:p>
    <w:p w:rsidR="00BA08E2" w:rsidRPr="00BA08E2" w:rsidRDefault="00BA08E2" w:rsidP="00BA08E2">
      <w:pPr>
        <w:spacing w:after="0" w:line="240" w:lineRule="auto"/>
        <w:jc w:val="center"/>
        <w:rPr>
          <w:rFonts w:ascii="Times New Roman" w:eastAsia="Times New Roman" w:hAnsi="Times New Roman" w:cs="Times New Roman"/>
        </w:rPr>
      </w:pPr>
      <w:r w:rsidRPr="00BA08E2">
        <w:rPr>
          <w:rFonts w:ascii="Times New Roman" w:eastAsia="Times New Roman" w:hAnsi="Times New Roman" w:cs="Times New Roman"/>
        </w:rPr>
        <w:t xml:space="preserve"> (panel </w:t>
      </w:r>
      <w:r w:rsidR="00DD225B">
        <w:rPr>
          <w:rFonts w:ascii="Times New Roman" w:eastAsia="Times New Roman" w:hAnsi="Times New Roman" w:cs="Times New Roman"/>
        </w:rPr>
        <w:t>77</w:t>
      </w:r>
      <w:r w:rsidRPr="00BA08E2">
        <w:rPr>
          <w:rFonts w:ascii="Times New Roman" w:eastAsia="Times New Roman" w:hAnsi="Times New Roman" w:cs="Times New Roman"/>
        </w:rPr>
        <w:t xml:space="preserve"> </w:t>
      </w:r>
      <w:r w:rsidR="006A146C">
        <w:rPr>
          <w:rFonts w:ascii="Times New Roman" w:eastAsia="Times New Roman" w:hAnsi="Times New Roman" w:cs="Times New Roman"/>
        </w:rPr>
        <w:t xml:space="preserve">badanych </w:t>
      </w:r>
      <w:r w:rsidRPr="00BA08E2">
        <w:rPr>
          <w:rFonts w:ascii="Times New Roman" w:eastAsia="Times New Roman" w:hAnsi="Times New Roman" w:cs="Times New Roman"/>
        </w:rPr>
        <w:t>RSP)</w:t>
      </w:r>
    </w:p>
    <w:tbl>
      <w:tblPr>
        <w:tblW w:w="0" w:type="auto"/>
        <w:tblInd w:w="60" w:type="dxa"/>
        <w:tblCellMar>
          <w:left w:w="10" w:type="dxa"/>
          <w:right w:w="10" w:type="dxa"/>
        </w:tblCellMar>
        <w:tblLook w:val="0000" w:firstRow="0" w:lastRow="0" w:firstColumn="0" w:lastColumn="0" w:noHBand="0" w:noVBand="0"/>
      </w:tblPr>
      <w:tblGrid>
        <w:gridCol w:w="3775"/>
        <w:gridCol w:w="1310"/>
        <w:gridCol w:w="1310"/>
        <w:gridCol w:w="1310"/>
        <w:gridCol w:w="1445"/>
      </w:tblGrid>
      <w:tr w:rsidR="00BF4439" w:rsidRPr="00BA08E2" w:rsidTr="00BF4439">
        <w:trPr>
          <w:cantSplit/>
          <w:trHeight w:val="1"/>
        </w:trPr>
        <w:tc>
          <w:tcPr>
            <w:tcW w:w="37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BA08E2" w:rsidRPr="00BA08E2" w:rsidRDefault="00BA08E2" w:rsidP="00BA08E2">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t>Wyszczególnienie</w:t>
            </w:r>
          </w:p>
        </w:tc>
        <w:tc>
          <w:tcPr>
            <w:tcW w:w="3930"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BA08E2" w:rsidRPr="00BA08E2" w:rsidRDefault="00BA08E2" w:rsidP="00BA08E2">
            <w:pPr>
              <w:spacing w:after="120" w:line="240" w:lineRule="auto"/>
              <w:jc w:val="center"/>
              <w:rPr>
                <w:rFonts w:ascii="Calibri" w:eastAsia="Times New Roman" w:hAnsi="Calibri" w:cs="Times New Roman"/>
              </w:rPr>
            </w:pPr>
            <w:r w:rsidRPr="00BA08E2">
              <w:rPr>
                <w:rFonts w:ascii="Times New Roman" w:eastAsia="Times New Roman" w:hAnsi="Times New Roman" w:cs="Times New Roman"/>
              </w:rPr>
              <w:t>Lata:</w:t>
            </w:r>
          </w:p>
        </w:tc>
        <w:tc>
          <w:tcPr>
            <w:tcW w:w="14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A08E2" w:rsidRPr="00BA08E2" w:rsidRDefault="001C732F" w:rsidP="000E4BEC">
            <w:pPr>
              <w:spacing w:after="120" w:line="240" w:lineRule="auto"/>
              <w:jc w:val="center"/>
              <w:rPr>
                <w:rFonts w:ascii="Calibri" w:eastAsia="Times New Roman" w:hAnsi="Calibri" w:cs="Times New Roman"/>
              </w:rPr>
            </w:pP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2017</m:t>
                  </m:r>
                </m:num>
                <m:den>
                  <m:r>
                    <w:rPr>
                      <w:rFonts w:ascii="Cambria Math" w:eastAsia="Times New Roman" w:hAnsi="Cambria Math" w:cs="Times New Roman"/>
                      <w:sz w:val="24"/>
                      <w:szCs w:val="24"/>
                    </w:rPr>
                    <m:t>2015</m:t>
                  </m:r>
                </m:den>
              </m:f>
            </m:oMath>
            <w:r w:rsidR="00BA08E2" w:rsidRPr="00BA08E2">
              <w:rPr>
                <w:rFonts w:ascii="Times New Roman" w:eastAsia="Times New Roman" w:hAnsi="Times New Roman" w:cs="Times New Roman"/>
              </w:rPr>
              <w:t xml:space="preserve"> x 100</w:t>
            </w:r>
          </w:p>
        </w:tc>
      </w:tr>
      <w:tr w:rsidR="00634C76" w:rsidRPr="00BA08E2" w:rsidTr="00BF4439">
        <w:trPr>
          <w:cantSplit/>
          <w:trHeight w:val="1"/>
        </w:trPr>
        <w:tc>
          <w:tcPr>
            <w:tcW w:w="377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34C76" w:rsidRPr="00BA08E2" w:rsidRDefault="00634C76" w:rsidP="00BA08E2">
            <w:pPr>
              <w:rPr>
                <w:rFonts w:ascii="Calibri" w:eastAsia="Calibri" w:hAnsi="Calibri" w:cs="Calibri"/>
              </w:rPr>
            </w:pP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34C76" w:rsidRPr="00AC57A4" w:rsidRDefault="00634C76" w:rsidP="000E4BEC">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201</w:t>
            </w:r>
            <w:r w:rsidR="000E4BEC">
              <w:rPr>
                <w:rFonts w:ascii="Times New Roman" w:eastAsia="Times New Roman" w:hAnsi="Times New Roman" w:cs="Times New Roman"/>
              </w:rPr>
              <w:t>5</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34C76" w:rsidRPr="00AC57A4" w:rsidRDefault="00634C76" w:rsidP="000E4BEC">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201</w:t>
            </w:r>
            <w:r w:rsidR="000E4BEC">
              <w:rPr>
                <w:rFonts w:ascii="Times New Roman" w:eastAsia="Times New Roman" w:hAnsi="Times New Roman" w:cs="Times New Roman"/>
              </w:rPr>
              <w:t>6</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34C76" w:rsidRPr="00AC57A4" w:rsidRDefault="00634C76" w:rsidP="000E4BEC">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201</w:t>
            </w:r>
            <w:r w:rsidR="000E4BEC">
              <w:rPr>
                <w:rFonts w:ascii="Times New Roman" w:eastAsia="Times New Roman" w:hAnsi="Times New Roman" w:cs="Times New Roman"/>
              </w:rPr>
              <w:t>7</w:t>
            </w: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34C76" w:rsidRPr="00BA08E2" w:rsidRDefault="00634C76" w:rsidP="00BA08E2">
            <w:pPr>
              <w:rPr>
                <w:rFonts w:ascii="Calibri" w:eastAsia="Times New Roman" w:hAnsi="Calibri" w:cs="Times New Roman"/>
              </w:rPr>
            </w:pPr>
          </w:p>
        </w:tc>
      </w:tr>
      <w:tr w:rsidR="000E4BEC" w:rsidRPr="00BA08E2" w:rsidTr="005C0D6A">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0E4BEC" w:rsidRPr="00BA08E2" w:rsidRDefault="000E4BEC" w:rsidP="00BA08E2">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t>Przeciętny obszar (ha UR)</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0E4BEC" w:rsidRPr="000E4BEC" w:rsidRDefault="000E4BEC" w:rsidP="000E4BEC">
            <w:pPr>
              <w:spacing w:after="120" w:line="240" w:lineRule="auto"/>
              <w:jc w:val="center"/>
              <w:rPr>
                <w:rFonts w:ascii="Times New Roman" w:eastAsia="Times New Roman" w:hAnsi="Times New Roman" w:cs="Times New Roman"/>
              </w:rPr>
            </w:pPr>
            <w:r w:rsidRPr="000E4BEC">
              <w:rPr>
                <w:rFonts w:ascii="Times New Roman" w:eastAsia="Times New Roman" w:hAnsi="Times New Roman" w:cs="Times New Roman"/>
              </w:rPr>
              <w:t>540,3</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0E4BEC" w:rsidRPr="000E4BEC" w:rsidRDefault="000E4BEC" w:rsidP="000E4BEC">
            <w:pPr>
              <w:spacing w:after="120" w:line="240" w:lineRule="auto"/>
              <w:jc w:val="center"/>
              <w:rPr>
                <w:rFonts w:ascii="Times New Roman" w:eastAsia="Times New Roman" w:hAnsi="Times New Roman" w:cs="Times New Roman"/>
              </w:rPr>
            </w:pPr>
            <w:r w:rsidRPr="000E4BEC">
              <w:rPr>
                <w:rFonts w:ascii="Times New Roman" w:eastAsia="Times New Roman" w:hAnsi="Times New Roman" w:cs="Times New Roman"/>
              </w:rPr>
              <w:t>536,9</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0E4BEC" w:rsidRPr="000E4BEC" w:rsidRDefault="000E4BEC" w:rsidP="000E4BEC">
            <w:pPr>
              <w:spacing w:after="120" w:line="240" w:lineRule="auto"/>
              <w:jc w:val="center"/>
              <w:rPr>
                <w:rFonts w:ascii="Times New Roman" w:eastAsia="Times New Roman" w:hAnsi="Times New Roman" w:cs="Times New Roman"/>
              </w:rPr>
            </w:pPr>
            <w:r w:rsidRPr="000E4BEC">
              <w:rPr>
                <w:rFonts w:ascii="Times New Roman" w:eastAsia="Times New Roman" w:hAnsi="Times New Roman" w:cs="Times New Roman"/>
              </w:rPr>
              <w:t>532,0</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0E4BEC" w:rsidRPr="00153E4A" w:rsidRDefault="000E4BEC" w:rsidP="00153E4A">
            <w:pPr>
              <w:spacing w:after="120" w:line="240" w:lineRule="auto"/>
              <w:jc w:val="center"/>
              <w:rPr>
                <w:rFonts w:ascii="Times New Roman" w:eastAsia="Times New Roman" w:hAnsi="Times New Roman" w:cs="Times New Roman"/>
              </w:rPr>
            </w:pPr>
            <w:r w:rsidRPr="00153E4A">
              <w:rPr>
                <w:rFonts w:ascii="Times New Roman" w:eastAsia="Times New Roman" w:hAnsi="Times New Roman" w:cs="Times New Roman"/>
              </w:rPr>
              <w:t>0,98</w:t>
            </w:r>
          </w:p>
        </w:tc>
      </w:tr>
      <w:tr w:rsidR="00C902E1" w:rsidRPr="00BA08E2" w:rsidTr="005C0D6A">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902E1" w:rsidRPr="00BA08E2" w:rsidRDefault="00C902E1" w:rsidP="00CD23F3">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t>Przychody ogółem ( tys. zł)</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902E1" w:rsidRPr="00C902E1" w:rsidRDefault="00C902E1" w:rsidP="00C902E1">
            <w:pPr>
              <w:spacing w:after="120" w:line="240" w:lineRule="auto"/>
              <w:jc w:val="center"/>
              <w:rPr>
                <w:rFonts w:ascii="Times New Roman" w:eastAsia="Times New Roman" w:hAnsi="Times New Roman" w:cs="Times New Roman"/>
              </w:rPr>
            </w:pPr>
            <w:r w:rsidRPr="00C902E1">
              <w:rPr>
                <w:rFonts w:ascii="Times New Roman" w:eastAsia="Times New Roman" w:hAnsi="Times New Roman" w:cs="Times New Roman"/>
              </w:rPr>
              <w:t>6123</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902E1" w:rsidRPr="00C902E1" w:rsidRDefault="00C902E1" w:rsidP="00C902E1">
            <w:pPr>
              <w:spacing w:after="120" w:line="240" w:lineRule="auto"/>
              <w:jc w:val="center"/>
              <w:rPr>
                <w:rFonts w:ascii="Times New Roman" w:eastAsia="Times New Roman" w:hAnsi="Times New Roman" w:cs="Times New Roman"/>
              </w:rPr>
            </w:pPr>
            <w:r w:rsidRPr="00C902E1">
              <w:rPr>
                <w:rFonts w:ascii="Times New Roman" w:eastAsia="Times New Roman" w:hAnsi="Times New Roman" w:cs="Times New Roman"/>
              </w:rPr>
              <w:t>6036</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902E1" w:rsidRPr="00C902E1" w:rsidRDefault="00C902E1" w:rsidP="00C902E1">
            <w:pPr>
              <w:spacing w:after="120" w:line="240" w:lineRule="auto"/>
              <w:jc w:val="center"/>
              <w:rPr>
                <w:rFonts w:ascii="Times New Roman" w:eastAsia="Times New Roman" w:hAnsi="Times New Roman" w:cs="Times New Roman"/>
              </w:rPr>
            </w:pPr>
            <w:r w:rsidRPr="00C902E1">
              <w:rPr>
                <w:rFonts w:ascii="Times New Roman" w:eastAsia="Times New Roman" w:hAnsi="Times New Roman" w:cs="Times New Roman"/>
              </w:rPr>
              <w:t>6300</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902E1" w:rsidRPr="00C902E1" w:rsidRDefault="00C902E1" w:rsidP="00CD23F3">
            <w:pPr>
              <w:spacing w:after="120" w:line="240" w:lineRule="auto"/>
              <w:jc w:val="center"/>
              <w:rPr>
                <w:rFonts w:ascii="Times New Roman" w:eastAsia="Times New Roman" w:hAnsi="Times New Roman" w:cs="Times New Roman"/>
              </w:rPr>
            </w:pPr>
            <w:r w:rsidRPr="00C902E1">
              <w:rPr>
                <w:rFonts w:ascii="Times New Roman" w:eastAsia="Times New Roman" w:hAnsi="Times New Roman" w:cs="Times New Roman"/>
              </w:rPr>
              <w:t>1,02</w:t>
            </w:r>
          </w:p>
        </w:tc>
      </w:tr>
      <w:tr w:rsidR="00C902E1" w:rsidRPr="00BA08E2" w:rsidTr="005C0D6A">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902E1" w:rsidRPr="00BA08E2" w:rsidRDefault="00C902E1" w:rsidP="00BA08E2">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t>Pracujący na 100 ha UR (osoby)</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902E1" w:rsidRPr="00C902E1" w:rsidRDefault="00C902E1" w:rsidP="00C902E1">
            <w:pPr>
              <w:spacing w:after="120" w:line="240" w:lineRule="auto"/>
              <w:jc w:val="center"/>
              <w:rPr>
                <w:rFonts w:ascii="Times New Roman" w:eastAsia="Times New Roman" w:hAnsi="Times New Roman" w:cs="Times New Roman"/>
              </w:rPr>
            </w:pPr>
            <w:r w:rsidRPr="00C902E1">
              <w:rPr>
                <w:rFonts w:ascii="Times New Roman" w:eastAsia="Times New Roman" w:hAnsi="Times New Roman" w:cs="Times New Roman"/>
              </w:rPr>
              <w:t>4,10</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902E1" w:rsidRPr="00C902E1" w:rsidRDefault="00C902E1" w:rsidP="00C902E1">
            <w:pPr>
              <w:spacing w:after="120" w:line="240" w:lineRule="auto"/>
              <w:jc w:val="center"/>
              <w:rPr>
                <w:rFonts w:ascii="Times New Roman" w:eastAsia="Times New Roman" w:hAnsi="Times New Roman" w:cs="Times New Roman"/>
              </w:rPr>
            </w:pPr>
            <w:r w:rsidRPr="00C902E1">
              <w:rPr>
                <w:rFonts w:ascii="Times New Roman" w:eastAsia="Times New Roman" w:hAnsi="Times New Roman" w:cs="Times New Roman"/>
              </w:rPr>
              <w:t>3,99</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902E1" w:rsidRPr="00C902E1" w:rsidRDefault="00C902E1" w:rsidP="00C902E1">
            <w:pPr>
              <w:spacing w:after="120" w:line="240" w:lineRule="auto"/>
              <w:jc w:val="center"/>
              <w:rPr>
                <w:rFonts w:ascii="Times New Roman" w:eastAsia="Times New Roman" w:hAnsi="Times New Roman" w:cs="Times New Roman"/>
              </w:rPr>
            </w:pPr>
            <w:r w:rsidRPr="00C902E1">
              <w:rPr>
                <w:rFonts w:ascii="Times New Roman" w:eastAsia="Times New Roman" w:hAnsi="Times New Roman" w:cs="Times New Roman"/>
              </w:rPr>
              <w:t>3,86</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902E1" w:rsidRPr="00C902E1" w:rsidRDefault="00C902E1" w:rsidP="00C902E1">
            <w:pPr>
              <w:spacing w:after="120" w:line="240" w:lineRule="auto"/>
              <w:jc w:val="center"/>
              <w:rPr>
                <w:rFonts w:ascii="Times New Roman" w:eastAsia="Times New Roman" w:hAnsi="Times New Roman" w:cs="Times New Roman"/>
              </w:rPr>
            </w:pPr>
            <w:r w:rsidRPr="00C902E1">
              <w:rPr>
                <w:rFonts w:ascii="Times New Roman" w:eastAsia="Times New Roman" w:hAnsi="Times New Roman" w:cs="Times New Roman"/>
              </w:rPr>
              <w:t>0,94</w:t>
            </w:r>
          </w:p>
        </w:tc>
      </w:tr>
      <w:tr w:rsidR="00F862A1" w:rsidRPr="00BA08E2" w:rsidTr="005C0D6A">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862A1" w:rsidRPr="00BA08E2" w:rsidRDefault="00F862A1" w:rsidP="00BA08E2">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t>Wydajność pracy – wartość dodana (tys. zł/osobę)</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862A1" w:rsidRPr="00F862A1" w:rsidRDefault="00F862A1" w:rsidP="00F862A1">
            <w:pPr>
              <w:spacing w:after="120" w:line="240" w:lineRule="auto"/>
              <w:jc w:val="center"/>
              <w:rPr>
                <w:rFonts w:ascii="Times New Roman" w:eastAsia="Times New Roman" w:hAnsi="Times New Roman" w:cs="Times New Roman"/>
              </w:rPr>
            </w:pPr>
            <w:r w:rsidRPr="00F862A1">
              <w:rPr>
                <w:rFonts w:ascii="Times New Roman" w:eastAsia="Times New Roman" w:hAnsi="Times New Roman" w:cs="Times New Roman"/>
              </w:rPr>
              <w:t>88,9</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862A1" w:rsidRPr="00F862A1" w:rsidRDefault="00F862A1" w:rsidP="00F862A1">
            <w:pPr>
              <w:spacing w:after="120" w:line="240" w:lineRule="auto"/>
              <w:jc w:val="center"/>
              <w:rPr>
                <w:rFonts w:ascii="Times New Roman" w:eastAsia="Times New Roman" w:hAnsi="Times New Roman" w:cs="Times New Roman"/>
              </w:rPr>
            </w:pPr>
            <w:r w:rsidRPr="00F862A1">
              <w:rPr>
                <w:rFonts w:ascii="Times New Roman" w:eastAsia="Times New Roman" w:hAnsi="Times New Roman" w:cs="Times New Roman"/>
              </w:rPr>
              <w:t>90,0</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862A1" w:rsidRPr="00F862A1" w:rsidRDefault="00F862A1" w:rsidP="00F862A1">
            <w:pPr>
              <w:spacing w:after="120" w:line="240" w:lineRule="auto"/>
              <w:jc w:val="center"/>
              <w:rPr>
                <w:rFonts w:ascii="Times New Roman" w:eastAsia="Times New Roman" w:hAnsi="Times New Roman" w:cs="Times New Roman"/>
              </w:rPr>
            </w:pPr>
            <w:r w:rsidRPr="00F862A1">
              <w:rPr>
                <w:rFonts w:ascii="Times New Roman" w:eastAsia="Times New Roman" w:hAnsi="Times New Roman" w:cs="Times New Roman"/>
              </w:rPr>
              <w:t>105,1</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862A1" w:rsidRPr="00F862A1" w:rsidRDefault="00F862A1" w:rsidP="00153E4A">
            <w:pPr>
              <w:spacing w:after="120" w:line="240" w:lineRule="auto"/>
              <w:jc w:val="center"/>
              <w:rPr>
                <w:rFonts w:ascii="Times New Roman" w:eastAsia="Times New Roman" w:hAnsi="Times New Roman" w:cs="Times New Roman"/>
              </w:rPr>
            </w:pPr>
            <w:r w:rsidRPr="00F862A1">
              <w:rPr>
                <w:rFonts w:ascii="Times New Roman" w:eastAsia="Times New Roman" w:hAnsi="Times New Roman" w:cs="Times New Roman"/>
              </w:rPr>
              <w:t>1,18</w:t>
            </w:r>
          </w:p>
        </w:tc>
      </w:tr>
      <w:tr w:rsidR="00F862A1" w:rsidRPr="00BA08E2" w:rsidTr="005C0D6A">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862A1" w:rsidRPr="00874D0C" w:rsidRDefault="00F862A1" w:rsidP="00BA08E2">
            <w:pPr>
              <w:spacing w:after="120" w:line="240" w:lineRule="auto"/>
              <w:jc w:val="both"/>
              <w:rPr>
                <w:rFonts w:ascii="Calibri" w:eastAsia="Times New Roman" w:hAnsi="Calibri" w:cs="Times New Roman"/>
              </w:rPr>
            </w:pPr>
            <w:r w:rsidRPr="00874D0C">
              <w:rPr>
                <w:rFonts w:ascii="Times New Roman" w:eastAsia="Times New Roman" w:hAnsi="Times New Roman" w:cs="Times New Roman"/>
              </w:rPr>
              <w:t>Wskaźnik wartości dodanej (%)</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862A1" w:rsidRPr="00F862A1" w:rsidRDefault="00F862A1" w:rsidP="00F862A1">
            <w:pPr>
              <w:spacing w:after="120" w:line="240" w:lineRule="auto"/>
              <w:jc w:val="center"/>
              <w:rPr>
                <w:rFonts w:ascii="Times New Roman" w:eastAsia="Times New Roman" w:hAnsi="Times New Roman" w:cs="Times New Roman"/>
              </w:rPr>
            </w:pPr>
            <w:r w:rsidRPr="00F862A1">
              <w:rPr>
                <w:rFonts w:ascii="Times New Roman" w:eastAsia="Times New Roman" w:hAnsi="Times New Roman" w:cs="Times New Roman"/>
              </w:rPr>
              <w:t>40,4</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862A1" w:rsidRPr="00F862A1" w:rsidRDefault="00F862A1" w:rsidP="00F862A1">
            <w:pPr>
              <w:spacing w:after="120" w:line="240" w:lineRule="auto"/>
              <w:jc w:val="center"/>
              <w:rPr>
                <w:rFonts w:ascii="Times New Roman" w:eastAsia="Times New Roman" w:hAnsi="Times New Roman" w:cs="Times New Roman"/>
              </w:rPr>
            </w:pPr>
            <w:r w:rsidRPr="00F862A1">
              <w:rPr>
                <w:rFonts w:ascii="Times New Roman" w:eastAsia="Times New Roman" w:hAnsi="Times New Roman" w:cs="Times New Roman"/>
              </w:rPr>
              <w:t>39,9</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862A1" w:rsidRPr="00F862A1" w:rsidRDefault="00F862A1" w:rsidP="00F862A1">
            <w:pPr>
              <w:spacing w:after="120" w:line="240" w:lineRule="auto"/>
              <w:jc w:val="center"/>
              <w:rPr>
                <w:rFonts w:ascii="Times New Roman" w:eastAsia="Times New Roman" w:hAnsi="Times New Roman" w:cs="Times New Roman"/>
              </w:rPr>
            </w:pPr>
            <w:r w:rsidRPr="00F862A1">
              <w:rPr>
                <w:rFonts w:ascii="Times New Roman" w:eastAsia="Times New Roman" w:hAnsi="Times New Roman" w:cs="Times New Roman"/>
              </w:rPr>
              <w:t>41,7</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862A1" w:rsidRPr="00F862A1" w:rsidRDefault="00F862A1" w:rsidP="00153E4A">
            <w:pPr>
              <w:spacing w:after="120" w:line="240" w:lineRule="auto"/>
              <w:jc w:val="center"/>
              <w:rPr>
                <w:rFonts w:ascii="Times New Roman" w:eastAsia="Times New Roman" w:hAnsi="Times New Roman" w:cs="Times New Roman"/>
              </w:rPr>
            </w:pPr>
            <w:r w:rsidRPr="00F862A1">
              <w:rPr>
                <w:rFonts w:ascii="Times New Roman" w:eastAsia="Times New Roman" w:hAnsi="Times New Roman" w:cs="Times New Roman"/>
              </w:rPr>
              <w:t>1,03</w:t>
            </w:r>
          </w:p>
        </w:tc>
      </w:tr>
      <w:tr w:rsidR="00BA08E2" w:rsidRPr="00BA08E2" w:rsidTr="00BF4439">
        <w:trPr>
          <w:cantSplit/>
          <w:trHeight w:val="1"/>
        </w:trPr>
        <w:tc>
          <w:tcPr>
            <w:tcW w:w="9150"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BA08E2" w:rsidRPr="00F862A1" w:rsidRDefault="00BA08E2" w:rsidP="00BA08E2">
            <w:pPr>
              <w:spacing w:after="120" w:line="240" w:lineRule="auto"/>
              <w:rPr>
                <w:rFonts w:ascii="Calibri" w:eastAsia="Times New Roman" w:hAnsi="Calibri" w:cs="Times New Roman"/>
              </w:rPr>
            </w:pPr>
            <w:r w:rsidRPr="00F862A1">
              <w:rPr>
                <w:rFonts w:ascii="Times New Roman" w:eastAsia="Times New Roman" w:hAnsi="Times New Roman" w:cs="Times New Roman"/>
              </w:rPr>
              <w:t>Wskaźniki dochodowości:</w:t>
            </w:r>
          </w:p>
        </w:tc>
      </w:tr>
      <w:tr w:rsidR="00787BB9" w:rsidRPr="00787BB9" w:rsidTr="000C7294">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7BB9" w:rsidRPr="00874D0C" w:rsidRDefault="00787BB9" w:rsidP="00BA08E2">
            <w:pPr>
              <w:spacing w:after="120" w:line="240" w:lineRule="auto"/>
              <w:jc w:val="both"/>
              <w:rPr>
                <w:rFonts w:ascii="Calibri" w:eastAsia="Times New Roman" w:hAnsi="Calibri" w:cs="Times New Roman"/>
              </w:rPr>
            </w:pPr>
            <w:r w:rsidRPr="00874D0C">
              <w:rPr>
                <w:rFonts w:ascii="Times New Roman" w:eastAsia="Times New Roman" w:hAnsi="Times New Roman" w:cs="Times New Roman"/>
              </w:rPr>
              <w:t>- pracy członka (tys. zł/osobę)</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54,7</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56,3</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75,1</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1,37</w:t>
            </w:r>
          </w:p>
        </w:tc>
      </w:tr>
      <w:tr w:rsidR="00787BB9" w:rsidRPr="00BA08E2" w:rsidTr="000C7294">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7BB9" w:rsidRPr="00BA08E2" w:rsidRDefault="00787BB9" w:rsidP="00BA08E2">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t>- działalności gospodarczej (%)</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22,1</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21,5</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24,5</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1,11</w:t>
            </w:r>
          </w:p>
        </w:tc>
      </w:tr>
      <w:tr w:rsidR="00787BB9" w:rsidRPr="00BA08E2" w:rsidTr="000C7294">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7BB9" w:rsidRPr="00BA08E2" w:rsidRDefault="00787BB9" w:rsidP="00BA08E2">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t>Indeks tworzenia wartości (krotność)</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0,27</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-0,30</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1,08</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w:t>
            </w:r>
          </w:p>
        </w:tc>
      </w:tr>
      <w:tr w:rsidR="00787BB9" w:rsidRPr="00BA08E2" w:rsidTr="000C7294">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7BB9" w:rsidRPr="00BA08E2" w:rsidRDefault="00787BB9" w:rsidP="00BA08E2">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t>Wskaźnik generowania gotówki operacyjnej (%)</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8,2</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6,7</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8,9</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1,08</w:t>
            </w:r>
          </w:p>
        </w:tc>
      </w:tr>
      <w:tr w:rsidR="00787BB9" w:rsidRPr="00BA08E2" w:rsidTr="000C7294">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7BB9" w:rsidRPr="00BA08E2" w:rsidRDefault="00787BB9" w:rsidP="00BA08E2">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t xml:space="preserve">Stopa inwestycji </w:t>
            </w:r>
            <w:r w:rsidRPr="00270617">
              <w:rPr>
                <w:rFonts w:ascii="Times New Roman" w:eastAsia="Times New Roman" w:hAnsi="Times New Roman" w:cs="Times New Roman"/>
                <w:sz w:val="20"/>
              </w:rPr>
              <w:t>(krotność)</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1,18</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0,81</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spacing w:after="120" w:line="240" w:lineRule="auto"/>
              <w:jc w:val="center"/>
              <w:rPr>
                <w:rFonts w:ascii="Times New Roman" w:eastAsia="Times New Roman" w:hAnsi="Times New Roman" w:cs="Times New Roman"/>
              </w:rPr>
            </w:pPr>
            <w:r w:rsidRPr="00787BB9">
              <w:rPr>
                <w:rFonts w:ascii="Times New Roman" w:eastAsia="Times New Roman" w:hAnsi="Times New Roman" w:cs="Times New Roman"/>
              </w:rPr>
              <w:t>0,92</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787BB9" w:rsidP="000C7294">
            <w:pPr>
              <w:jc w:val="center"/>
            </w:pPr>
            <w:r w:rsidRPr="00787BB9">
              <w:rPr>
                <w:rFonts w:ascii="Times New Roman" w:eastAsia="Times New Roman" w:hAnsi="Times New Roman" w:cs="Times New Roman"/>
              </w:rPr>
              <w:t>-</w:t>
            </w:r>
          </w:p>
        </w:tc>
      </w:tr>
      <w:tr w:rsidR="00787BB9" w:rsidRPr="00BA08E2" w:rsidTr="000C7294">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7BB9" w:rsidRPr="00BA08E2" w:rsidRDefault="00787BB9" w:rsidP="00A31F2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Udział dotacji w dochodzie ogólnym </w:t>
            </w:r>
            <w:r w:rsidRPr="00BA08E2">
              <w:rPr>
                <w:rFonts w:ascii="Times New Roman" w:eastAsia="Times New Roman" w:hAnsi="Times New Roman" w:cs="Times New Roman"/>
              </w:rPr>
              <w:t>(%)</w:t>
            </w:r>
            <w:r>
              <w:rPr>
                <w:rFonts w:ascii="Times New Roman" w:eastAsia="Times New Roman" w:hAnsi="Times New Roman" w:cs="Times New Roman"/>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0C7294" w:rsidRDefault="00787BB9" w:rsidP="000C7294">
            <w:pPr>
              <w:jc w:val="center"/>
              <w:rPr>
                <w:rFonts w:ascii="Times New Roman" w:eastAsia="Times New Roman" w:hAnsi="Times New Roman" w:cs="Times New Roman"/>
              </w:rPr>
            </w:pPr>
            <w:r w:rsidRPr="000C7294">
              <w:rPr>
                <w:rFonts w:ascii="Times New Roman" w:eastAsia="Times New Roman" w:hAnsi="Times New Roman" w:cs="Times New Roman"/>
              </w:rPr>
              <w:t>4</w:t>
            </w:r>
            <w:r w:rsidR="000C7294">
              <w:rPr>
                <w:rFonts w:ascii="Times New Roman" w:eastAsia="Times New Roman" w:hAnsi="Times New Roman" w:cs="Times New Roman"/>
              </w:rPr>
              <w:t>0,5</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0C7294" w:rsidRDefault="000C7294" w:rsidP="000C7294">
            <w:pPr>
              <w:jc w:val="center"/>
              <w:rPr>
                <w:rFonts w:ascii="Times New Roman" w:eastAsia="Times New Roman" w:hAnsi="Times New Roman" w:cs="Times New Roman"/>
              </w:rPr>
            </w:pPr>
            <w:r>
              <w:rPr>
                <w:rFonts w:ascii="Times New Roman" w:eastAsia="Times New Roman" w:hAnsi="Times New Roman" w:cs="Times New Roman"/>
              </w:rPr>
              <w:t>39,3</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0C7294" w:rsidRDefault="00787BB9" w:rsidP="000C7294">
            <w:pPr>
              <w:jc w:val="center"/>
              <w:rPr>
                <w:rFonts w:ascii="Times New Roman" w:eastAsia="Times New Roman" w:hAnsi="Times New Roman" w:cs="Times New Roman"/>
              </w:rPr>
            </w:pPr>
            <w:r w:rsidRPr="000C7294">
              <w:rPr>
                <w:rFonts w:ascii="Times New Roman" w:eastAsia="Times New Roman" w:hAnsi="Times New Roman" w:cs="Times New Roman"/>
              </w:rPr>
              <w:t>37</w:t>
            </w:r>
            <w:r w:rsidR="000C7294">
              <w:rPr>
                <w:rFonts w:ascii="Times New Roman" w:eastAsia="Times New Roman" w:hAnsi="Times New Roman" w:cs="Times New Roman"/>
              </w:rPr>
              <w:t>,</w:t>
            </w:r>
            <w:r w:rsidRPr="000C7294">
              <w:rPr>
                <w:rFonts w:ascii="Times New Roman" w:eastAsia="Times New Roman" w:hAnsi="Times New Roman" w:cs="Times New Roman"/>
              </w:rPr>
              <w:t>5</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87BB9" w:rsidRPr="00787BB9" w:rsidRDefault="00AA264C" w:rsidP="000C7294">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0,77</w:t>
            </w:r>
          </w:p>
        </w:tc>
      </w:tr>
    </w:tbl>
    <w:p w:rsidR="00BA08E2" w:rsidRPr="006A146C" w:rsidRDefault="00CD5C49" w:rsidP="008E079B">
      <w:pPr>
        <w:spacing w:after="120" w:line="264" w:lineRule="auto"/>
        <w:rPr>
          <w:rFonts w:ascii="Times New Roman" w:eastAsia="Times New Roman" w:hAnsi="Times New Roman" w:cs="Times New Roman"/>
          <w:i/>
          <w:sz w:val="20"/>
        </w:rPr>
      </w:pPr>
      <w:r w:rsidRPr="006A146C">
        <w:rPr>
          <w:rFonts w:ascii="Times New Roman" w:eastAsia="Times New Roman" w:hAnsi="Times New Roman" w:cs="Times New Roman"/>
          <w:b/>
          <w:sz w:val="20"/>
        </w:rPr>
        <w:t>Źródło</w:t>
      </w:r>
      <w:r>
        <w:rPr>
          <w:rFonts w:ascii="Times New Roman" w:eastAsia="Times New Roman" w:hAnsi="Times New Roman" w:cs="Times New Roman"/>
          <w:sz w:val="20"/>
        </w:rPr>
        <w:t xml:space="preserve">: </w:t>
      </w:r>
      <w:r w:rsidR="00346776">
        <w:rPr>
          <w:rFonts w:ascii="Times New Roman" w:eastAsia="Times New Roman" w:hAnsi="Times New Roman" w:cs="Times New Roman"/>
          <w:i/>
          <w:sz w:val="20"/>
        </w:rPr>
        <w:t xml:space="preserve">Ranking RSP </w:t>
      </w:r>
      <w:r w:rsidR="002A4A14">
        <w:rPr>
          <w:rFonts w:ascii="Times New Roman" w:eastAsia="Times New Roman" w:hAnsi="Times New Roman" w:cs="Times New Roman"/>
          <w:i/>
          <w:sz w:val="20"/>
        </w:rPr>
        <w:t>201</w:t>
      </w:r>
      <w:r w:rsidR="00787BB9">
        <w:rPr>
          <w:rFonts w:ascii="Times New Roman" w:eastAsia="Times New Roman" w:hAnsi="Times New Roman" w:cs="Times New Roman"/>
          <w:i/>
          <w:sz w:val="20"/>
        </w:rPr>
        <w:t>5</w:t>
      </w:r>
      <w:r w:rsidR="002A4A14">
        <w:rPr>
          <w:rFonts w:ascii="Times New Roman" w:eastAsia="Times New Roman" w:hAnsi="Times New Roman" w:cs="Times New Roman"/>
          <w:i/>
          <w:sz w:val="20"/>
        </w:rPr>
        <w:t xml:space="preserve"> r.,</w:t>
      </w:r>
      <w:r w:rsidR="00346776">
        <w:rPr>
          <w:rFonts w:ascii="Times New Roman" w:eastAsia="Times New Roman" w:hAnsi="Times New Roman" w:cs="Times New Roman"/>
          <w:i/>
          <w:sz w:val="20"/>
        </w:rPr>
        <w:t>201</w:t>
      </w:r>
      <w:r w:rsidR="00787BB9">
        <w:rPr>
          <w:rFonts w:ascii="Times New Roman" w:eastAsia="Times New Roman" w:hAnsi="Times New Roman" w:cs="Times New Roman"/>
          <w:i/>
          <w:sz w:val="20"/>
        </w:rPr>
        <w:t>6</w:t>
      </w:r>
      <w:r w:rsidR="006A73CA" w:rsidRPr="006A146C">
        <w:rPr>
          <w:rFonts w:ascii="Times New Roman" w:eastAsia="Times New Roman" w:hAnsi="Times New Roman" w:cs="Times New Roman"/>
          <w:i/>
          <w:sz w:val="20"/>
        </w:rPr>
        <w:t xml:space="preserve"> </w:t>
      </w:r>
      <w:r w:rsidR="00BA08E2" w:rsidRPr="006A146C">
        <w:rPr>
          <w:rFonts w:ascii="Times New Roman" w:eastAsia="Times New Roman" w:hAnsi="Times New Roman" w:cs="Times New Roman"/>
          <w:i/>
          <w:sz w:val="20"/>
        </w:rPr>
        <w:t>r.</w:t>
      </w:r>
      <w:r w:rsidR="002A4A14">
        <w:rPr>
          <w:rFonts w:ascii="Times New Roman" w:eastAsia="Times New Roman" w:hAnsi="Times New Roman" w:cs="Times New Roman"/>
          <w:i/>
          <w:sz w:val="20"/>
        </w:rPr>
        <w:t xml:space="preserve"> i 201</w:t>
      </w:r>
      <w:r w:rsidR="00787BB9">
        <w:rPr>
          <w:rFonts w:ascii="Times New Roman" w:eastAsia="Times New Roman" w:hAnsi="Times New Roman" w:cs="Times New Roman"/>
          <w:i/>
          <w:sz w:val="20"/>
        </w:rPr>
        <w:t>7</w:t>
      </w:r>
      <w:r w:rsidR="00A31F21">
        <w:rPr>
          <w:rFonts w:ascii="Times New Roman" w:eastAsia="Times New Roman" w:hAnsi="Times New Roman" w:cs="Times New Roman"/>
          <w:i/>
          <w:sz w:val="20"/>
        </w:rPr>
        <w:t xml:space="preserve"> </w:t>
      </w:r>
      <w:r w:rsidR="002A4A14">
        <w:rPr>
          <w:rFonts w:ascii="Times New Roman" w:eastAsia="Times New Roman" w:hAnsi="Times New Roman" w:cs="Times New Roman"/>
          <w:i/>
          <w:sz w:val="20"/>
        </w:rPr>
        <w:t>r.</w:t>
      </w:r>
    </w:p>
    <w:p w:rsidR="00D50348" w:rsidRPr="00DE2470" w:rsidRDefault="003F2E0F" w:rsidP="00DE2470">
      <w:pPr>
        <w:spacing w:before="40" w:after="0" w:line="264" w:lineRule="auto"/>
        <w:ind w:firstLine="425"/>
        <w:jc w:val="both"/>
        <w:rPr>
          <w:rFonts w:ascii="Times New Roman" w:hAnsi="Times New Roman"/>
          <w:sz w:val="26"/>
          <w:szCs w:val="26"/>
        </w:rPr>
      </w:pPr>
      <w:r w:rsidRPr="00DE2470">
        <w:rPr>
          <w:rFonts w:ascii="Times New Roman" w:hAnsi="Times New Roman"/>
          <w:sz w:val="26"/>
          <w:szCs w:val="26"/>
        </w:rPr>
        <w:t xml:space="preserve">Poprawa wyników ekonomicznych wydatnie wpłynęła na </w:t>
      </w:r>
      <w:r w:rsidR="00EC60DF" w:rsidRPr="00DE2470">
        <w:rPr>
          <w:rFonts w:ascii="Times New Roman" w:hAnsi="Times New Roman"/>
          <w:sz w:val="26"/>
          <w:szCs w:val="26"/>
        </w:rPr>
        <w:t>poziom</w:t>
      </w:r>
      <w:r w:rsidR="00261B08" w:rsidRPr="00DE2470">
        <w:rPr>
          <w:rFonts w:ascii="Times New Roman" w:hAnsi="Times New Roman"/>
          <w:sz w:val="26"/>
          <w:szCs w:val="26"/>
        </w:rPr>
        <w:t xml:space="preserve"> wolnych środków finansowych</w:t>
      </w:r>
      <w:r w:rsidR="005D6D49" w:rsidRPr="00DE2470">
        <w:rPr>
          <w:rFonts w:ascii="Times New Roman" w:hAnsi="Times New Roman"/>
          <w:sz w:val="26"/>
          <w:szCs w:val="26"/>
        </w:rPr>
        <w:t>,</w:t>
      </w:r>
      <w:r w:rsidR="00261B08" w:rsidRPr="00DE2470">
        <w:rPr>
          <w:rFonts w:ascii="Times New Roman" w:hAnsi="Times New Roman"/>
          <w:sz w:val="26"/>
          <w:szCs w:val="26"/>
        </w:rPr>
        <w:t xml:space="preserve"> jakimi spół</w:t>
      </w:r>
      <w:r w:rsidRPr="00DE2470">
        <w:rPr>
          <w:rFonts w:ascii="Times New Roman" w:hAnsi="Times New Roman"/>
          <w:sz w:val="26"/>
          <w:szCs w:val="26"/>
        </w:rPr>
        <w:t>dzielnie dysponowały w ostatnim bilansie</w:t>
      </w:r>
      <w:r w:rsidR="00E50FC9" w:rsidRPr="00DE2470">
        <w:rPr>
          <w:rFonts w:ascii="Times New Roman" w:hAnsi="Times New Roman"/>
          <w:sz w:val="26"/>
          <w:szCs w:val="26"/>
        </w:rPr>
        <w:t xml:space="preserve">. </w:t>
      </w:r>
      <w:r w:rsidRPr="00DE2470">
        <w:rPr>
          <w:rFonts w:ascii="Times New Roman" w:hAnsi="Times New Roman"/>
          <w:sz w:val="26"/>
          <w:szCs w:val="26"/>
        </w:rPr>
        <w:t>W 2015 i 2016</w:t>
      </w:r>
      <w:r w:rsidR="00A31F21" w:rsidRPr="00DE2470">
        <w:rPr>
          <w:rFonts w:ascii="Times New Roman" w:hAnsi="Times New Roman"/>
          <w:sz w:val="26"/>
          <w:szCs w:val="26"/>
        </w:rPr>
        <w:t> </w:t>
      </w:r>
      <w:r w:rsidR="00261B08" w:rsidRPr="00DE2470">
        <w:rPr>
          <w:rFonts w:ascii="Times New Roman" w:hAnsi="Times New Roman"/>
          <w:sz w:val="26"/>
          <w:szCs w:val="26"/>
        </w:rPr>
        <w:t>r.</w:t>
      </w:r>
      <w:r w:rsidR="0076057C" w:rsidRPr="00DE2470">
        <w:rPr>
          <w:rFonts w:ascii="Times New Roman" w:hAnsi="Times New Roman"/>
          <w:sz w:val="26"/>
          <w:szCs w:val="26"/>
        </w:rPr>
        <w:t xml:space="preserve"> zdolność spółdzielni do generowania </w:t>
      </w:r>
      <w:r w:rsidR="00261B08" w:rsidRPr="00DE2470">
        <w:rPr>
          <w:rFonts w:ascii="Times New Roman" w:hAnsi="Times New Roman"/>
          <w:sz w:val="26"/>
          <w:szCs w:val="26"/>
        </w:rPr>
        <w:t>gotówki</w:t>
      </w:r>
      <w:r w:rsidR="0076057C" w:rsidRPr="00DE2470">
        <w:rPr>
          <w:rFonts w:ascii="Times New Roman" w:hAnsi="Times New Roman"/>
          <w:sz w:val="26"/>
          <w:szCs w:val="26"/>
        </w:rPr>
        <w:t xml:space="preserve"> </w:t>
      </w:r>
      <w:r w:rsidR="00261B08" w:rsidRPr="00DE2470">
        <w:rPr>
          <w:rFonts w:ascii="Times New Roman" w:hAnsi="Times New Roman"/>
          <w:sz w:val="26"/>
          <w:szCs w:val="26"/>
        </w:rPr>
        <w:t xml:space="preserve">wykazywała </w:t>
      </w:r>
      <w:r w:rsidRPr="00DE2470">
        <w:rPr>
          <w:rFonts w:ascii="Times New Roman" w:hAnsi="Times New Roman"/>
          <w:sz w:val="26"/>
          <w:szCs w:val="26"/>
        </w:rPr>
        <w:t>tendencje malejące</w:t>
      </w:r>
      <w:r w:rsidR="00A54D45" w:rsidRPr="00DE2470">
        <w:rPr>
          <w:rFonts w:ascii="Times New Roman" w:hAnsi="Times New Roman"/>
          <w:sz w:val="26"/>
          <w:szCs w:val="26"/>
        </w:rPr>
        <w:t xml:space="preserve">, </w:t>
      </w:r>
      <w:r w:rsidR="00E30516" w:rsidRPr="00DE2470">
        <w:rPr>
          <w:rFonts w:ascii="Times New Roman" w:hAnsi="Times New Roman"/>
          <w:sz w:val="26"/>
          <w:szCs w:val="26"/>
        </w:rPr>
        <w:t xml:space="preserve">co </w:t>
      </w:r>
      <w:r w:rsidR="00261B08" w:rsidRPr="00DE2470">
        <w:rPr>
          <w:rFonts w:ascii="Times New Roman" w:hAnsi="Times New Roman"/>
          <w:sz w:val="26"/>
          <w:szCs w:val="26"/>
        </w:rPr>
        <w:t xml:space="preserve">wpływało na </w:t>
      </w:r>
      <w:r w:rsidR="008416BB" w:rsidRPr="00DE2470">
        <w:rPr>
          <w:rFonts w:ascii="Times New Roman" w:hAnsi="Times New Roman"/>
          <w:sz w:val="26"/>
          <w:szCs w:val="26"/>
        </w:rPr>
        <w:t>obniżanie skłonności</w:t>
      </w:r>
      <w:r w:rsidR="00261B08" w:rsidRPr="00DE2470">
        <w:rPr>
          <w:rFonts w:ascii="Times New Roman" w:hAnsi="Times New Roman"/>
          <w:sz w:val="26"/>
          <w:szCs w:val="26"/>
        </w:rPr>
        <w:t xml:space="preserve"> do </w:t>
      </w:r>
      <w:r w:rsidR="008416BB" w:rsidRPr="00DE2470">
        <w:rPr>
          <w:rFonts w:ascii="Times New Roman" w:hAnsi="Times New Roman"/>
          <w:sz w:val="26"/>
          <w:szCs w:val="26"/>
        </w:rPr>
        <w:t>inwestowania.</w:t>
      </w:r>
      <w:r w:rsidR="0040198D" w:rsidRPr="00DE2470">
        <w:rPr>
          <w:rFonts w:ascii="Times New Roman" w:hAnsi="Times New Roman"/>
          <w:sz w:val="26"/>
          <w:szCs w:val="26"/>
        </w:rPr>
        <w:t xml:space="preserve"> </w:t>
      </w:r>
      <w:r w:rsidR="0012381F" w:rsidRPr="00DE2470">
        <w:rPr>
          <w:rFonts w:ascii="Times New Roman" w:hAnsi="Times New Roman"/>
          <w:sz w:val="26"/>
          <w:szCs w:val="26"/>
        </w:rPr>
        <w:t xml:space="preserve">Sytuacja </w:t>
      </w:r>
      <w:r w:rsidR="00A54D45" w:rsidRPr="00DE2470">
        <w:rPr>
          <w:rFonts w:ascii="Times New Roman" w:hAnsi="Times New Roman"/>
          <w:sz w:val="26"/>
          <w:szCs w:val="26"/>
        </w:rPr>
        <w:t xml:space="preserve">ta </w:t>
      </w:r>
      <w:r w:rsidR="007F68B3" w:rsidRPr="00DE2470">
        <w:rPr>
          <w:rFonts w:ascii="Times New Roman" w:hAnsi="Times New Roman"/>
          <w:sz w:val="26"/>
          <w:szCs w:val="26"/>
        </w:rPr>
        <w:t>uległa jednak zmianie</w:t>
      </w:r>
      <w:r w:rsidR="00A31F21" w:rsidRPr="00DE2470">
        <w:rPr>
          <w:rFonts w:ascii="Times New Roman" w:hAnsi="Times New Roman"/>
          <w:sz w:val="26"/>
          <w:szCs w:val="26"/>
        </w:rPr>
        <w:t>.</w:t>
      </w:r>
      <w:r w:rsidR="007F68B3" w:rsidRPr="00DE2470">
        <w:rPr>
          <w:rFonts w:ascii="Times New Roman" w:hAnsi="Times New Roman"/>
          <w:sz w:val="26"/>
          <w:szCs w:val="26"/>
        </w:rPr>
        <w:t xml:space="preserve"> </w:t>
      </w:r>
      <w:r w:rsidR="00A31F21" w:rsidRPr="00DE2470">
        <w:rPr>
          <w:rFonts w:ascii="Times New Roman" w:hAnsi="Times New Roman"/>
          <w:sz w:val="26"/>
          <w:szCs w:val="26"/>
        </w:rPr>
        <w:t>W</w:t>
      </w:r>
      <w:r w:rsidR="007F68B3" w:rsidRPr="00DE2470">
        <w:rPr>
          <w:rFonts w:ascii="Times New Roman" w:hAnsi="Times New Roman"/>
          <w:sz w:val="26"/>
          <w:szCs w:val="26"/>
        </w:rPr>
        <w:t xml:space="preserve">skaźnik generowania gotówki operacyjnej w </w:t>
      </w:r>
      <w:r w:rsidR="00275EFF" w:rsidRPr="00DE2470">
        <w:rPr>
          <w:rFonts w:ascii="Times New Roman" w:hAnsi="Times New Roman"/>
          <w:sz w:val="26"/>
          <w:szCs w:val="26"/>
        </w:rPr>
        <w:t>2017</w:t>
      </w:r>
      <w:r w:rsidR="00A31F21" w:rsidRPr="00DE2470">
        <w:rPr>
          <w:rFonts w:ascii="Times New Roman" w:hAnsi="Times New Roman"/>
          <w:sz w:val="26"/>
          <w:szCs w:val="26"/>
        </w:rPr>
        <w:t xml:space="preserve"> </w:t>
      </w:r>
      <w:r w:rsidR="008416BB" w:rsidRPr="00DE2470">
        <w:rPr>
          <w:rFonts w:ascii="Times New Roman" w:hAnsi="Times New Roman"/>
          <w:sz w:val="26"/>
          <w:szCs w:val="26"/>
        </w:rPr>
        <w:t>r</w:t>
      </w:r>
      <w:r w:rsidR="00275EFF" w:rsidRPr="00DE2470">
        <w:rPr>
          <w:rFonts w:ascii="Times New Roman" w:hAnsi="Times New Roman"/>
          <w:sz w:val="26"/>
          <w:szCs w:val="26"/>
        </w:rPr>
        <w:t>.</w:t>
      </w:r>
      <w:r w:rsidR="008416BB" w:rsidRPr="00DE2470">
        <w:rPr>
          <w:rFonts w:ascii="Times New Roman" w:hAnsi="Times New Roman"/>
          <w:sz w:val="26"/>
          <w:szCs w:val="26"/>
        </w:rPr>
        <w:t xml:space="preserve"> wyniósł 8,9 % co było wynikiem lepszym niż w 2015 i 2016</w:t>
      </w:r>
      <w:r w:rsidR="00A31F21" w:rsidRPr="00DE2470">
        <w:rPr>
          <w:rFonts w:ascii="Times New Roman" w:hAnsi="Times New Roman"/>
          <w:sz w:val="26"/>
          <w:szCs w:val="26"/>
        </w:rPr>
        <w:t xml:space="preserve"> </w:t>
      </w:r>
      <w:r w:rsidR="00275EFF" w:rsidRPr="00DE2470">
        <w:rPr>
          <w:rFonts w:ascii="Times New Roman" w:hAnsi="Times New Roman"/>
          <w:sz w:val="26"/>
          <w:szCs w:val="26"/>
        </w:rPr>
        <w:t>r.</w:t>
      </w:r>
      <w:r w:rsidR="008416BB" w:rsidRPr="00DE2470">
        <w:rPr>
          <w:rFonts w:ascii="Times New Roman" w:hAnsi="Times New Roman"/>
          <w:sz w:val="26"/>
          <w:szCs w:val="26"/>
        </w:rPr>
        <w:t xml:space="preserve"> </w:t>
      </w:r>
      <w:r w:rsidR="00A31F21" w:rsidRPr="00DE2470">
        <w:rPr>
          <w:rFonts w:ascii="Times New Roman" w:hAnsi="Times New Roman"/>
          <w:sz w:val="26"/>
          <w:szCs w:val="26"/>
        </w:rPr>
        <w:t>N</w:t>
      </w:r>
      <w:r w:rsidR="008416BB" w:rsidRPr="00DE2470">
        <w:rPr>
          <w:rFonts w:ascii="Times New Roman" w:hAnsi="Times New Roman"/>
          <w:sz w:val="26"/>
          <w:szCs w:val="26"/>
        </w:rPr>
        <w:t>ie spowodowało to jednak znacznego ożywien</w:t>
      </w:r>
      <w:r w:rsidR="00451288" w:rsidRPr="00DE2470">
        <w:rPr>
          <w:rFonts w:ascii="Times New Roman" w:hAnsi="Times New Roman"/>
          <w:sz w:val="26"/>
          <w:szCs w:val="26"/>
        </w:rPr>
        <w:t>ia inwestycji. Stopa inwestycji</w:t>
      </w:r>
      <w:r w:rsidR="008416BB" w:rsidRPr="00DE2470">
        <w:rPr>
          <w:rFonts w:ascii="Times New Roman" w:hAnsi="Times New Roman"/>
          <w:sz w:val="26"/>
          <w:szCs w:val="26"/>
        </w:rPr>
        <w:t xml:space="preserve"> w 2017</w:t>
      </w:r>
      <w:r w:rsidR="00A31F21" w:rsidRPr="00DE2470">
        <w:rPr>
          <w:rFonts w:ascii="Times New Roman" w:hAnsi="Times New Roman"/>
          <w:sz w:val="26"/>
          <w:szCs w:val="26"/>
        </w:rPr>
        <w:t> </w:t>
      </w:r>
      <w:r w:rsidR="00275EFF" w:rsidRPr="00DE2470">
        <w:rPr>
          <w:rFonts w:ascii="Times New Roman" w:hAnsi="Times New Roman"/>
          <w:sz w:val="26"/>
          <w:szCs w:val="26"/>
        </w:rPr>
        <w:t>r.</w:t>
      </w:r>
      <w:r w:rsidR="008416BB" w:rsidRPr="00DE2470">
        <w:rPr>
          <w:rFonts w:ascii="Times New Roman" w:hAnsi="Times New Roman"/>
          <w:sz w:val="26"/>
          <w:szCs w:val="26"/>
        </w:rPr>
        <w:t xml:space="preserve"> wyniosła 0,92, świadczy zatem o zawężonej reprodukcji majątku w całej </w:t>
      </w:r>
      <w:r w:rsidR="00451288" w:rsidRPr="00DE2470">
        <w:rPr>
          <w:rFonts w:ascii="Times New Roman" w:hAnsi="Times New Roman"/>
          <w:sz w:val="26"/>
          <w:szCs w:val="26"/>
        </w:rPr>
        <w:t>zborowości</w:t>
      </w:r>
      <w:r w:rsidR="008416BB" w:rsidRPr="00DE2470">
        <w:rPr>
          <w:rFonts w:ascii="Times New Roman" w:hAnsi="Times New Roman"/>
          <w:sz w:val="26"/>
          <w:szCs w:val="26"/>
        </w:rPr>
        <w:t>.</w:t>
      </w:r>
    </w:p>
    <w:p w:rsidR="007F68B3" w:rsidRPr="00DE2470" w:rsidRDefault="00F212A1" w:rsidP="00DE2470">
      <w:pPr>
        <w:spacing w:before="40" w:after="0" w:line="264" w:lineRule="auto"/>
        <w:ind w:firstLine="425"/>
        <w:jc w:val="both"/>
        <w:rPr>
          <w:rFonts w:ascii="Times New Roman" w:hAnsi="Times New Roman"/>
          <w:sz w:val="26"/>
          <w:szCs w:val="26"/>
        </w:rPr>
      </w:pPr>
      <w:r w:rsidRPr="00DE2470">
        <w:rPr>
          <w:rFonts w:ascii="Times New Roman" w:hAnsi="Times New Roman"/>
          <w:sz w:val="26"/>
          <w:szCs w:val="26"/>
        </w:rPr>
        <w:t>Wraz z poprawą</w:t>
      </w:r>
      <w:r w:rsidR="008416BB" w:rsidRPr="00DE2470">
        <w:rPr>
          <w:rFonts w:ascii="Times New Roman" w:hAnsi="Times New Roman"/>
          <w:sz w:val="26"/>
          <w:szCs w:val="26"/>
        </w:rPr>
        <w:t xml:space="preserve"> dochodowości działalności gospodarczej i </w:t>
      </w:r>
      <w:r w:rsidR="003F5196" w:rsidRPr="00DE2470">
        <w:rPr>
          <w:rFonts w:ascii="Times New Roman" w:hAnsi="Times New Roman"/>
          <w:sz w:val="26"/>
          <w:szCs w:val="26"/>
        </w:rPr>
        <w:t xml:space="preserve">zwiększeniem </w:t>
      </w:r>
      <w:r w:rsidR="008416BB" w:rsidRPr="00DE2470">
        <w:rPr>
          <w:rFonts w:ascii="Times New Roman" w:hAnsi="Times New Roman"/>
          <w:sz w:val="26"/>
          <w:szCs w:val="26"/>
        </w:rPr>
        <w:t xml:space="preserve">wolnych </w:t>
      </w:r>
      <w:r w:rsidR="009472E1" w:rsidRPr="00DE2470">
        <w:rPr>
          <w:rFonts w:ascii="Times New Roman" w:hAnsi="Times New Roman"/>
          <w:sz w:val="26"/>
          <w:szCs w:val="26"/>
        </w:rPr>
        <w:t>środków</w:t>
      </w:r>
      <w:r w:rsidR="008416BB" w:rsidRPr="00DE2470">
        <w:rPr>
          <w:rFonts w:ascii="Times New Roman" w:hAnsi="Times New Roman"/>
          <w:sz w:val="26"/>
          <w:szCs w:val="26"/>
        </w:rPr>
        <w:t xml:space="preserve"> finansowych rolnicze spółdzielnie w 2017</w:t>
      </w:r>
      <w:r w:rsidR="00A31F21" w:rsidRPr="00DE2470">
        <w:rPr>
          <w:rFonts w:ascii="Times New Roman" w:hAnsi="Times New Roman"/>
          <w:sz w:val="26"/>
          <w:szCs w:val="26"/>
        </w:rPr>
        <w:t> </w:t>
      </w:r>
      <w:r w:rsidR="00275EFF" w:rsidRPr="00DE2470">
        <w:rPr>
          <w:rFonts w:ascii="Times New Roman" w:hAnsi="Times New Roman"/>
          <w:sz w:val="26"/>
          <w:szCs w:val="26"/>
        </w:rPr>
        <w:t>r.</w:t>
      </w:r>
      <w:r w:rsidR="008416BB" w:rsidRPr="00DE2470">
        <w:rPr>
          <w:rFonts w:ascii="Times New Roman" w:hAnsi="Times New Roman"/>
          <w:sz w:val="26"/>
          <w:szCs w:val="26"/>
        </w:rPr>
        <w:t xml:space="preserve"> </w:t>
      </w:r>
      <w:r w:rsidR="009472E1" w:rsidRPr="00DE2470">
        <w:rPr>
          <w:rFonts w:ascii="Times New Roman" w:hAnsi="Times New Roman"/>
          <w:sz w:val="26"/>
          <w:szCs w:val="26"/>
        </w:rPr>
        <w:t>uzyskały zadowalający</w:t>
      </w:r>
      <w:r w:rsidR="007F68B3" w:rsidRPr="00DE2470">
        <w:rPr>
          <w:rFonts w:ascii="Times New Roman" w:hAnsi="Times New Roman"/>
          <w:sz w:val="26"/>
          <w:szCs w:val="26"/>
        </w:rPr>
        <w:t xml:space="preserve"> poziom</w:t>
      </w:r>
      <w:r w:rsidR="009536CD" w:rsidRPr="00DE2470">
        <w:rPr>
          <w:rFonts w:ascii="Times New Roman" w:hAnsi="Times New Roman"/>
          <w:sz w:val="26"/>
          <w:szCs w:val="26"/>
        </w:rPr>
        <w:t xml:space="preserve"> indek</w:t>
      </w:r>
      <w:r w:rsidR="005D6D49" w:rsidRPr="00DE2470">
        <w:rPr>
          <w:rFonts w:ascii="Times New Roman" w:hAnsi="Times New Roman"/>
          <w:sz w:val="26"/>
          <w:szCs w:val="26"/>
        </w:rPr>
        <w:t>su</w:t>
      </w:r>
      <w:r w:rsidR="009536CD" w:rsidRPr="00DE2470">
        <w:rPr>
          <w:rFonts w:ascii="Times New Roman" w:hAnsi="Times New Roman"/>
          <w:sz w:val="26"/>
          <w:szCs w:val="26"/>
        </w:rPr>
        <w:t xml:space="preserve"> tworzenia wartoś</w:t>
      </w:r>
      <w:r w:rsidR="009E1F23" w:rsidRPr="00DE2470">
        <w:rPr>
          <w:rFonts w:ascii="Times New Roman" w:hAnsi="Times New Roman"/>
          <w:sz w:val="26"/>
          <w:szCs w:val="26"/>
        </w:rPr>
        <w:t>ci</w:t>
      </w:r>
      <w:r w:rsidR="009472E1" w:rsidRPr="00DE2470">
        <w:rPr>
          <w:rFonts w:ascii="Times New Roman" w:hAnsi="Times New Roman"/>
          <w:sz w:val="26"/>
          <w:szCs w:val="26"/>
        </w:rPr>
        <w:t xml:space="preserve">. Poziom indeksu 1,08 świadczy o pomnażaniu wartości kapitału przez większość spółdzielni. </w:t>
      </w:r>
    </w:p>
    <w:p w:rsidR="0008322A" w:rsidRPr="00DE2470" w:rsidRDefault="009472E1" w:rsidP="00DE2470">
      <w:pPr>
        <w:spacing w:before="40" w:after="0" w:line="264" w:lineRule="auto"/>
        <w:ind w:firstLine="425"/>
        <w:jc w:val="both"/>
        <w:rPr>
          <w:rFonts w:ascii="Times New Roman" w:eastAsia="Times New Roman" w:hAnsi="Times New Roman" w:cs="Times New Roman"/>
          <w:sz w:val="26"/>
          <w:szCs w:val="26"/>
        </w:rPr>
      </w:pPr>
      <w:r w:rsidRPr="00DE2470">
        <w:rPr>
          <w:rFonts w:ascii="Times New Roman" w:eastAsia="Times New Roman" w:hAnsi="Times New Roman" w:cs="Times New Roman"/>
          <w:sz w:val="26"/>
          <w:szCs w:val="26"/>
        </w:rPr>
        <w:t>Mimo poprawy wyników ekonomiczno-finansowych gospodarstw spółdzielczych w</w:t>
      </w:r>
      <w:r w:rsidR="00554673" w:rsidRPr="00DE2470">
        <w:rPr>
          <w:rFonts w:ascii="Times New Roman" w:eastAsia="Times New Roman" w:hAnsi="Times New Roman" w:cs="Times New Roman"/>
          <w:sz w:val="26"/>
          <w:szCs w:val="26"/>
        </w:rPr>
        <w:t xml:space="preserve"> dalszym ciągu </w:t>
      </w:r>
      <w:r w:rsidRPr="00DE2470">
        <w:rPr>
          <w:rFonts w:ascii="Times New Roman" w:eastAsia="Times New Roman" w:hAnsi="Times New Roman" w:cs="Times New Roman"/>
          <w:sz w:val="26"/>
          <w:szCs w:val="26"/>
        </w:rPr>
        <w:t xml:space="preserve">odnotowywano ubytek </w:t>
      </w:r>
      <w:r w:rsidR="00554673" w:rsidRPr="00DE2470">
        <w:rPr>
          <w:rFonts w:ascii="Times New Roman" w:eastAsia="Times New Roman" w:hAnsi="Times New Roman" w:cs="Times New Roman"/>
          <w:sz w:val="26"/>
          <w:szCs w:val="26"/>
        </w:rPr>
        <w:t xml:space="preserve">powierzchni gruntów. </w:t>
      </w:r>
      <w:r w:rsidRPr="00DE2470">
        <w:rPr>
          <w:rFonts w:ascii="Times New Roman" w:eastAsia="Times New Roman" w:hAnsi="Times New Roman" w:cs="Times New Roman"/>
          <w:sz w:val="26"/>
          <w:szCs w:val="26"/>
        </w:rPr>
        <w:t xml:space="preserve">Tendencja ta w świetle nowych wyników pozostaje niezmienna i utrzymuje się na obserwowanym już od wielu lat poziomie 1% rocznie. </w:t>
      </w:r>
      <w:r w:rsidR="00301D80" w:rsidRPr="00DE2470">
        <w:rPr>
          <w:rFonts w:ascii="Times New Roman" w:eastAsia="Times New Roman" w:hAnsi="Times New Roman" w:cs="Times New Roman"/>
          <w:sz w:val="26"/>
          <w:szCs w:val="26"/>
        </w:rPr>
        <w:t>W 201</w:t>
      </w:r>
      <w:r w:rsidRPr="00DE2470">
        <w:rPr>
          <w:rFonts w:ascii="Times New Roman" w:eastAsia="Times New Roman" w:hAnsi="Times New Roman" w:cs="Times New Roman"/>
          <w:sz w:val="26"/>
          <w:szCs w:val="26"/>
        </w:rPr>
        <w:t>7</w:t>
      </w:r>
      <w:r w:rsidR="00A31F21" w:rsidRPr="00DE2470">
        <w:rPr>
          <w:rFonts w:ascii="Times New Roman" w:eastAsia="Times New Roman" w:hAnsi="Times New Roman" w:cs="Times New Roman"/>
          <w:sz w:val="26"/>
          <w:szCs w:val="26"/>
        </w:rPr>
        <w:t> </w:t>
      </w:r>
      <w:r w:rsidR="00301D80" w:rsidRPr="00DE2470">
        <w:rPr>
          <w:rFonts w:ascii="Times New Roman" w:eastAsia="Times New Roman" w:hAnsi="Times New Roman" w:cs="Times New Roman"/>
          <w:sz w:val="26"/>
          <w:szCs w:val="26"/>
        </w:rPr>
        <w:t xml:space="preserve">r. </w:t>
      </w:r>
      <w:r w:rsidR="0008322A" w:rsidRPr="00DE2470">
        <w:rPr>
          <w:rFonts w:ascii="Times New Roman" w:eastAsia="Times New Roman" w:hAnsi="Times New Roman" w:cs="Times New Roman"/>
          <w:sz w:val="26"/>
          <w:szCs w:val="26"/>
        </w:rPr>
        <w:t>przec</w:t>
      </w:r>
      <w:r w:rsidR="00C07DE9" w:rsidRPr="00DE2470">
        <w:rPr>
          <w:rFonts w:ascii="Times New Roman" w:eastAsia="Times New Roman" w:hAnsi="Times New Roman" w:cs="Times New Roman"/>
          <w:sz w:val="26"/>
          <w:szCs w:val="26"/>
        </w:rPr>
        <w:t xml:space="preserve">iętna spółdzielnia </w:t>
      </w:r>
      <w:r w:rsidRPr="00DE2470">
        <w:rPr>
          <w:rFonts w:ascii="Times New Roman" w:eastAsia="Times New Roman" w:hAnsi="Times New Roman" w:cs="Times New Roman"/>
          <w:sz w:val="26"/>
          <w:szCs w:val="26"/>
        </w:rPr>
        <w:t>zmniejszyła powierzchnię o</w:t>
      </w:r>
      <w:r w:rsidR="00C07DE9" w:rsidRPr="00DE2470">
        <w:rPr>
          <w:rFonts w:ascii="Times New Roman" w:eastAsia="Times New Roman" w:hAnsi="Times New Roman" w:cs="Times New Roman"/>
          <w:sz w:val="26"/>
          <w:szCs w:val="26"/>
        </w:rPr>
        <w:t xml:space="preserve"> </w:t>
      </w:r>
      <w:r w:rsidRPr="00DE2470">
        <w:rPr>
          <w:rFonts w:ascii="Times New Roman" w:eastAsia="Times New Roman" w:hAnsi="Times New Roman" w:cs="Times New Roman"/>
          <w:sz w:val="26"/>
          <w:szCs w:val="26"/>
        </w:rPr>
        <w:t>4</w:t>
      </w:r>
      <w:r w:rsidR="0008322A" w:rsidRPr="00DE2470">
        <w:rPr>
          <w:rFonts w:ascii="Times New Roman" w:eastAsia="Times New Roman" w:hAnsi="Times New Roman" w:cs="Times New Roman"/>
          <w:sz w:val="26"/>
          <w:szCs w:val="26"/>
        </w:rPr>
        <w:t xml:space="preserve"> ha</w:t>
      </w:r>
      <w:r w:rsidR="00C07DE9" w:rsidRPr="00DE2470">
        <w:rPr>
          <w:rFonts w:ascii="Times New Roman" w:eastAsia="Times New Roman" w:hAnsi="Times New Roman" w:cs="Times New Roman"/>
          <w:sz w:val="26"/>
          <w:szCs w:val="26"/>
        </w:rPr>
        <w:t>,</w:t>
      </w:r>
      <w:r w:rsidR="0008322A" w:rsidRPr="00DE2470">
        <w:rPr>
          <w:rFonts w:ascii="Times New Roman" w:eastAsia="Times New Roman" w:hAnsi="Times New Roman" w:cs="Times New Roman"/>
          <w:sz w:val="26"/>
          <w:szCs w:val="26"/>
        </w:rPr>
        <w:t xml:space="preserve"> </w:t>
      </w:r>
      <w:r w:rsidR="00DF272A" w:rsidRPr="00DE2470">
        <w:rPr>
          <w:rFonts w:ascii="Times New Roman" w:eastAsia="Times New Roman" w:hAnsi="Times New Roman" w:cs="Times New Roman"/>
          <w:sz w:val="26"/>
          <w:szCs w:val="26"/>
        </w:rPr>
        <w:t>a</w:t>
      </w:r>
      <w:r w:rsidR="00464B36" w:rsidRPr="00DE2470">
        <w:rPr>
          <w:rFonts w:ascii="Times New Roman" w:eastAsia="Times New Roman" w:hAnsi="Times New Roman" w:cs="Times New Roman"/>
          <w:sz w:val="26"/>
          <w:szCs w:val="26"/>
        </w:rPr>
        <w:t>le</w:t>
      </w:r>
      <w:r w:rsidR="00DF272A" w:rsidRPr="00DE2470">
        <w:rPr>
          <w:rFonts w:ascii="Times New Roman" w:eastAsia="Times New Roman" w:hAnsi="Times New Roman" w:cs="Times New Roman"/>
          <w:sz w:val="26"/>
          <w:szCs w:val="26"/>
        </w:rPr>
        <w:t xml:space="preserve"> w</w:t>
      </w:r>
      <w:r w:rsidR="0000484E" w:rsidRPr="00DE2470">
        <w:rPr>
          <w:rFonts w:ascii="Times New Roman" w:eastAsia="Times New Roman" w:hAnsi="Times New Roman" w:cs="Times New Roman"/>
          <w:sz w:val="26"/>
          <w:szCs w:val="26"/>
        </w:rPr>
        <w:t xml:space="preserve"> </w:t>
      </w:r>
      <w:r w:rsidR="00DF272A" w:rsidRPr="00DE2470">
        <w:rPr>
          <w:rFonts w:ascii="Times New Roman" w:eastAsia="Times New Roman" w:hAnsi="Times New Roman" w:cs="Times New Roman"/>
          <w:sz w:val="26"/>
          <w:szCs w:val="26"/>
        </w:rPr>
        <w:t xml:space="preserve">ciągu ostatnich </w:t>
      </w:r>
      <w:r w:rsidR="00AD6734" w:rsidRPr="00DE2470">
        <w:rPr>
          <w:rFonts w:ascii="Times New Roman" w:eastAsia="Times New Roman" w:hAnsi="Times New Roman" w:cs="Times New Roman"/>
          <w:sz w:val="26"/>
          <w:szCs w:val="26"/>
        </w:rPr>
        <w:t>d</w:t>
      </w:r>
      <w:r w:rsidR="0074428E" w:rsidRPr="00DE2470">
        <w:rPr>
          <w:rFonts w:ascii="Times New Roman" w:eastAsia="Times New Roman" w:hAnsi="Times New Roman" w:cs="Times New Roman"/>
          <w:sz w:val="26"/>
          <w:szCs w:val="26"/>
        </w:rPr>
        <w:t>wó</w:t>
      </w:r>
      <w:r w:rsidR="00AD6734" w:rsidRPr="00DE2470">
        <w:rPr>
          <w:rFonts w:ascii="Times New Roman" w:eastAsia="Times New Roman" w:hAnsi="Times New Roman" w:cs="Times New Roman"/>
          <w:sz w:val="26"/>
          <w:szCs w:val="26"/>
        </w:rPr>
        <w:t>ch lat</w:t>
      </w:r>
      <w:r w:rsidR="004B0C6C" w:rsidRPr="00DE2470">
        <w:rPr>
          <w:rFonts w:ascii="Times New Roman" w:eastAsia="Times New Roman" w:hAnsi="Times New Roman" w:cs="Times New Roman"/>
          <w:sz w:val="26"/>
          <w:szCs w:val="26"/>
        </w:rPr>
        <w:t xml:space="preserve"> </w:t>
      </w:r>
      <w:r w:rsidR="00464B36" w:rsidRPr="00DE2470">
        <w:rPr>
          <w:rFonts w:ascii="Times New Roman" w:eastAsia="Times New Roman" w:hAnsi="Times New Roman" w:cs="Times New Roman"/>
          <w:sz w:val="26"/>
          <w:szCs w:val="26"/>
        </w:rPr>
        <w:t>zmniejszenie to już</w:t>
      </w:r>
      <w:r w:rsidR="004B0C6C" w:rsidRPr="00DE2470">
        <w:rPr>
          <w:rFonts w:ascii="Times New Roman" w:eastAsia="Times New Roman" w:hAnsi="Times New Roman" w:cs="Times New Roman"/>
          <w:sz w:val="26"/>
          <w:szCs w:val="26"/>
        </w:rPr>
        <w:t xml:space="preserve"> wyni</w:t>
      </w:r>
      <w:r w:rsidR="00464B36" w:rsidRPr="00DE2470">
        <w:rPr>
          <w:rFonts w:ascii="Times New Roman" w:eastAsia="Times New Roman" w:hAnsi="Times New Roman" w:cs="Times New Roman"/>
          <w:sz w:val="26"/>
          <w:szCs w:val="26"/>
        </w:rPr>
        <w:t xml:space="preserve">osło </w:t>
      </w:r>
      <w:r w:rsidR="005C0D6A" w:rsidRPr="00DE2470">
        <w:rPr>
          <w:rFonts w:ascii="Times New Roman" w:eastAsia="Times New Roman" w:hAnsi="Times New Roman" w:cs="Times New Roman"/>
          <w:sz w:val="26"/>
          <w:szCs w:val="26"/>
        </w:rPr>
        <w:t>7,7</w:t>
      </w:r>
      <w:r w:rsidR="00DF272A" w:rsidRPr="00DE2470">
        <w:rPr>
          <w:rFonts w:ascii="Times New Roman" w:eastAsia="Times New Roman" w:hAnsi="Times New Roman" w:cs="Times New Roman"/>
          <w:sz w:val="26"/>
          <w:szCs w:val="26"/>
        </w:rPr>
        <w:t xml:space="preserve"> ha</w:t>
      </w:r>
      <w:r w:rsidR="0008322A" w:rsidRPr="00DE2470">
        <w:rPr>
          <w:rFonts w:ascii="Times New Roman" w:eastAsia="Times New Roman" w:hAnsi="Times New Roman" w:cs="Times New Roman"/>
          <w:sz w:val="26"/>
          <w:szCs w:val="26"/>
        </w:rPr>
        <w:t>.</w:t>
      </w:r>
      <w:r w:rsidR="006C5354" w:rsidRPr="00DE2470">
        <w:rPr>
          <w:rFonts w:ascii="Times New Roman" w:eastAsia="Times New Roman" w:hAnsi="Times New Roman" w:cs="Times New Roman"/>
          <w:sz w:val="26"/>
          <w:szCs w:val="26"/>
        </w:rPr>
        <w:t xml:space="preserve"> </w:t>
      </w:r>
      <w:r w:rsidR="005C0D6A" w:rsidRPr="00DE2470">
        <w:rPr>
          <w:rFonts w:ascii="Times New Roman" w:eastAsia="Times New Roman" w:hAnsi="Times New Roman" w:cs="Times New Roman"/>
          <w:sz w:val="26"/>
          <w:szCs w:val="26"/>
        </w:rPr>
        <w:t>Jak zawsze przy okazji takich analiz należy wskazać</w:t>
      </w:r>
      <w:r w:rsidR="005D6D49" w:rsidRPr="00DE2470">
        <w:rPr>
          <w:rFonts w:ascii="Times New Roman" w:eastAsia="Times New Roman" w:hAnsi="Times New Roman" w:cs="Times New Roman"/>
          <w:sz w:val="26"/>
          <w:szCs w:val="26"/>
        </w:rPr>
        <w:t>,</w:t>
      </w:r>
      <w:r w:rsidR="006C5354" w:rsidRPr="00DE2470">
        <w:rPr>
          <w:rFonts w:ascii="Times New Roman" w:eastAsia="Times New Roman" w:hAnsi="Times New Roman" w:cs="Times New Roman"/>
          <w:sz w:val="26"/>
          <w:szCs w:val="26"/>
        </w:rPr>
        <w:t xml:space="preserve"> że ubytek ziemi nie dotyczył wszystkich RSP</w:t>
      </w:r>
      <w:r w:rsidR="00854F17" w:rsidRPr="00DE2470">
        <w:rPr>
          <w:rFonts w:ascii="Times New Roman" w:eastAsia="Times New Roman" w:hAnsi="Times New Roman" w:cs="Times New Roman"/>
          <w:sz w:val="26"/>
          <w:szCs w:val="26"/>
        </w:rPr>
        <w:t>, choć spółdzielnie</w:t>
      </w:r>
      <w:r w:rsidR="005D6D49" w:rsidRPr="00DE2470">
        <w:rPr>
          <w:rFonts w:ascii="Times New Roman" w:eastAsia="Times New Roman" w:hAnsi="Times New Roman" w:cs="Times New Roman"/>
          <w:sz w:val="26"/>
          <w:szCs w:val="26"/>
        </w:rPr>
        <w:t>,</w:t>
      </w:r>
      <w:r w:rsidR="00854F17" w:rsidRPr="00DE2470">
        <w:rPr>
          <w:rFonts w:ascii="Times New Roman" w:eastAsia="Times New Roman" w:hAnsi="Times New Roman" w:cs="Times New Roman"/>
          <w:sz w:val="26"/>
          <w:szCs w:val="26"/>
        </w:rPr>
        <w:t xml:space="preserve"> w których ubyło w </w:t>
      </w:r>
      <w:r w:rsidR="00453DBD" w:rsidRPr="00DE2470">
        <w:rPr>
          <w:rFonts w:ascii="Times New Roman" w:eastAsia="Times New Roman" w:hAnsi="Times New Roman" w:cs="Times New Roman"/>
          <w:sz w:val="26"/>
          <w:szCs w:val="26"/>
        </w:rPr>
        <w:t>ciągu</w:t>
      </w:r>
      <w:r w:rsidR="00854F17" w:rsidRPr="00DE2470">
        <w:rPr>
          <w:rFonts w:ascii="Times New Roman" w:eastAsia="Times New Roman" w:hAnsi="Times New Roman" w:cs="Times New Roman"/>
          <w:sz w:val="26"/>
          <w:szCs w:val="26"/>
        </w:rPr>
        <w:t xml:space="preserve"> ostatnich dwóch lat gruntów</w:t>
      </w:r>
      <w:r w:rsidR="005D6D49" w:rsidRPr="00DE2470">
        <w:rPr>
          <w:rFonts w:ascii="Times New Roman" w:eastAsia="Times New Roman" w:hAnsi="Times New Roman" w:cs="Times New Roman"/>
          <w:sz w:val="26"/>
          <w:szCs w:val="26"/>
        </w:rPr>
        <w:t>,</w:t>
      </w:r>
      <w:r w:rsidR="00854F17" w:rsidRPr="00DE2470">
        <w:rPr>
          <w:rFonts w:ascii="Times New Roman" w:eastAsia="Times New Roman" w:hAnsi="Times New Roman" w:cs="Times New Roman"/>
          <w:sz w:val="26"/>
          <w:szCs w:val="26"/>
        </w:rPr>
        <w:t xml:space="preserve"> stanowiły niespełna połowę z analizowanej grupy (</w:t>
      </w:r>
      <w:r w:rsidR="00301D80" w:rsidRPr="00DE2470">
        <w:rPr>
          <w:rFonts w:ascii="Times New Roman" w:eastAsia="Times New Roman" w:hAnsi="Times New Roman" w:cs="Times New Roman"/>
          <w:sz w:val="26"/>
          <w:szCs w:val="26"/>
        </w:rPr>
        <w:t>4</w:t>
      </w:r>
      <w:r w:rsidR="005C0D6A" w:rsidRPr="00DE2470">
        <w:rPr>
          <w:rFonts w:ascii="Times New Roman" w:eastAsia="Times New Roman" w:hAnsi="Times New Roman" w:cs="Times New Roman"/>
          <w:sz w:val="26"/>
          <w:szCs w:val="26"/>
        </w:rPr>
        <w:t>9</w:t>
      </w:r>
      <w:r w:rsidR="00301D80" w:rsidRPr="00DE2470">
        <w:rPr>
          <w:rFonts w:ascii="Times New Roman" w:eastAsia="Times New Roman" w:hAnsi="Times New Roman" w:cs="Times New Roman"/>
          <w:sz w:val="26"/>
          <w:szCs w:val="26"/>
        </w:rPr>
        <w:t>%). Przeciętn</w:t>
      </w:r>
      <w:r w:rsidR="00BF28EE" w:rsidRPr="00DE2470">
        <w:rPr>
          <w:rFonts w:ascii="Times New Roman" w:eastAsia="Times New Roman" w:hAnsi="Times New Roman" w:cs="Times New Roman"/>
          <w:sz w:val="26"/>
          <w:szCs w:val="26"/>
        </w:rPr>
        <w:t>e</w:t>
      </w:r>
      <w:r w:rsidR="00301D80" w:rsidRPr="00DE2470">
        <w:rPr>
          <w:rFonts w:ascii="Times New Roman" w:eastAsia="Times New Roman" w:hAnsi="Times New Roman" w:cs="Times New Roman"/>
          <w:sz w:val="26"/>
          <w:szCs w:val="26"/>
        </w:rPr>
        <w:t xml:space="preserve"> </w:t>
      </w:r>
      <w:r w:rsidR="00BB6894" w:rsidRPr="00DE2470">
        <w:rPr>
          <w:rFonts w:ascii="Times New Roman" w:eastAsia="Times New Roman" w:hAnsi="Times New Roman" w:cs="Times New Roman"/>
          <w:sz w:val="26"/>
          <w:szCs w:val="26"/>
        </w:rPr>
        <w:t>zmniejszenie w grupie spół</w:t>
      </w:r>
      <w:r w:rsidR="005C0D6A" w:rsidRPr="00DE2470">
        <w:rPr>
          <w:rFonts w:ascii="Times New Roman" w:eastAsia="Times New Roman" w:hAnsi="Times New Roman" w:cs="Times New Roman"/>
          <w:sz w:val="26"/>
          <w:szCs w:val="26"/>
        </w:rPr>
        <w:t>dzielni</w:t>
      </w:r>
      <w:r w:rsidR="00BB6894" w:rsidRPr="00DE2470">
        <w:rPr>
          <w:rFonts w:ascii="Times New Roman" w:eastAsia="Times New Roman" w:hAnsi="Times New Roman" w:cs="Times New Roman"/>
          <w:sz w:val="26"/>
          <w:szCs w:val="26"/>
        </w:rPr>
        <w:t xml:space="preserve"> </w:t>
      </w:r>
      <w:r w:rsidR="00E30516" w:rsidRPr="00DE2470">
        <w:rPr>
          <w:rFonts w:ascii="Times New Roman" w:eastAsia="Times New Roman" w:hAnsi="Times New Roman" w:cs="Times New Roman"/>
          <w:sz w:val="26"/>
          <w:szCs w:val="26"/>
        </w:rPr>
        <w:t>redukuj</w:t>
      </w:r>
      <w:r w:rsidR="000C5139" w:rsidRPr="00DE2470">
        <w:rPr>
          <w:rFonts w:ascii="Times New Roman" w:eastAsia="Times New Roman" w:hAnsi="Times New Roman" w:cs="Times New Roman"/>
          <w:sz w:val="26"/>
          <w:szCs w:val="26"/>
        </w:rPr>
        <w:t>ą</w:t>
      </w:r>
      <w:r w:rsidR="00E30516" w:rsidRPr="00DE2470">
        <w:rPr>
          <w:rFonts w:ascii="Times New Roman" w:eastAsia="Times New Roman" w:hAnsi="Times New Roman" w:cs="Times New Roman"/>
          <w:sz w:val="26"/>
          <w:szCs w:val="26"/>
        </w:rPr>
        <w:t>cych</w:t>
      </w:r>
      <w:r w:rsidR="00BB6894" w:rsidRPr="00DE2470">
        <w:rPr>
          <w:rFonts w:ascii="Times New Roman" w:eastAsia="Times New Roman" w:hAnsi="Times New Roman" w:cs="Times New Roman"/>
          <w:sz w:val="26"/>
          <w:szCs w:val="26"/>
        </w:rPr>
        <w:t xml:space="preserve"> </w:t>
      </w:r>
      <w:r w:rsidR="005D6D49" w:rsidRPr="00DE2470">
        <w:rPr>
          <w:rFonts w:ascii="Times New Roman" w:eastAsia="Times New Roman" w:hAnsi="Times New Roman" w:cs="Times New Roman"/>
          <w:sz w:val="26"/>
          <w:szCs w:val="26"/>
        </w:rPr>
        <w:t>powierzchnię</w:t>
      </w:r>
      <w:r w:rsidR="00BB6894" w:rsidRPr="00DE2470">
        <w:rPr>
          <w:rFonts w:ascii="Times New Roman" w:eastAsia="Times New Roman" w:hAnsi="Times New Roman" w:cs="Times New Roman"/>
          <w:sz w:val="26"/>
          <w:szCs w:val="26"/>
        </w:rPr>
        <w:t xml:space="preserve"> w latach 201</w:t>
      </w:r>
      <w:r w:rsidR="005C0D6A" w:rsidRPr="00DE2470">
        <w:rPr>
          <w:rFonts w:ascii="Times New Roman" w:eastAsia="Times New Roman" w:hAnsi="Times New Roman" w:cs="Times New Roman"/>
          <w:sz w:val="26"/>
          <w:szCs w:val="26"/>
        </w:rPr>
        <w:t>5-2017</w:t>
      </w:r>
      <w:r w:rsidR="00301D80" w:rsidRPr="00DE2470">
        <w:rPr>
          <w:rFonts w:ascii="Times New Roman" w:eastAsia="Times New Roman" w:hAnsi="Times New Roman" w:cs="Times New Roman"/>
          <w:sz w:val="26"/>
          <w:szCs w:val="26"/>
        </w:rPr>
        <w:t xml:space="preserve"> </w:t>
      </w:r>
      <w:r w:rsidR="00453DBD" w:rsidRPr="00DE2470">
        <w:rPr>
          <w:rFonts w:ascii="Times New Roman" w:eastAsia="Times New Roman" w:hAnsi="Times New Roman" w:cs="Times New Roman"/>
          <w:sz w:val="26"/>
          <w:szCs w:val="26"/>
        </w:rPr>
        <w:t>to</w:t>
      </w:r>
      <w:r w:rsidR="00BB6894" w:rsidRPr="00DE2470">
        <w:rPr>
          <w:rFonts w:ascii="Times New Roman" w:eastAsia="Times New Roman" w:hAnsi="Times New Roman" w:cs="Times New Roman"/>
          <w:sz w:val="26"/>
          <w:szCs w:val="26"/>
        </w:rPr>
        <w:t xml:space="preserve"> </w:t>
      </w:r>
      <w:r w:rsidR="005C0D6A" w:rsidRPr="00DE2470">
        <w:rPr>
          <w:rFonts w:ascii="Times New Roman" w:eastAsia="Times New Roman" w:hAnsi="Times New Roman" w:cs="Times New Roman"/>
          <w:sz w:val="26"/>
          <w:szCs w:val="26"/>
        </w:rPr>
        <w:lastRenderedPageBreak/>
        <w:t>21,2</w:t>
      </w:r>
      <w:r w:rsidR="00BB6894" w:rsidRPr="00DE2470">
        <w:rPr>
          <w:rFonts w:ascii="Times New Roman" w:eastAsia="Times New Roman" w:hAnsi="Times New Roman" w:cs="Times New Roman"/>
          <w:sz w:val="26"/>
          <w:szCs w:val="26"/>
        </w:rPr>
        <w:t xml:space="preserve"> ha. Drug</w:t>
      </w:r>
      <w:r w:rsidR="00F81973" w:rsidRPr="00DE2470">
        <w:rPr>
          <w:rFonts w:ascii="Times New Roman" w:eastAsia="Times New Roman" w:hAnsi="Times New Roman" w:cs="Times New Roman"/>
          <w:sz w:val="26"/>
          <w:szCs w:val="26"/>
        </w:rPr>
        <w:t>ą</w:t>
      </w:r>
      <w:r w:rsidR="00BB6894" w:rsidRPr="00DE2470">
        <w:rPr>
          <w:rFonts w:ascii="Times New Roman" w:eastAsia="Times New Roman" w:hAnsi="Times New Roman" w:cs="Times New Roman"/>
          <w:sz w:val="26"/>
          <w:szCs w:val="26"/>
        </w:rPr>
        <w:t xml:space="preserve"> pod względem wielkości</w:t>
      </w:r>
      <w:r w:rsidR="00F81973" w:rsidRPr="00DE2470">
        <w:rPr>
          <w:rFonts w:ascii="Times New Roman" w:eastAsia="Times New Roman" w:hAnsi="Times New Roman" w:cs="Times New Roman"/>
          <w:sz w:val="26"/>
          <w:szCs w:val="26"/>
        </w:rPr>
        <w:t xml:space="preserve"> była</w:t>
      </w:r>
      <w:r w:rsidR="00BB6894" w:rsidRPr="00DE2470">
        <w:rPr>
          <w:rFonts w:ascii="Times New Roman" w:eastAsia="Times New Roman" w:hAnsi="Times New Roman" w:cs="Times New Roman"/>
          <w:sz w:val="26"/>
          <w:szCs w:val="26"/>
        </w:rPr>
        <w:t xml:space="preserve"> grupa </w:t>
      </w:r>
      <w:r w:rsidR="00F81973" w:rsidRPr="00DE2470">
        <w:rPr>
          <w:rFonts w:ascii="Times New Roman" w:eastAsia="Times New Roman" w:hAnsi="Times New Roman" w:cs="Times New Roman"/>
          <w:sz w:val="26"/>
          <w:szCs w:val="26"/>
        </w:rPr>
        <w:t>spółdzielni</w:t>
      </w:r>
      <w:r w:rsidR="00BB6894" w:rsidRPr="00DE2470">
        <w:rPr>
          <w:rFonts w:ascii="Times New Roman" w:eastAsia="Times New Roman" w:hAnsi="Times New Roman" w:cs="Times New Roman"/>
          <w:sz w:val="26"/>
          <w:szCs w:val="26"/>
        </w:rPr>
        <w:t xml:space="preserve"> </w:t>
      </w:r>
      <w:r w:rsidR="00F81973" w:rsidRPr="00DE2470">
        <w:rPr>
          <w:rFonts w:ascii="Times New Roman" w:eastAsia="Times New Roman" w:hAnsi="Times New Roman" w:cs="Times New Roman"/>
          <w:sz w:val="26"/>
          <w:szCs w:val="26"/>
        </w:rPr>
        <w:t>utrzymujących</w:t>
      </w:r>
      <w:r w:rsidR="001303E1" w:rsidRPr="00DE2470">
        <w:rPr>
          <w:rFonts w:ascii="Times New Roman" w:eastAsia="Times New Roman" w:hAnsi="Times New Roman" w:cs="Times New Roman"/>
          <w:sz w:val="26"/>
          <w:szCs w:val="26"/>
        </w:rPr>
        <w:t xml:space="preserve"> posiadany areał</w:t>
      </w:r>
      <w:r w:rsidR="00C07DE9" w:rsidRPr="00DE2470">
        <w:rPr>
          <w:rFonts w:ascii="Times New Roman" w:eastAsia="Times New Roman" w:hAnsi="Times New Roman" w:cs="Times New Roman"/>
          <w:sz w:val="26"/>
          <w:szCs w:val="26"/>
        </w:rPr>
        <w:t xml:space="preserve"> bez zmian</w:t>
      </w:r>
      <w:r w:rsidR="00EB77A9" w:rsidRPr="00DE2470">
        <w:rPr>
          <w:rFonts w:ascii="Times New Roman" w:eastAsia="Times New Roman" w:hAnsi="Times New Roman" w:cs="Times New Roman"/>
          <w:sz w:val="26"/>
          <w:szCs w:val="26"/>
        </w:rPr>
        <w:t>;</w:t>
      </w:r>
      <w:r w:rsidR="001303E1" w:rsidRPr="00DE2470">
        <w:rPr>
          <w:rFonts w:ascii="Times New Roman" w:eastAsia="Times New Roman" w:hAnsi="Times New Roman" w:cs="Times New Roman"/>
          <w:sz w:val="26"/>
          <w:szCs w:val="26"/>
        </w:rPr>
        <w:t xml:space="preserve"> w ostat</w:t>
      </w:r>
      <w:r w:rsidR="00BB6894" w:rsidRPr="00DE2470">
        <w:rPr>
          <w:rFonts w:ascii="Times New Roman" w:eastAsia="Times New Roman" w:hAnsi="Times New Roman" w:cs="Times New Roman"/>
          <w:sz w:val="26"/>
          <w:szCs w:val="26"/>
        </w:rPr>
        <w:t>nich 2 latach</w:t>
      </w:r>
      <w:r w:rsidR="00C07DE9" w:rsidRPr="00DE2470">
        <w:rPr>
          <w:rFonts w:ascii="Times New Roman" w:eastAsia="Times New Roman" w:hAnsi="Times New Roman" w:cs="Times New Roman"/>
          <w:sz w:val="26"/>
          <w:szCs w:val="26"/>
        </w:rPr>
        <w:t xml:space="preserve"> </w:t>
      </w:r>
      <w:r w:rsidR="00F81973" w:rsidRPr="00DE2470">
        <w:rPr>
          <w:rFonts w:ascii="Times New Roman" w:eastAsia="Times New Roman" w:hAnsi="Times New Roman" w:cs="Times New Roman"/>
          <w:sz w:val="26"/>
          <w:szCs w:val="26"/>
        </w:rPr>
        <w:t xml:space="preserve">stanowiły one </w:t>
      </w:r>
      <w:r w:rsidR="00BB6894" w:rsidRPr="00DE2470">
        <w:rPr>
          <w:rFonts w:ascii="Times New Roman" w:eastAsia="Times New Roman" w:hAnsi="Times New Roman" w:cs="Times New Roman"/>
          <w:sz w:val="26"/>
          <w:szCs w:val="26"/>
        </w:rPr>
        <w:t>3</w:t>
      </w:r>
      <w:r w:rsidR="003F24B0" w:rsidRPr="00DE2470">
        <w:rPr>
          <w:rFonts w:ascii="Times New Roman" w:eastAsia="Times New Roman" w:hAnsi="Times New Roman" w:cs="Times New Roman"/>
          <w:sz w:val="26"/>
          <w:szCs w:val="26"/>
        </w:rPr>
        <w:t>0</w:t>
      </w:r>
      <w:r w:rsidR="00974169" w:rsidRPr="00DE2470">
        <w:rPr>
          <w:rFonts w:ascii="Times New Roman" w:eastAsia="Times New Roman" w:hAnsi="Times New Roman" w:cs="Times New Roman"/>
          <w:sz w:val="26"/>
          <w:szCs w:val="26"/>
        </w:rPr>
        <w:t>%</w:t>
      </w:r>
      <w:r w:rsidR="00F81973" w:rsidRPr="00DE2470">
        <w:rPr>
          <w:rFonts w:ascii="Times New Roman" w:eastAsia="Times New Roman" w:hAnsi="Times New Roman" w:cs="Times New Roman"/>
          <w:sz w:val="26"/>
          <w:szCs w:val="26"/>
        </w:rPr>
        <w:t xml:space="preserve"> zbiorowości</w:t>
      </w:r>
      <w:r w:rsidR="00C07DE9" w:rsidRPr="00DE2470">
        <w:rPr>
          <w:rFonts w:ascii="Times New Roman" w:eastAsia="Times New Roman" w:hAnsi="Times New Roman" w:cs="Times New Roman"/>
          <w:sz w:val="26"/>
          <w:szCs w:val="26"/>
        </w:rPr>
        <w:t xml:space="preserve">. </w:t>
      </w:r>
      <w:r w:rsidR="00BB6894" w:rsidRPr="00DE2470">
        <w:rPr>
          <w:rFonts w:ascii="Times New Roman" w:eastAsia="Times New Roman" w:hAnsi="Times New Roman" w:cs="Times New Roman"/>
          <w:sz w:val="26"/>
          <w:szCs w:val="26"/>
        </w:rPr>
        <w:t>Zwyczajowo</w:t>
      </w:r>
      <w:r w:rsidR="00C07DE9" w:rsidRPr="00DE2470">
        <w:rPr>
          <w:rFonts w:ascii="Times New Roman" w:eastAsia="Times New Roman" w:hAnsi="Times New Roman" w:cs="Times New Roman"/>
          <w:sz w:val="26"/>
          <w:szCs w:val="26"/>
        </w:rPr>
        <w:t xml:space="preserve"> najmniejsz</w:t>
      </w:r>
      <w:r w:rsidR="00017EF5" w:rsidRPr="00DE2470">
        <w:rPr>
          <w:rFonts w:ascii="Times New Roman" w:eastAsia="Times New Roman" w:hAnsi="Times New Roman" w:cs="Times New Roman"/>
          <w:sz w:val="26"/>
          <w:szCs w:val="26"/>
        </w:rPr>
        <w:t>ą</w:t>
      </w:r>
      <w:r w:rsidR="00C07DE9" w:rsidRPr="00DE2470">
        <w:rPr>
          <w:rFonts w:ascii="Times New Roman" w:eastAsia="Times New Roman" w:hAnsi="Times New Roman" w:cs="Times New Roman"/>
          <w:sz w:val="26"/>
          <w:szCs w:val="26"/>
        </w:rPr>
        <w:t xml:space="preserve"> grup</w:t>
      </w:r>
      <w:r w:rsidR="00453DBD" w:rsidRPr="00DE2470">
        <w:rPr>
          <w:rFonts w:ascii="Times New Roman" w:eastAsia="Times New Roman" w:hAnsi="Times New Roman" w:cs="Times New Roman"/>
          <w:sz w:val="26"/>
          <w:szCs w:val="26"/>
        </w:rPr>
        <w:t>ę stanowiły</w:t>
      </w:r>
      <w:r w:rsidR="00C07DE9" w:rsidRPr="00DE2470">
        <w:rPr>
          <w:rFonts w:ascii="Times New Roman" w:eastAsia="Times New Roman" w:hAnsi="Times New Roman" w:cs="Times New Roman"/>
          <w:sz w:val="26"/>
          <w:szCs w:val="26"/>
        </w:rPr>
        <w:t xml:space="preserve"> jednostki r</w:t>
      </w:r>
      <w:r w:rsidR="00A54D45" w:rsidRPr="00DE2470">
        <w:rPr>
          <w:rFonts w:ascii="Times New Roman" w:eastAsia="Times New Roman" w:hAnsi="Times New Roman" w:cs="Times New Roman"/>
          <w:sz w:val="26"/>
          <w:szCs w:val="26"/>
        </w:rPr>
        <w:t>ozwojowe, w których powierzchni</w:t>
      </w:r>
      <w:r w:rsidR="00C07DE9" w:rsidRPr="00DE2470">
        <w:rPr>
          <w:rFonts w:ascii="Times New Roman" w:eastAsia="Times New Roman" w:hAnsi="Times New Roman" w:cs="Times New Roman"/>
          <w:sz w:val="26"/>
          <w:szCs w:val="26"/>
        </w:rPr>
        <w:t xml:space="preserve"> gruntów przybyło</w:t>
      </w:r>
      <w:r w:rsidR="00A54D45" w:rsidRPr="00DE2470">
        <w:rPr>
          <w:rFonts w:ascii="Times New Roman" w:eastAsia="Times New Roman" w:hAnsi="Times New Roman" w:cs="Times New Roman"/>
          <w:sz w:val="26"/>
          <w:szCs w:val="26"/>
        </w:rPr>
        <w:t>;</w:t>
      </w:r>
      <w:r w:rsidR="00C07DE9" w:rsidRPr="00DE2470">
        <w:rPr>
          <w:rFonts w:ascii="Times New Roman" w:eastAsia="Times New Roman" w:hAnsi="Times New Roman" w:cs="Times New Roman"/>
          <w:sz w:val="26"/>
          <w:szCs w:val="26"/>
        </w:rPr>
        <w:t xml:space="preserve"> w ostatnim okre</w:t>
      </w:r>
      <w:r w:rsidR="0028212D" w:rsidRPr="00DE2470">
        <w:rPr>
          <w:rFonts w:ascii="Times New Roman" w:eastAsia="Times New Roman" w:hAnsi="Times New Roman" w:cs="Times New Roman"/>
          <w:sz w:val="26"/>
          <w:szCs w:val="26"/>
        </w:rPr>
        <w:t>sie takich spół</w:t>
      </w:r>
      <w:r w:rsidR="003F24B0" w:rsidRPr="00DE2470">
        <w:rPr>
          <w:rFonts w:ascii="Times New Roman" w:eastAsia="Times New Roman" w:hAnsi="Times New Roman" w:cs="Times New Roman"/>
          <w:sz w:val="26"/>
          <w:szCs w:val="26"/>
        </w:rPr>
        <w:t xml:space="preserve">dzielni było </w:t>
      </w:r>
      <w:r w:rsidR="00BB6894" w:rsidRPr="00DE2470">
        <w:rPr>
          <w:rFonts w:ascii="Times New Roman" w:eastAsia="Times New Roman" w:hAnsi="Times New Roman" w:cs="Times New Roman"/>
          <w:sz w:val="26"/>
          <w:szCs w:val="26"/>
        </w:rPr>
        <w:t>2</w:t>
      </w:r>
      <w:r w:rsidR="003F24B0" w:rsidRPr="00DE2470">
        <w:rPr>
          <w:rFonts w:ascii="Times New Roman" w:eastAsia="Times New Roman" w:hAnsi="Times New Roman" w:cs="Times New Roman"/>
          <w:sz w:val="26"/>
          <w:szCs w:val="26"/>
        </w:rPr>
        <w:t>1%</w:t>
      </w:r>
      <w:r w:rsidR="00A54D45" w:rsidRPr="00DE2470">
        <w:rPr>
          <w:rFonts w:ascii="Times New Roman" w:eastAsia="Times New Roman" w:hAnsi="Times New Roman" w:cs="Times New Roman"/>
          <w:sz w:val="26"/>
          <w:szCs w:val="26"/>
        </w:rPr>
        <w:t>;</w:t>
      </w:r>
      <w:r w:rsidR="00974169" w:rsidRPr="00DE2470">
        <w:rPr>
          <w:rFonts w:ascii="Times New Roman" w:eastAsia="Times New Roman" w:hAnsi="Times New Roman" w:cs="Times New Roman"/>
          <w:sz w:val="26"/>
          <w:szCs w:val="26"/>
        </w:rPr>
        <w:t xml:space="preserve"> </w:t>
      </w:r>
      <w:r w:rsidR="0074428E" w:rsidRPr="00DE2470">
        <w:rPr>
          <w:rFonts w:ascii="Times New Roman" w:eastAsia="Times New Roman" w:hAnsi="Times New Roman" w:cs="Times New Roman"/>
          <w:sz w:val="26"/>
          <w:szCs w:val="26"/>
        </w:rPr>
        <w:t xml:space="preserve">przeciętne powiększenie </w:t>
      </w:r>
      <w:r w:rsidR="00BB6894" w:rsidRPr="00DE2470">
        <w:rPr>
          <w:rFonts w:ascii="Times New Roman" w:eastAsia="Times New Roman" w:hAnsi="Times New Roman" w:cs="Times New Roman"/>
          <w:sz w:val="26"/>
          <w:szCs w:val="26"/>
        </w:rPr>
        <w:t>w tej grupie w latach 201</w:t>
      </w:r>
      <w:r w:rsidR="003F24B0" w:rsidRPr="00DE2470">
        <w:rPr>
          <w:rFonts w:ascii="Times New Roman" w:eastAsia="Times New Roman" w:hAnsi="Times New Roman" w:cs="Times New Roman"/>
          <w:sz w:val="26"/>
          <w:szCs w:val="26"/>
        </w:rPr>
        <w:t>5</w:t>
      </w:r>
      <w:r w:rsidR="00BB6894" w:rsidRPr="00DE2470">
        <w:rPr>
          <w:rFonts w:ascii="Times New Roman" w:eastAsia="Times New Roman" w:hAnsi="Times New Roman" w:cs="Times New Roman"/>
          <w:sz w:val="26"/>
          <w:szCs w:val="26"/>
        </w:rPr>
        <w:t>-201</w:t>
      </w:r>
      <w:r w:rsidR="003F24B0" w:rsidRPr="00DE2470">
        <w:rPr>
          <w:rFonts w:ascii="Times New Roman" w:eastAsia="Times New Roman" w:hAnsi="Times New Roman" w:cs="Times New Roman"/>
          <w:sz w:val="26"/>
          <w:szCs w:val="26"/>
        </w:rPr>
        <w:t>7</w:t>
      </w:r>
      <w:r w:rsidR="00BB6894" w:rsidRPr="00DE2470">
        <w:rPr>
          <w:rFonts w:ascii="Times New Roman" w:eastAsia="Times New Roman" w:hAnsi="Times New Roman" w:cs="Times New Roman"/>
          <w:sz w:val="26"/>
          <w:szCs w:val="26"/>
        </w:rPr>
        <w:t xml:space="preserve"> wyniosło</w:t>
      </w:r>
      <w:r w:rsidR="0074428E" w:rsidRPr="00DE2470">
        <w:rPr>
          <w:rFonts w:ascii="Times New Roman" w:eastAsia="Times New Roman" w:hAnsi="Times New Roman" w:cs="Times New Roman"/>
          <w:sz w:val="26"/>
          <w:szCs w:val="26"/>
        </w:rPr>
        <w:t xml:space="preserve"> </w:t>
      </w:r>
      <w:r w:rsidR="003F24B0" w:rsidRPr="00DE2470">
        <w:rPr>
          <w:rFonts w:ascii="Times New Roman" w:eastAsia="Times New Roman" w:hAnsi="Times New Roman" w:cs="Times New Roman"/>
          <w:sz w:val="26"/>
          <w:szCs w:val="26"/>
        </w:rPr>
        <w:t>10,8</w:t>
      </w:r>
      <w:r w:rsidR="002F7DBA" w:rsidRPr="00DE2470">
        <w:rPr>
          <w:rFonts w:ascii="Times New Roman" w:eastAsia="Times New Roman" w:hAnsi="Times New Roman" w:cs="Times New Roman"/>
          <w:sz w:val="26"/>
          <w:szCs w:val="26"/>
        </w:rPr>
        <w:t xml:space="preserve"> ha</w:t>
      </w:r>
      <w:r w:rsidR="00974169" w:rsidRPr="00DE2470">
        <w:rPr>
          <w:rFonts w:ascii="Times New Roman" w:eastAsia="Times New Roman" w:hAnsi="Times New Roman" w:cs="Times New Roman"/>
          <w:sz w:val="26"/>
          <w:szCs w:val="26"/>
        </w:rPr>
        <w:t>.</w:t>
      </w:r>
    </w:p>
    <w:p w:rsidR="00F7712C" w:rsidRPr="00DE2470" w:rsidRDefault="004B6157" w:rsidP="00DE2470">
      <w:pPr>
        <w:spacing w:before="40" w:after="0" w:line="264" w:lineRule="auto"/>
        <w:ind w:firstLine="425"/>
        <w:jc w:val="both"/>
        <w:rPr>
          <w:rFonts w:ascii="Times New Roman" w:eastAsia="Times New Roman" w:hAnsi="Times New Roman" w:cs="Times New Roman"/>
          <w:sz w:val="26"/>
          <w:szCs w:val="26"/>
        </w:rPr>
      </w:pPr>
      <w:r w:rsidRPr="00DE2470">
        <w:rPr>
          <w:rFonts w:ascii="Times New Roman" w:eastAsia="Times New Roman" w:hAnsi="Times New Roman" w:cs="Times New Roman"/>
          <w:sz w:val="26"/>
          <w:szCs w:val="26"/>
        </w:rPr>
        <w:t>Jak już wspomniano mimo poprawy wyników w spółdzielniach nie prowadzono znacznych inwestycji</w:t>
      </w:r>
      <w:r w:rsidR="000C705C" w:rsidRPr="00DE2470">
        <w:rPr>
          <w:rFonts w:ascii="Times New Roman" w:eastAsia="Times New Roman" w:hAnsi="Times New Roman" w:cs="Times New Roman"/>
          <w:sz w:val="26"/>
          <w:szCs w:val="26"/>
        </w:rPr>
        <w:t>,</w:t>
      </w:r>
      <w:r w:rsidRPr="00DE2470">
        <w:rPr>
          <w:rFonts w:ascii="Times New Roman" w:eastAsia="Times New Roman" w:hAnsi="Times New Roman" w:cs="Times New Roman"/>
          <w:sz w:val="26"/>
          <w:szCs w:val="26"/>
        </w:rPr>
        <w:t xml:space="preserve"> w większości z nich poziom odpisów amortyzacyjnych był wyższy </w:t>
      </w:r>
      <w:r w:rsidR="00F81973" w:rsidRPr="00DE2470">
        <w:rPr>
          <w:rFonts w:ascii="Times New Roman" w:eastAsia="Times New Roman" w:hAnsi="Times New Roman" w:cs="Times New Roman"/>
          <w:sz w:val="26"/>
          <w:szCs w:val="26"/>
        </w:rPr>
        <w:t xml:space="preserve">niż </w:t>
      </w:r>
      <w:r w:rsidRPr="00DE2470">
        <w:rPr>
          <w:rFonts w:ascii="Times New Roman" w:eastAsia="Times New Roman" w:hAnsi="Times New Roman" w:cs="Times New Roman"/>
          <w:sz w:val="26"/>
          <w:szCs w:val="26"/>
        </w:rPr>
        <w:t>wartość</w:t>
      </w:r>
      <w:r w:rsidR="00F81973" w:rsidRPr="00DE2470">
        <w:rPr>
          <w:rFonts w:ascii="Times New Roman" w:eastAsia="Times New Roman" w:hAnsi="Times New Roman" w:cs="Times New Roman"/>
          <w:sz w:val="26"/>
          <w:szCs w:val="26"/>
        </w:rPr>
        <w:t xml:space="preserve"> zrealizowanych</w:t>
      </w:r>
      <w:r w:rsidRPr="00DE2470">
        <w:rPr>
          <w:rFonts w:ascii="Times New Roman" w:eastAsia="Times New Roman" w:hAnsi="Times New Roman" w:cs="Times New Roman"/>
          <w:sz w:val="26"/>
          <w:szCs w:val="26"/>
        </w:rPr>
        <w:t xml:space="preserve"> inwestycji. Szczegółowe dane dotyczące </w:t>
      </w:r>
      <w:r w:rsidR="00F81973" w:rsidRPr="00DE2470">
        <w:rPr>
          <w:rFonts w:ascii="Times New Roman" w:eastAsia="Times New Roman" w:hAnsi="Times New Roman" w:cs="Times New Roman"/>
          <w:sz w:val="26"/>
          <w:szCs w:val="26"/>
        </w:rPr>
        <w:t>tych relacji</w:t>
      </w:r>
      <w:r w:rsidRPr="00DE2470">
        <w:rPr>
          <w:rFonts w:ascii="Times New Roman" w:eastAsia="Times New Roman" w:hAnsi="Times New Roman" w:cs="Times New Roman"/>
          <w:sz w:val="26"/>
          <w:szCs w:val="26"/>
        </w:rPr>
        <w:t xml:space="preserve"> </w:t>
      </w:r>
      <w:r w:rsidR="00BA21E8" w:rsidRPr="00DE2470">
        <w:rPr>
          <w:rFonts w:ascii="Times New Roman" w:eastAsia="Times New Roman" w:hAnsi="Times New Roman" w:cs="Times New Roman"/>
          <w:sz w:val="26"/>
          <w:szCs w:val="26"/>
        </w:rPr>
        <w:t>wykazał</w:t>
      </w:r>
      <w:r w:rsidRPr="00DE2470">
        <w:rPr>
          <w:rFonts w:ascii="Times New Roman" w:eastAsia="Times New Roman" w:hAnsi="Times New Roman" w:cs="Times New Roman"/>
          <w:sz w:val="26"/>
          <w:szCs w:val="26"/>
        </w:rPr>
        <w:t>y</w:t>
      </w:r>
      <w:r w:rsidR="0075102D" w:rsidRPr="00DE2470">
        <w:rPr>
          <w:rFonts w:ascii="Times New Roman" w:eastAsia="Times New Roman" w:hAnsi="Times New Roman" w:cs="Times New Roman"/>
          <w:sz w:val="26"/>
          <w:szCs w:val="26"/>
        </w:rPr>
        <w:t xml:space="preserve">, że </w:t>
      </w:r>
      <w:r w:rsidR="000C2B71" w:rsidRPr="00DE2470">
        <w:rPr>
          <w:rFonts w:ascii="Times New Roman" w:eastAsia="Times New Roman" w:hAnsi="Times New Roman" w:cs="Times New Roman"/>
          <w:sz w:val="26"/>
          <w:szCs w:val="26"/>
        </w:rPr>
        <w:t xml:space="preserve">w ciągu ostatnich 3 lat </w:t>
      </w:r>
      <w:r w:rsidR="001E22E9" w:rsidRPr="00DE2470">
        <w:rPr>
          <w:rFonts w:ascii="Times New Roman" w:eastAsia="Times New Roman" w:hAnsi="Times New Roman" w:cs="Times New Roman"/>
          <w:sz w:val="26"/>
          <w:szCs w:val="26"/>
        </w:rPr>
        <w:t>9</w:t>
      </w:r>
      <w:r w:rsidR="00073E5C" w:rsidRPr="00DE2470">
        <w:rPr>
          <w:rFonts w:ascii="Times New Roman" w:eastAsia="Times New Roman" w:hAnsi="Times New Roman" w:cs="Times New Roman"/>
          <w:sz w:val="26"/>
          <w:szCs w:val="26"/>
        </w:rPr>
        <w:t>%</w:t>
      </w:r>
      <w:r w:rsidR="000151DB" w:rsidRPr="00DE2470">
        <w:rPr>
          <w:rFonts w:ascii="Times New Roman" w:eastAsia="Times New Roman" w:hAnsi="Times New Roman" w:cs="Times New Roman"/>
          <w:sz w:val="26"/>
          <w:szCs w:val="26"/>
        </w:rPr>
        <w:t xml:space="preserve"> </w:t>
      </w:r>
      <w:r w:rsidR="00F81973" w:rsidRPr="00DE2470">
        <w:rPr>
          <w:rFonts w:ascii="Times New Roman" w:eastAsia="Times New Roman" w:hAnsi="Times New Roman" w:cs="Times New Roman"/>
          <w:sz w:val="26"/>
          <w:szCs w:val="26"/>
        </w:rPr>
        <w:t>zbiorowości spółdzielni</w:t>
      </w:r>
      <w:r w:rsidR="00B465C1" w:rsidRPr="00DE2470">
        <w:rPr>
          <w:rFonts w:ascii="Times New Roman" w:eastAsia="Times New Roman" w:hAnsi="Times New Roman" w:cs="Times New Roman"/>
          <w:sz w:val="26"/>
          <w:szCs w:val="26"/>
        </w:rPr>
        <w:t xml:space="preserve"> nie </w:t>
      </w:r>
      <w:r w:rsidR="001E22E9" w:rsidRPr="00DE2470">
        <w:rPr>
          <w:rFonts w:ascii="Times New Roman" w:eastAsia="Times New Roman" w:hAnsi="Times New Roman" w:cs="Times New Roman"/>
          <w:sz w:val="26"/>
          <w:szCs w:val="26"/>
        </w:rPr>
        <w:t>prowadziła żadnych inwestycji</w:t>
      </w:r>
      <w:r w:rsidR="00073E5C" w:rsidRPr="00DE2470">
        <w:rPr>
          <w:rFonts w:ascii="Times New Roman" w:eastAsia="Times New Roman" w:hAnsi="Times New Roman" w:cs="Times New Roman"/>
          <w:sz w:val="26"/>
          <w:szCs w:val="26"/>
        </w:rPr>
        <w:t xml:space="preserve">. Dalsze </w:t>
      </w:r>
      <w:r w:rsidRPr="00DE2470">
        <w:rPr>
          <w:rFonts w:ascii="Times New Roman" w:eastAsia="Times New Roman" w:hAnsi="Times New Roman" w:cs="Times New Roman"/>
          <w:sz w:val="26"/>
          <w:szCs w:val="26"/>
        </w:rPr>
        <w:t>35</w:t>
      </w:r>
      <w:r w:rsidR="00073E5C" w:rsidRPr="00DE2470">
        <w:rPr>
          <w:rFonts w:ascii="Times New Roman" w:eastAsia="Times New Roman" w:hAnsi="Times New Roman" w:cs="Times New Roman"/>
          <w:sz w:val="26"/>
          <w:szCs w:val="26"/>
        </w:rPr>
        <w:t>%</w:t>
      </w:r>
      <w:r w:rsidR="001E22E9" w:rsidRPr="00DE2470">
        <w:rPr>
          <w:rFonts w:ascii="Times New Roman" w:eastAsia="Times New Roman" w:hAnsi="Times New Roman" w:cs="Times New Roman"/>
          <w:sz w:val="26"/>
          <w:szCs w:val="26"/>
        </w:rPr>
        <w:t xml:space="preserve"> zbiorowości w tym okresie przeprowadziło jedynie </w:t>
      </w:r>
      <w:r w:rsidR="0075102D" w:rsidRPr="00DE2470">
        <w:rPr>
          <w:rFonts w:ascii="Times New Roman" w:eastAsia="Times New Roman" w:hAnsi="Times New Roman" w:cs="Times New Roman"/>
          <w:sz w:val="26"/>
          <w:szCs w:val="26"/>
        </w:rPr>
        <w:t>inwestycje na niewielk</w:t>
      </w:r>
      <w:r w:rsidR="001A635C" w:rsidRPr="00DE2470">
        <w:rPr>
          <w:rFonts w:ascii="Times New Roman" w:eastAsia="Times New Roman" w:hAnsi="Times New Roman" w:cs="Times New Roman"/>
          <w:sz w:val="26"/>
          <w:szCs w:val="26"/>
        </w:rPr>
        <w:t>ą</w:t>
      </w:r>
      <w:r w:rsidR="0075102D" w:rsidRPr="00DE2470">
        <w:rPr>
          <w:rFonts w:ascii="Times New Roman" w:eastAsia="Times New Roman" w:hAnsi="Times New Roman" w:cs="Times New Roman"/>
          <w:sz w:val="26"/>
          <w:szCs w:val="26"/>
        </w:rPr>
        <w:t xml:space="preserve"> skalę</w:t>
      </w:r>
      <w:r w:rsidR="001E22E9" w:rsidRPr="00DE2470">
        <w:rPr>
          <w:rFonts w:ascii="Times New Roman" w:eastAsia="Times New Roman" w:hAnsi="Times New Roman" w:cs="Times New Roman"/>
          <w:sz w:val="26"/>
          <w:szCs w:val="26"/>
        </w:rPr>
        <w:t xml:space="preserve">. Nieco </w:t>
      </w:r>
      <w:r w:rsidRPr="00DE2470">
        <w:rPr>
          <w:rFonts w:ascii="Times New Roman" w:eastAsia="Times New Roman" w:hAnsi="Times New Roman" w:cs="Times New Roman"/>
          <w:sz w:val="26"/>
          <w:szCs w:val="26"/>
        </w:rPr>
        <w:t>mniejsza</w:t>
      </w:r>
      <w:r w:rsidR="00453DBD" w:rsidRPr="00DE2470">
        <w:rPr>
          <w:rFonts w:ascii="Times New Roman" w:eastAsia="Times New Roman" w:hAnsi="Times New Roman" w:cs="Times New Roman"/>
          <w:sz w:val="26"/>
          <w:szCs w:val="26"/>
        </w:rPr>
        <w:t>, gdyż</w:t>
      </w:r>
      <w:r w:rsidR="006972B9" w:rsidRPr="00DE2470">
        <w:rPr>
          <w:rFonts w:ascii="Times New Roman" w:eastAsia="Times New Roman" w:hAnsi="Times New Roman" w:cs="Times New Roman"/>
          <w:sz w:val="26"/>
          <w:szCs w:val="26"/>
        </w:rPr>
        <w:t xml:space="preserve"> stanowiąca</w:t>
      </w:r>
      <w:r w:rsidRPr="00DE2470">
        <w:rPr>
          <w:rFonts w:ascii="Times New Roman" w:eastAsia="Times New Roman" w:hAnsi="Times New Roman" w:cs="Times New Roman"/>
          <w:sz w:val="26"/>
          <w:szCs w:val="26"/>
        </w:rPr>
        <w:t xml:space="preserve"> 27</w:t>
      </w:r>
      <w:r w:rsidR="006972B9" w:rsidRPr="00DE2470">
        <w:rPr>
          <w:rFonts w:ascii="Times New Roman" w:eastAsia="Times New Roman" w:hAnsi="Times New Roman" w:cs="Times New Roman"/>
          <w:sz w:val="26"/>
          <w:szCs w:val="26"/>
        </w:rPr>
        <w:t>%</w:t>
      </w:r>
      <w:r w:rsidR="001E22E9" w:rsidRPr="00DE2470">
        <w:rPr>
          <w:rFonts w:ascii="Times New Roman" w:eastAsia="Times New Roman" w:hAnsi="Times New Roman" w:cs="Times New Roman"/>
          <w:sz w:val="26"/>
          <w:szCs w:val="26"/>
        </w:rPr>
        <w:t xml:space="preserve"> </w:t>
      </w:r>
      <w:r w:rsidR="00453DBD" w:rsidRPr="00DE2470">
        <w:rPr>
          <w:rFonts w:ascii="Times New Roman" w:eastAsia="Times New Roman" w:hAnsi="Times New Roman" w:cs="Times New Roman"/>
          <w:sz w:val="26"/>
          <w:szCs w:val="26"/>
        </w:rPr>
        <w:t>była grupa</w:t>
      </w:r>
      <w:r w:rsidR="00F81973" w:rsidRPr="00DE2470">
        <w:rPr>
          <w:rFonts w:ascii="Times New Roman" w:eastAsia="Times New Roman" w:hAnsi="Times New Roman" w:cs="Times New Roman"/>
          <w:sz w:val="26"/>
          <w:szCs w:val="26"/>
        </w:rPr>
        <w:t xml:space="preserve"> RSP</w:t>
      </w:r>
      <w:r w:rsidR="00453DBD" w:rsidRPr="00DE2470">
        <w:rPr>
          <w:rFonts w:ascii="Times New Roman" w:eastAsia="Times New Roman" w:hAnsi="Times New Roman" w:cs="Times New Roman"/>
          <w:sz w:val="26"/>
          <w:szCs w:val="26"/>
        </w:rPr>
        <w:t>,</w:t>
      </w:r>
      <w:r w:rsidR="006972B9" w:rsidRPr="00DE2470">
        <w:rPr>
          <w:rFonts w:ascii="Times New Roman" w:eastAsia="Times New Roman" w:hAnsi="Times New Roman" w:cs="Times New Roman"/>
          <w:sz w:val="26"/>
          <w:szCs w:val="26"/>
        </w:rPr>
        <w:t xml:space="preserve"> </w:t>
      </w:r>
      <w:r w:rsidR="001E22E9" w:rsidRPr="00DE2470">
        <w:rPr>
          <w:rFonts w:ascii="Times New Roman" w:eastAsia="Times New Roman" w:hAnsi="Times New Roman" w:cs="Times New Roman"/>
          <w:sz w:val="26"/>
          <w:szCs w:val="26"/>
        </w:rPr>
        <w:t xml:space="preserve">która prowadziła </w:t>
      </w:r>
      <w:r w:rsidR="006972B9" w:rsidRPr="00DE2470">
        <w:rPr>
          <w:rFonts w:ascii="Times New Roman" w:eastAsia="Times New Roman" w:hAnsi="Times New Roman" w:cs="Times New Roman"/>
          <w:sz w:val="26"/>
          <w:szCs w:val="26"/>
        </w:rPr>
        <w:t xml:space="preserve">inwestycje na nieco większą skalę, </w:t>
      </w:r>
      <w:r w:rsidR="00453DBD" w:rsidRPr="00DE2470">
        <w:rPr>
          <w:rFonts w:ascii="Times New Roman" w:eastAsia="Times New Roman" w:hAnsi="Times New Roman" w:cs="Times New Roman"/>
          <w:sz w:val="26"/>
          <w:szCs w:val="26"/>
        </w:rPr>
        <w:t xml:space="preserve">choć </w:t>
      </w:r>
      <w:r w:rsidR="00C911FD" w:rsidRPr="00DE2470">
        <w:rPr>
          <w:rFonts w:ascii="Times New Roman" w:eastAsia="Times New Roman" w:hAnsi="Times New Roman" w:cs="Times New Roman"/>
          <w:sz w:val="26"/>
          <w:szCs w:val="26"/>
        </w:rPr>
        <w:t>nieprzekraczającą</w:t>
      </w:r>
      <w:r w:rsidR="001E22E9" w:rsidRPr="00DE2470">
        <w:rPr>
          <w:rFonts w:ascii="Times New Roman" w:eastAsia="Times New Roman" w:hAnsi="Times New Roman" w:cs="Times New Roman"/>
          <w:sz w:val="26"/>
          <w:szCs w:val="26"/>
        </w:rPr>
        <w:t xml:space="preserve"> jednak poziomu amortyzacji (stopa inwestycji 50-99%)</w:t>
      </w:r>
      <w:r w:rsidR="006972B9" w:rsidRPr="00DE2470">
        <w:rPr>
          <w:rFonts w:ascii="Times New Roman" w:eastAsia="Times New Roman" w:hAnsi="Times New Roman" w:cs="Times New Roman"/>
          <w:sz w:val="26"/>
          <w:szCs w:val="26"/>
        </w:rPr>
        <w:t>.</w:t>
      </w:r>
      <w:r w:rsidR="001E22E9" w:rsidRPr="00DE2470">
        <w:rPr>
          <w:rFonts w:ascii="Times New Roman" w:eastAsia="Times New Roman" w:hAnsi="Times New Roman" w:cs="Times New Roman"/>
          <w:sz w:val="26"/>
          <w:szCs w:val="26"/>
        </w:rPr>
        <w:t xml:space="preserve"> </w:t>
      </w:r>
      <w:r w:rsidRPr="00DE2470">
        <w:rPr>
          <w:rFonts w:ascii="Times New Roman" w:eastAsia="Times New Roman" w:hAnsi="Times New Roman" w:cs="Times New Roman"/>
          <w:sz w:val="26"/>
          <w:szCs w:val="26"/>
        </w:rPr>
        <w:t>Grupa RSP, któr</w:t>
      </w:r>
      <w:r w:rsidR="00F81973" w:rsidRPr="00DE2470">
        <w:rPr>
          <w:rFonts w:ascii="Times New Roman" w:eastAsia="Times New Roman" w:hAnsi="Times New Roman" w:cs="Times New Roman"/>
          <w:sz w:val="26"/>
          <w:szCs w:val="26"/>
        </w:rPr>
        <w:t>a</w:t>
      </w:r>
      <w:r w:rsidRPr="00DE2470">
        <w:rPr>
          <w:rFonts w:ascii="Times New Roman" w:eastAsia="Times New Roman" w:hAnsi="Times New Roman" w:cs="Times New Roman"/>
          <w:sz w:val="26"/>
          <w:szCs w:val="26"/>
        </w:rPr>
        <w:t xml:space="preserve"> wykazywał</w:t>
      </w:r>
      <w:r w:rsidR="00F81973" w:rsidRPr="00DE2470">
        <w:rPr>
          <w:rFonts w:ascii="Times New Roman" w:eastAsia="Times New Roman" w:hAnsi="Times New Roman" w:cs="Times New Roman"/>
          <w:sz w:val="26"/>
          <w:szCs w:val="26"/>
        </w:rPr>
        <w:t>a</w:t>
      </w:r>
      <w:r w:rsidRPr="00DE2470">
        <w:rPr>
          <w:rFonts w:ascii="Times New Roman" w:eastAsia="Times New Roman" w:hAnsi="Times New Roman" w:cs="Times New Roman"/>
          <w:sz w:val="26"/>
          <w:szCs w:val="26"/>
        </w:rPr>
        <w:t xml:space="preserve"> rozszerzony stopień reprodukcji majątku</w:t>
      </w:r>
      <w:r w:rsidR="006972B9" w:rsidRPr="00DE2470">
        <w:rPr>
          <w:rFonts w:ascii="Times New Roman" w:eastAsia="Times New Roman" w:hAnsi="Times New Roman" w:cs="Times New Roman"/>
          <w:sz w:val="26"/>
          <w:szCs w:val="26"/>
        </w:rPr>
        <w:t xml:space="preserve"> </w:t>
      </w:r>
      <w:r w:rsidRPr="00DE2470">
        <w:rPr>
          <w:rFonts w:ascii="Times New Roman" w:eastAsia="Times New Roman" w:hAnsi="Times New Roman" w:cs="Times New Roman"/>
          <w:sz w:val="26"/>
          <w:szCs w:val="26"/>
        </w:rPr>
        <w:t>stanowił</w:t>
      </w:r>
      <w:r w:rsidR="00F81973" w:rsidRPr="00DE2470">
        <w:rPr>
          <w:rFonts w:ascii="Times New Roman" w:eastAsia="Times New Roman" w:hAnsi="Times New Roman" w:cs="Times New Roman"/>
          <w:sz w:val="26"/>
          <w:szCs w:val="26"/>
        </w:rPr>
        <w:t>a</w:t>
      </w:r>
      <w:r w:rsidRPr="00DE2470">
        <w:rPr>
          <w:rFonts w:ascii="Times New Roman" w:eastAsia="Times New Roman" w:hAnsi="Times New Roman" w:cs="Times New Roman"/>
          <w:sz w:val="26"/>
          <w:szCs w:val="26"/>
        </w:rPr>
        <w:t xml:space="preserve"> 29%</w:t>
      </w:r>
      <w:r w:rsidR="00086E06" w:rsidRPr="00DE2470">
        <w:rPr>
          <w:rFonts w:ascii="Times New Roman" w:eastAsia="Times New Roman" w:hAnsi="Times New Roman" w:cs="Times New Roman"/>
          <w:sz w:val="26"/>
          <w:szCs w:val="26"/>
        </w:rPr>
        <w:t>.</w:t>
      </w:r>
      <w:r w:rsidR="006972B9" w:rsidRPr="00DE2470">
        <w:rPr>
          <w:rFonts w:ascii="Times New Roman" w:eastAsia="Times New Roman" w:hAnsi="Times New Roman" w:cs="Times New Roman"/>
          <w:sz w:val="26"/>
          <w:szCs w:val="26"/>
        </w:rPr>
        <w:t xml:space="preserve"> </w:t>
      </w:r>
      <w:r w:rsidR="00706529" w:rsidRPr="00DE2470">
        <w:rPr>
          <w:rFonts w:ascii="Times New Roman" w:eastAsia="Times New Roman" w:hAnsi="Times New Roman" w:cs="Times New Roman"/>
          <w:sz w:val="26"/>
          <w:szCs w:val="26"/>
        </w:rPr>
        <w:t>W ostatnim okresie spadła również skłonność spółdzielców do zawierania nowych umów leasingowych</w:t>
      </w:r>
      <w:r w:rsidR="00ED5584" w:rsidRPr="00DE2470">
        <w:rPr>
          <w:rFonts w:ascii="Times New Roman" w:eastAsia="Times New Roman" w:hAnsi="Times New Roman" w:cs="Times New Roman"/>
          <w:sz w:val="26"/>
          <w:szCs w:val="26"/>
        </w:rPr>
        <w:t>.</w:t>
      </w:r>
      <w:r w:rsidR="00706529" w:rsidRPr="00DE2470">
        <w:rPr>
          <w:rFonts w:ascii="Times New Roman" w:eastAsia="Times New Roman" w:hAnsi="Times New Roman" w:cs="Times New Roman"/>
          <w:sz w:val="26"/>
          <w:szCs w:val="26"/>
        </w:rPr>
        <w:t xml:space="preserve"> </w:t>
      </w:r>
      <w:r w:rsidR="00ED5584" w:rsidRPr="00DE2470">
        <w:rPr>
          <w:rFonts w:ascii="Times New Roman" w:eastAsia="Times New Roman" w:hAnsi="Times New Roman" w:cs="Times New Roman"/>
          <w:sz w:val="26"/>
          <w:szCs w:val="26"/>
        </w:rPr>
        <w:t>T</w:t>
      </w:r>
      <w:r w:rsidR="00F7712C" w:rsidRPr="00DE2470">
        <w:rPr>
          <w:rFonts w:ascii="Times New Roman" w:eastAsia="Times New Roman" w:hAnsi="Times New Roman" w:cs="Times New Roman"/>
          <w:sz w:val="26"/>
          <w:szCs w:val="26"/>
        </w:rPr>
        <w:t>en rodzaj finansowania inwestycji obecny był w</w:t>
      </w:r>
      <w:r w:rsidR="004A46F9" w:rsidRPr="00DE2470">
        <w:rPr>
          <w:rFonts w:ascii="Times New Roman" w:eastAsia="Times New Roman" w:hAnsi="Times New Roman" w:cs="Times New Roman"/>
          <w:sz w:val="26"/>
          <w:szCs w:val="26"/>
        </w:rPr>
        <w:t xml:space="preserve"> </w:t>
      </w:r>
      <w:r w:rsidR="006972B9" w:rsidRPr="00DE2470">
        <w:rPr>
          <w:rFonts w:ascii="Times New Roman" w:eastAsia="Times New Roman" w:hAnsi="Times New Roman" w:cs="Times New Roman"/>
          <w:sz w:val="26"/>
          <w:szCs w:val="26"/>
        </w:rPr>
        <w:t>latach 201</w:t>
      </w:r>
      <w:r w:rsidRPr="00DE2470">
        <w:rPr>
          <w:rFonts w:ascii="Times New Roman" w:eastAsia="Times New Roman" w:hAnsi="Times New Roman" w:cs="Times New Roman"/>
          <w:sz w:val="26"/>
          <w:szCs w:val="26"/>
        </w:rPr>
        <w:t>5</w:t>
      </w:r>
      <w:r w:rsidR="006972B9" w:rsidRPr="00DE2470">
        <w:rPr>
          <w:rFonts w:ascii="Times New Roman" w:eastAsia="Times New Roman" w:hAnsi="Times New Roman" w:cs="Times New Roman"/>
          <w:sz w:val="26"/>
          <w:szCs w:val="26"/>
        </w:rPr>
        <w:t>-201</w:t>
      </w:r>
      <w:r w:rsidRPr="00DE2470">
        <w:rPr>
          <w:rFonts w:ascii="Times New Roman" w:eastAsia="Times New Roman" w:hAnsi="Times New Roman" w:cs="Times New Roman"/>
          <w:sz w:val="26"/>
          <w:szCs w:val="26"/>
        </w:rPr>
        <w:t>7</w:t>
      </w:r>
      <w:r w:rsidR="006972B9" w:rsidRPr="00DE2470">
        <w:rPr>
          <w:rFonts w:ascii="Times New Roman" w:eastAsia="Times New Roman" w:hAnsi="Times New Roman" w:cs="Times New Roman"/>
          <w:sz w:val="26"/>
          <w:szCs w:val="26"/>
        </w:rPr>
        <w:t xml:space="preserve"> </w:t>
      </w:r>
      <w:r w:rsidR="00073E5C" w:rsidRPr="00DE2470">
        <w:rPr>
          <w:rFonts w:ascii="Times New Roman" w:eastAsia="Times New Roman" w:hAnsi="Times New Roman" w:cs="Times New Roman"/>
          <w:sz w:val="26"/>
          <w:szCs w:val="26"/>
        </w:rPr>
        <w:t>w</w:t>
      </w:r>
      <w:r w:rsidR="00706529" w:rsidRPr="00DE2470">
        <w:rPr>
          <w:rFonts w:ascii="Times New Roman" w:eastAsia="Times New Roman" w:hAnsi="Times New Roman" w:cs="Times New Roman"/>
          <w:sz w:val="26"/>
          <w:szCs w:val="26"/>
        </w:rPr>
        <w:t xml:space="preserve"> 4</w:t>
      </w:r>
      <w:r w:rsidR="006972B9" w:rsidRPr="00DE2470">
        <w:rPr>
          <w:rFonts w:ascii="Times New Roman" w:eastAsia="Times New Roman" w:hAnsi="Times New Roman" w:cs="Times New Roman"/>
          <w:sz w:val="26"/>
          <w:szCs w:val="26"/>
        </w:rPr>
        <w:t xml:space="preserve"> RSP</w:t>
      </w:r>
      <w:r w:rsidR="00ED5584" w:rsidRPr="00DE2470">
        <w:rPr>
          <w:rFonts w:ascii="Times New Roman" w:eastAsia="Times New Roman" w:hAnsi="Times New Roman" w:cs="Times New Roman"/>
          <w:sz w:val="26"/>
          <w:szCs w:val="26"/>
        </w:rPr>
        <w:t xml:space="preserve"> </w:t>
      </w:r>
      <w:r w:rsidR="00706529" w:rsidRPr="00DE2470">
        <w:rPr>
          <w:rFonts w:ascii="Times New Roman" w:eastAsia="Times New Roman" w:hAnsi="Times New Roman" w:cs="Times New Roman"/>
          <w:sz w:val="26"/>
          <w:szCs w:val="26"/>
        </w:rPr>
        <w:t>(wobec 10 w latach 2014-2016).</w:t>
      </w:r>
    </w:p>
    <w:p w:rsidR="007E7F33" w:rsidRPr="00DE2470" w:rsidRDefault="00A917FB" w:rsidP="00DE2470">
      <w:pPr>
        <w:spacing w:before="40" w:after="0" w:line="264" w:lineRule="auto"/>
        <w:ind w:firstLine="425"/>
        <w:jc w:val="both"/>
        <w:rPr>
          <w:rFonts w:ascii="Times New Roman" w:eastAsia="Times New Roman" w:hAnsi="Times New Roman" w:cs="Times New Roman"/>
          <w:sz w:val="26"/>
          <w:szCs w:val="26"/>
        </w:rPr>
      </w:pPr>
      <w:r w:rsidRPr="00DE2470">
        <w:rPr>
          <w:rFonts w:ascii="Times New Roman" w:eastAsia="Times New Roman" w:hAnsi="Times New Roman" w:cs="Times New Roman"/>
          <w:sz w:val="26"/>
          <w:szCs w:val="26"/>
        </w:rPr>
        <w:t>Ż</w:t>
      </w:r>
      <w:r w:rsidR="00A3712B" w:rsidRPr="00DE2470">
        <w:rPr>
          <w:rFonts w:ascii="Times New Roman" w:eastAsia="Times New Roman" w:hAnsi="Times New Roman" w:cs="Times New Roman"/>
          <w:sz w:val="26"/>
          <w:szCs w:val="26"/>
        </w:rPr>
        <w:t xml:space="preserve">ywotność spółdzielni </w:t>
      </w:r>
      <w:r w:rsidRPr="00DE2470">
        <w:rPr>
          <w:rFonts w:ascii="Times New Roman" w:eastAsia="Times New Roman" w:hAnsi="Times New Roman" w:cs="Times New Roman"/>
          <w:sz w:val="26"/>
          <w:szCs w:val="26"/>
        </w:rPr>
        <w:t>od wielu lat charakteryzowana jest przez</w:t>
      </w:r>
      <w:r w:rsidR="00A3712B" w:rsidRPr="00DE2470">
        <w:rPr>
          <w:rFonts w:ascii="Times New Roman" w:eastAsia="Times New Roman" w:hAnsi="Times New Roman" w:cs="Times New Roman"/>
          <w:sz w:val="26"/>
          <w:szCs w:val="26"/>
        </w:rPr>
        <w:t xml:space="preserve"> </w:t>
      </w:r>
      <w:r w:rsidR="007E7F33" w:rsidRPr="00DE2470">
        <w:rPr>
          <w:rFonts w:ascii="Times New Roman" w:eastAsia="Times New Roman" w:hAnsi="Times New Roman" w:cs="Times New Roman"/>
          <w:sz w:val="26"/>
          <w:szCs w:val="26"/>
        </w:rPr>
        <w:t>poziom opłaty</w:t>
      </w:r>
      <w:r w:rsidR="00B92FF7" w:rsidRPr="00DE2470">
        <w:rPr>
          <w:rFonts w:ascii="Times New Roman" w:eastAsia="Times New Roman" w:hAnsi="Times New Roman" w:cs="Times New Roman"/>
          <w:sz w:val="26"/>
          <w:szCs w:val="26"/>
        </w:rPr>
        <w:t xml:space="preserve"> pracy</w:t>
      </w:r>
      <w:r w:rsidR="007E7F33" w:rsidRPr="00DE2470">
        <w:rPr>
          <w:rFonts w:ascii="Times New Roman" w:eastAsia="Times New Roman" w:hAnsi="Times New Roman" w:cs="Times New Roman"/>
          <w:sz w:val="26"/>
          <w:szCs w:val="26"/>
        </w:rPr>
        <w:t xml:space="preserve"> własnej</w:t>
      </w:r>
      <w:r w:rsidR="00A3712B" w:rsidRPr="00DE2470">
        <w:rPr>
          <w:rFonts w:ascii="Times New Roman" w:eastAsia="Times New Roman" w:hAnsi="Times New Roman" w:cs="Times New Roman"/>
          <w:sz w:val="26"/>
          <w:szCs w:val="26"/>
        </w:rPr>
        <w:t xml:space="preserve"> ustalany przez jej</w:t>
      </w:r>
      <w:r w:rsidR="007E7F33" w:rsidRPr="00DE2470">
        <w:rPr>
          <w:rFonts w:ascii="Times New Roman" w:eastAsia="Times New Roman" w:hAnsi="Times New Roman" w:cs="Times New Roman"/>
          <w:sz w:val="26"/>
          <w:szCs w:val="26"/>
        </w:rPr>
        <w:t xml:space="preserve"> członków. </w:t>
      </w:r>
      <w:r w:rsidR="00A3712B" w:rsidRPr="00DE2470">
        <w:rPr>
          <w:rFonts w:ascii="Times New Roman" w:eastAsia="Times New Roman" w:hAnsi="Times New Roman" w:cs="Times New Roman"/>
          <w:sz w:val="26"/>
          <w:szCs w:val="26"/>
        </w:rPr>
        <w:t>W</w:t>
      </w:r>
      <w:r w:rsidR="007E7F33" w:rsidRPr="00DE2470">
        <w:rPr>
          <w:rFonts w:ascii="Times New Roman" w:eastAsia="Times New Roman" w:hAnsi="Times New Roman" w:cs="Times New Roman"/>
          <w:sz w:val="26"/>
          <w:szCs w:val="26"/>
        </w:rPr>
        <w:t xml:space="preserve"> </w:t>
      </w:r>
      <w:r w:rsidRPr="00DE2470">
        <w:rPr>
          <w:rFonts w:ascii="Times New Roman" w:eastAsia="Times New Roman" w:hAnsi="Times New Roman" w:cs="Times New Roman"/>
          <w:sz w:val="26"/>
          <w:szCs w:val="26"/>
        </w:rPr>
        <w:t>latach rosnącej koniunktury w rolnictwie</w:t>
      </w:r>
      <w:r w:rsidR="00F81973" w:rsidRPr="00DE2470">
        <w:rPr>
          <w:rFonts w:ascii="Times New Roman" w:eastAsia="Times New Roman" w:hAnsi="Times New Roman" w:cs="Times New Roman"/>
          <w:sz w:val="26"/>
          <w:szCs w:val="26"/>
        </w:rPr>
        <w:t xml:space="preserve"> obserwować można było</w:t>
      </w:r>
      <w:r w:rsidR="00A3712B" w:rsidRPr="00DE2470">
        <w:rPr>
          <w:rFonts w:ascii="Times New Roman" w:eastAsia="Times New Roman" w:hAnsi="Times New Roman" w:cs="Times New Roman"/>
          <w:sz w:val="26"/>
          <w:szCs w:val="26"/>
        </w:rPr>
        <w:t xml:space="preserve"> zwykle </w:t>
      </w:r>
      <w:r w:rsidR="007E7F33" w:rsidRPr="00DE2470">
        <w:rPr>
          <w:rFonts w:ascii="Times New Roman" w:eastAsia="Times New Roman" w:hAnsi="Times New Roman" w:cs="Times New Roman"/>
          <w:sz w:val="26"/>
          <w:szCs w:val="26"/>
        </w:rPr>
        <w:t>zwiększ</w:t>
      </w:r>
      <w:r w:rsidR="005A4CD9" w:rsidRPr="00DE2470">
        <w:rPr>
          <w:rFonts w:ascii="Times New Roman" w:eastAsia="Times New Roman" w:hAnsi="Times New Roman" w:cs="Times New Roman"/>
          <w:sz w:val="26"/>
          <w:szCs w:val="26"/>
        </w:rPr>
        <w:t>on</w:t>
      </w:r>
      <w:r w:rsidR="00215C75" w:rsidRPr="00DE2470">
        <w:rPr>
          <w:rFonts w:ascii="Times New Roman" w:eastAsia="Times New Roman" w:hAnsi="Times New Roman" w:cs="Times New Roman"/>
          <w:sz w:val="26"/>
          <w:szCs w:val="26"/>
        </w:rPr>
        <w:t>ą liczbę spółdzielni</w:t>
      </w:r>
      <w:r w:rsidR="00A21CCD" w:rsidRPr="00DE2470">
        <w:rPr>
          <w:rFonts w:ascii="Times New Roman" w:eastAsia="Times New Roman" w:hAnsi="Times New Roman" w:cs="Times New Roman"/>
          <w:sz w:val="26"/>
          <w:szCs w:val="26"/>
        </w:rPr>
        <w:t>,</w:t>
      </w:r>
      <w:r w:rsidR="007E7F33" w:rsidRPr="00DE2470">
        <w:rPr>
          <w:rFonts w:ascii="Times New Roman" w:eastAsia="Times New Roman" w:hAnsi="Times New Roman" w:cs="Times New Roman"/>
          <w:sz w:val="26"/>
          <w:szCs w:val="26"/>
        </w:rPr>
        <w:t xml:space="preserve"> </w:t>
      </w:r>
      <w:r w:rsidRPr="00DE2470">
        <w:rPr>
          <w:rFonts w:ascii="Times New Roman" w:eastAsia="Times New Roman" w:hAnsi="Times New Roman" w:cs="Times New Roman"/>
          <w:sz w:val="26"/>
          <w:szCs w:val="26"/>
        </w:rPr>
        <w:t>któr</w:t>
      </w:r>
      <w:r w:rsidR="009E7A3D" w:rsidRPr="00DE2470">
        <w:rPr>
          <w:rFonts w:ascii="Times New Roman" w:eastAsia="Times New Roman" w:hAnsi="Times New Roman" w:cs="Times New Roman"/>
          <w:sz w:val="26"/>
          <w:szCs w:val="26"/>
        </w:rPr>
        <w:t>ych członkowie zadowalali się poziomem wypracowanego dochodu</w:t>
      </w:r>
      <w:r w:rsidR="00215C75" w:rsidRPr="00DE2470">
        <w:rPr>
          <w:rFonts w:ascii="Times New Roman" w:eastAsia="Times New Roman" w:hAnsi="Times New Roman" w:cs="Times New Roman"/>
          <w:sz w:val="26"/>
          <w:szCs w:val="26"/>
        </w:rPr>
        <w:t xml:space="preserve">. </w:t>
      </w:r>
      <w:r w:rsidR="00A3712B" w:rsidRPr="00DE2470">
        <w:rPr>
          <w:rFonts w:ascii="Times New Roman" w:eastAsia="Times New Roman" w:hAnsi="Times New Roman" w:cs="Times New Roman"/>
          <w:sz w:val="26"/>
          <w:szCs w:val="26"/>
        </w:rPr>
        <w:t xml:space="preserve">Podobną prawidłowość </w:t>
      </w:r>
      <w:r w:rsidR="007D0EC6" w:rsidRPr="00DE2470">
        <w:rPr>
          <w:rFonts w:ascii="Times New Roman" w:eastAsia="Times New Roman" w:hAnsi="Times New Roman" w:cs="Times New Roman"/>
          <w:sz w:val="26"/>
          <w:szCs w:val="26"/>
        </w:rPr>
        <w:t>zaobserwowano</w:t>
      </w:r>
      <w:r w:rsidR="00A3712B" w:rsidRPr="00DE2470">
        <w:rPr>
          <w:rFonts w:ascii="Times New Roman" w:eastAsia="Times New Roman" w:hAnsi="Times New Roman" w:cs="Times New Roman"/>
          <w:sz w:val="26"/>
          <w:szCs w:val="26"/>
        </w:rPr>
        <w:t xml:space="preserve"> również w </w:t>
      </w:r>
      <w:r w:rsidRPr="00DE2470">
        <w:rPr>
          <w:rFonts w:ascii="Times New Roman" w:eastAsia="Times New Roman" w:hAnsi="Times New Roman" w:cs="Times New Roman"/>
          <w:sz w:val="26"/>
          <w:szCs w:val="26"/>
        </w:rPr>
        <w:t xml:space="preserve">2017 </w:t>
      </w:r>
      <w:r w:rsidR="00215C75" w:rsidRPr="00DE2470">
        <w:rPr>
          <w:rFonts w:ascii="Times New Roman" w:eastAsia="Times New Roman" w:hAnsi="Times New Roman" w:cs="Times New Roman"/>
          <w:sz w:val="26"/>
          <w:szCs w:val="26"/>
        </w:rPr>
        <w:t>r</w:t>
      </w:r>
      <w:r w:rsidR="00ED5584" w:rsidRPr="00DE2470">
        <w:rPr>
          <w:rFonts w:ascii="Times New Roman" w:eastAsia="Times New Roman" w:hAnsi="Times New Roman" w:cs="Times New Roman"/>
          <w:sz w:val="26"/>
          <w:szCs w:val="26"/>
        </w:rPr>
        <w:t>.</w:t>
      </w:r>
      <w:r w:rsidR="00215C75" w:rsidRPr="00DE2470">
        <w:rPr>
          <w:rFonts w:ascii="Times New Roman" w:eastAsia="Times New Roman" w:hAnsi="Times New Roman" w:cs="Times New Roman"/>
          <w:sz w:val="26"/>
          <w:szCs w:val="26"/>
        </w:rPr>
        <w:t xml:space="preserve"> </w:t>
      </w:r>
      <w:r w:rsidR="007D0EC6" w:rsidRPr="00DE2470">
        <w:rPr>
          <w:rFonts w:ascii="Times New Roman" w:eastAsia="Times New Roman" w:hAnsi="Times New Roman" w:cs="Times New Roman"/>
          <w:sz w:val="26"/>
          <w:szCs w:val="26"/>
        </w:rPr>
        <w:t>Według sprawozdań finansowych</w:t>
      </w:r>
      <w:r w:rsidR="00497032" w:rsidRPr="00DE2470">
        <w:rPr>
          <w:rFonts w:ascii="Times New Roman" w:eastAsia="Times New Roman" w:hAnsi="Times New Roman" w:cs="Times New Roman"/>
          <w:sz w:val="26"/>
          <w:szCs w:val="26"/>
        </w:rPr>
        <w:t>,</w:t>
      </w:r>
      <w:r w:rsidR="007D0EC6" w:rsidRPr="00DE2470">
        <w:rPr>
          <w:rFonts w:ascii="Times New Roman" w:eastAsia="Times New Roman" w:hAnsi="Times New Roman" w:cs="Times New Roman"/>
          <w:sz w:val="26"/>
          <w:szCs w:val="26"/>
        </w:rPr>
        <w:t xml:space="preserve"> </w:t>
      </w:r>
      <w:r w:rsidR="00215C75" w:rsidRPr="00DE2470">
        <w:rPr>
          <w:rFonts w:ascii="Times New Roman" w:eastAsia="Times New Roman" w:hAnsi="Times New Roman" w:cs="Times New Roman"/>
          <w:sz w:val="26"/>
          <w:szCs w:val="26"/>
        </w:rPr>
        <w:t>udział</w:t>
      </w:r>
      <w:r w:rsidR="007E7F33" w:rsidRPr="00DE2470">
        <w:rPr>
          <w:rFonts w:ascii="Times New Roman" w:eastAsia="Times New Roman" w:hAnsi="Times New Roman" w:cs="Times New Roman"/>
          <w:sz w:val="26"/>
          <w:szCs w:val="26"/>
        </w:rPr>
        <w:t xml:space="preserve"> spółdzielni „prz</w:t>
      </w:r>
      <w:r w:rsidR="00215C75" w:rsidRPr="00DE2470">
        <w:rPr>
          <w:rFonts w:ascii="Times New Roman" w:eastAsia="Times New Roman" w:hAnsi="Times New Roman" w:cs="Times New Roman"/>
          <w:sz w:val="26"/>
          <w:szCs w:val="26"/>
        </w:rPr>
        <w:t xml:space="preserve">ejadających majątek” </w:t>
      </w:r>
      <w:r w:rsidRPr="00DE2470">
        <w:rPr>
          <w:rFonts w:ascii="Times New Roman" w:eastAsia="Times New Roman" w:hAnsi="Times New Roman" w:cs="Times New Roman"/>
          <w:sz w:val="26"/>
          <w:szCs w:val="26"/>
        </w:rPr>
        <w:t>spadł z 20% w 2016</w:t>
      </w:r>
      <w:r w:rsidR="00ED5584" w:rsidRPr="00DE2470">
        <w:rPr>
          <w:rFonts w:ascii="Times New Roman" w:eastAsia="Times New Roman" w:hAnsi="Times New Roman" w:cs="Times New Roman"/>
          <w:sz w:val="26"/>
          <w:szCs w:val="26"/>
        </w:rPr>
        <w:t xml:space="preserve"> </w:t>
      </w:r>
      <w:r w:rsidRPr="00DE2470">
        <w:rPr>
          <w:rFonts w:ascii="Times New Roman" w:eastAsia="Times New Roman" w:hAnsi="Times New Roman" w:cs="Times New Roman"/>
          <w:sz w:val="26"/>
          <w:szCs w:val="26"/>
        </w:rPr>
        <w:t>r. do 18</w:t>
      </w:r>
      <w:r w:rsidR="00A21CCD" w:rsidRPr="00DE2470">
        <w:rPr>
          <w:rFonts w:ascii="Times New Roman" w:eastAsia="Times New Roman" w:hAnsi="Times New Roman" w:cs="Times New Roman"/>
          <w:sz w:val="26"/>
          <w:szCs w:val="26"/>
        </w:rPr>
        <w:t>%</w:t>
      </w:r>
      <w:r w:rsidRPr="00DE2470">
        <w:rPr>
          <w:rFonts w:ascii="Times New Roman" w:eastAsia="Times New Roman" w:hAnsi="Times New Roman" w:cs="Times New Roman"/>
          <w:sz w:val="26"/>
          <w:szCs w:val="26"/>
        </w:rPr>
        <w:t xml:space="preserve"> w 2017</w:t>
      </w:r>
      <w:r w:rsidR="00ED5584" w:rsidRPr="00DE2470">
        <w:rPr>
          <w:rFonts w:ascii="Times New Roman" w:eastAsia="Times New Roman" w:hAnsi="Times New Roman" w:cs="Times New Roman"/>
          <w:sz w:val="26"/>
          <w:szCs w:val="26"/>
        </w:rPr>
        <w:t xml:space="preserve"> </w:t>
      </w:r>
      <w:r w:rsidR="007D0EC6" w:rsidRPr="00DE2470">
        <w:rPr>
          <w:rFonts w:ascii="Times New Roman" w:eastAsia="Times New Roman" w:hAnsi="Times New Roman" w:cs="Times New Roman"/>
          <w:sz w:val="26"/>
          <w:szCs w:val="26"/>
        </w:rPr>
        <w:t>r.</w:t>
      </w:r>
      <w:r w:rsidR="00ED5584" w:rsidRPr="00DE2470">
        <w:rPr>
          <w:rFonts w:ascii="Times New Roman" w:eastAsia="Times New Roman" w:hAnsi="Times New Roman" w:cs="Times New Roman"/>
          <w:sz w:val="26"/>
          <w:szCs w:val="26"/>
        </w:rPr>
        <w:t xml:space="preserve"> N</w:t>
      </w:r>
      <w:r w:rsidRPr="00DE2470">
        <w:rPr>
          <w:rFonts w:ascii="Times New Roman" w:eastAsia="Times New Roman" w:hAnsi="Times New Roman" w:cs="Times New Roman"/>
          <w:sz w:val="26"/>
          <w:szCs w:val="26"/>
        </w:rPr>
        <w:t>iezmienny pozostał udział</w:t>
      </w:r>
      <w:r w:rsidR="00215C75" w:rsidRPr="00DE2470">
        <w:rPr>
          <w:rFonts w:ascii="Times New Roman" w:eastAsia="Times New Roman" w:hAnsi="Times New Roman" w:cs="Times New Roman"/>
          <w:sz w:val="26"/>
          <w:szCs w:val="26"/>
        </w:rPr>
        <w:t xml:space="preserve"> </w:t>
      </w:r>
      <w:r w:rsidR="00CF1E3E" w:rsidRPr="00DE2470">
        <w:rPr>
          <w:rFonts w:ascii="Times New Roman" w:eastAsia="Times New Roman" w:hAnsi="Times New Roman" w:cs="Times New Roman"/>
          <w:sz w:val="26"/>
          <w:szCs w:val="26"/>
        </w:rPr>
        <w:t>spółdzielni „egzystujących”, czyli rozdysponowujących na op</w:t>
      </w:r>
      <w:r w:rsidR="00B92FF7" w:rsidRPr="00DE2470">
        <w:rPr>
          <w:rFonts w:ascii="Times New Roman" w:eastAsia="Times New Roman" w:hAnsi="Times New Roman" w:cs="Times New Roman"/>
          <w:sz w:val="26"/>
          <w:szCs w:val="26"/>
        </w:rPr>
        <w:t>łatę pracy cały wypracowany dochód</w:t>
      </w:r>
      <w:r w:rsidR="00A54D45" w:rsidRPr="00DE2470">
        <w:rPr>
          <w:rFonts w:ascii="Times New Roman" w:eastAsia="Times New Roman" w:hAnsi="Times New Roman" w:cs="Times New Roman"/>
          <w:sz w:val="26"/>
          <w:szCs w:val="26"/>
        </w:rPr>
        <w:t>;</w:t>
      </w:r>
      <w:r w:rsidR="00CF1E3E" w:rsidRPr="00DE2470">
        <w:rPr>
          <w:rFonts w:ascii="Times New Roman" w:eastAsia="Times New Roman" w:hAnsi="Times New Roman" w:cs="Times New Roman"/>
          <w:sz w:val="26"/>
          <w:szCs w:val="26"/>
        </w:rPr>
        <w:t xml:space="preserve"> </w:t>
      </w:r>
      <w:r w:rsidRPr="00DE2470">
        <w:rPr>
          <w:rFonts w:ascii="Times New Roman" w:eastAsia="Times New Roman" w:hAnsi="Times New Roman" w:cs="Times New Roman"/>
          <w:sz w:val="26"/>
          <w:szCs w:val="26"/>
        </w:rPr>
        <w:t xml:space="preserve">zarówno </w:t>
      </w:r>
      <w:r w:rsidR="00CF1E3E" w:rsidRPr="00DE2470">
        <w:rPr>
          <w:rFonts w:ascii="Times New Roman" w:eastAsia="Times New Roman" w:hAnsi="Times New Roman" w:cs="Times New Roman"/>
          <w:sz w:val="26"/>
          <w:szCs w:val="26"/>
        </w:rPr>
        <w:t xml:space="preserve">w </w:t>
      </w:r>
      <w:r w:rsidR="007D0EC6" w:rsidRPr="00DE2470">
        <w:rPr>
          <w:rFonts w:ascii="Times New Roman" w:eastAsia="Times New Roman" w:hAnsi="Times New Roman" w:cs="Times New Roman"/>
          <w:sz w:val="26"/>
          <w:szCs w:val="26"/>
        </w:rPr>
        <w:t>2016</w:t>
      </w:r>
      <w:r w:rsidR="00ED5584" w:rsidRPr="00DE2470">
        <w:rPr>
          <w:rFonts w:ascii="Times New Roman" w:eastAsia="Times New Roman" w:hAnsi="Times New Roman" w:cs="Times New Roman"/>
          <w:sz w:val="26"/>
          <w:szCs w:val="26"/>
        </w:rPr>
        <w:t xml:space="preserve"> </w:t>
      </w:r>
      <w:r w:rsidR="00275EFF" w:rsidRPr="00DE2470">
        <w:rPr>
          <w:rFonts w:ascii="Times New Roman" w:eastAsia="Times New Roman" w:hAnsi="Times New Roman" w:cs="Times New Roman"/>
          <w:sz w:val="26"/>
          <w:szCs w:val="26"/>
        </w:rPr>
        <w:t>r.</w:t>
      </w:r>
      <w:r w:rsidRPr="00DE2470">
        <w:rPr>
          <w:rFonts w:ascii="Times New Roman" w:eastAsia="Times New Roman" w:hAnsi="Times New Roman" w:cs="Times New Roman"/>
          <w:sz w:val="26"/>
          <w:szCs w:val="26"/>
        </w:rPr>
        <w:t xml:space="preserve"> </w:t>
      </w:r>
      <w:r w:rsidR="00275EFF" w:rsidRPr="00DE2470">
        <w:rPr>
          <w:rFonts w:ascii="Times New Roman" w:eastAsia="Times New Roman" w:hAnsi="Times New Roman" w:cs="Times New Roman"/>
          <w:sz w:val="26"/>
          <w:szCs w:val="26"/>
        </w:rPr>
        <w:t>jak i 2017</w:t>
      </w:r>
      <w:r w:rsidR="00ED5584" w:rsidRPr="00DE2470">
        <w:rPr>
          <w:rFonts w:ascii="Times New Roman" w:eastAsia="Times New Roman" w:hAnsi="Times New Roman" w:cs="Times New Roman"/>
          <w:sz w:val="26"/>
          <w:szCs w:val="26"/>
        </w:rPr>
        <w:t xml:space="preserve"> </w:t>
      </w:r>
      <w:r w:rsidR="00275EFF" w:rsidRPr="00DE2470">
        <w:rPr>
          <w:rFonts w:ascii="Times New Roman" w:eastAsia="Times New Roman" w:hAnsi="Times New Roman" w:cs="Times New Roman"/>
          <w:sz w:val="26"/>
          <w:szCs w:val="26"/>
        </w:rPr>
        <w:t>r.</w:t>
      </w:r>
      <w:r w:rsidRPr="00DE2470">
        <w:rPr>
          <w:rFonts w:ascii="Times New Roman" w:eastAsia="Times New Roman" w:hAnsi="Times New Roman" w:cs="Times New Roman"/>
          <w:sz w:val="26"/>
          <w:szCs w:val="26"/>
        </w:rPr>
        <w:t xml:space="preserve"> było ich 10</w:t>
      </w:r>
      <w:r w:rsidR="00A21CCD" w:rsidRPr="00DE2470">
        <w:rPr>
          <w:rFonts w:ascii="Times New Roman" w:eastAsia="Times New Roman" w:hAnsi="Times New Roman" w:cs="Times New Roman"/>
          <w:sz w:val="26"/>
          <w:szCs w:val="26"/>
        </w:rPr>
        <w:t>%</w:t>
      </w:r>
      <w:r w:rsidRPr="00DE2470">
        <w:rPr>
          <w:rFonts w:ascii="Times New Roman" w:eastAsia="Times New Roman" w:hAnsi="Times New Roman" w:cs="Times New Roman"/>
          <w:sz w:val="26"/>
          <w:szCs w:val="26"/>
        </w:rPr>
        <w:t>. Dalej największą grupą</w:t>
      </w:r>
      <w:r w:rsidR="009E7A3D" w:rsidRPr="00DE2470">
        <w:rPr>
          <w:rFonts w:ascii="Times New Roman" w:eastAsia="Times New Roman" w:hAnsi="Times New Roman" w:cs="Times New Roman"/>
          <w:sz w:val="26"/>
          <w:szCs w:val="26"/>
        </w:rPr>
        <w:t xml:space="preserve"> (72%)</w:t>
      </w:r>
      <w:r w:rsidRPr="00DE2470">
        <w:rPr>
          <w:rFonts w:ascii="Times New Roman" w:eastAsia="Times New Roman" w:hAnsi="Times New Roman" w:cs="Times New Roman"/>
          <w:sz w:val="26"/>
          <w:szCs w:val="26"/>
        </w:rPr>
        <w:t xml:space="preserve"> pozostawały spółdzielnie </w:t>
      </w:r>
      <w:r w:rsidR="009E7A3D" w:rsidRPr="00DE2470">
        <w:rPr>
          <w:rFonts w:ascii="Times New Roman" w:eastAsia="Times New Roman" w:hAnsi="Times New Roman" w:cs="Times New Roman"/>
          <w:sz w:val="26"/>
          <w:szCs w:val="26"/>
        </w:rPr>
        <w:t>prowadzące odpowiedzialną politykę płacową, umożliwiającą zgromadzenie rezerw na gorsze lata</w:t>
      </w:r>
      <w:r w:rsidR="007D0EC6" w:rsidRPr="00DE2470">
        <w:rPr>
          <w:rFonts w:ascii="Times New Roman" w:eastAsia="Times New Roman" w:hAnsi="Times New Roman" w:cs="Times New Roman"/>
          <w:sz w:val="26"/>
          <w:szCs w:val="26"/>
        </w:rPr>
        <w:t>.</w:t>
      </w:r>
    </w:p>
    <w:p w:rsidR="004B701A" w:rsidRPr="00DE2470" w:rsidRDefault="004B701A" w:rsidP="008E079B">
      <w:pPr>
        <w:spacing w:before="120" w:after="120" w:line="264" w:lineRule="auto"/>
        <w:jc w:val="both"/>
        <w:rPr>
          <w:rFonts w:ascii="Times New Roman" w:hAnsi="Times New Roman" w:cs="Times New Roman"/>
          <w:b/>
          <w:sz w:val="26"/>
          <w:szCs w:val="26"/>
        </w:rPr>
      </w:pPr>
      <w:r w:rsidRPr="00DE2470">
        <w:rPr>
          <w:rFonts w:ascii="Times New Roman" w:hAnsi="Times New Roman" w:cs="Times New Roman"/>
          <w:b/>
          <w:sz w:val="26"/>
          <w:szCs w:val="26"/>
        </w:rPr>
        <w:t>Wyniki a ukierunkowanie produkcyjne</w:t>
      </w:r>
    </w:p>
    <w:p w:rsidR="004B701A" w:rsidRPr="00DE2470" w:rsidRDefault="004B701A" w:rsidP="00DE2470">
      <w:pPr>
        <w:spacing w:before="40" w:after="0" w:line="264" w:lineRule="auto"/>
        <w:ind w:firstLine="426"/>
        <w:jc w:val="both"/>
        <w:rPr>
          <w:rFonts w:ascii="Times New Roman" w:hAnsi="Times New Roman" w:cs="Times New Roman"/>
          <w:sz w:val="26"/>
          <w:szCs w:val="26"/>
        </w:rPr>
      </w:pPr>
      <w:r w:rsidRPr="00DE2470">
        <w:rPr>
          <w:rFonts w:ascii="Times New Roman" w:hAnsi="Times New Roman" w:cs="Times New Roman"/>
          <w:sz w:val="26"/>
          <w:szCs w:val="26"/>
        </w:rPr>
        <w:t xml:space="preserve">W </w:t>
      </w:r>
      <w:r w:rsidR="00851C53" w:rsidRPr="00DE2470">
        <w:rPr>
          <w:rFonts w:ascii="Times New Roman" w:hAnsi="Times New Roman" w:cs="Times New Roman"/>
          <w:sz w:val="26"/>
          <w:szCs w:val="26"/>
        </w:rPr>
        <w:t>wypełnianym kwestionariuszu</w:t>
      </w:r>
      <w:r w:rsidRPr="00DE2470">
        <w:rPr>
          <w:rFonts w:ascii="Times New Roman" w:hAnsi="Times New Roman" w:cs="Times New Roman"/>
          <w:sz w:val="26"/>
          <w:szCs w:val="26"/>
        </w:rPr>
        <w:t xml:space="preserve"> każda spółdzielnia określiła sama, na podstawie dominującej </w:t>
      </w:r>
      <w:r w:rsidR="000F78FE" w:rsidRPr="00DE2470">
        <w:rPr>
          <w:rFonts w:ascii="Times New Roman" w:hAnsi="Times New Roman" w:cs="Times New Roman"/>
          <w:sz w:val="26"/>
          <w:szCs w:val="26"/>
        </w:rPr>
        <w:t>wartości</w:t>
      </w:r>
      <w:r w:rsidRPr="00DE2470">
        <w:rPr>
          <w:rFonts w:ascii="Times New Roman" w:hAnsi="Times New Roman" w:cs="Times New Roman"/>
          <w:sz w:val="26"/>
          <w:szCs w:val="26"/>
        </w:rPr>
        <w:t xml:space="preserve"> sprzedaży, jaki</w:t>
      </w:r>
      <w:r w:rsidR="00CF1E3E" w:rsidRPr="00DE2470">
        <w:rPr>
          <w:rFonts w:ascii="Times New Roman" w:hAnsi="Times New Roman" w:cs="Times New Roman"/>
          <w:sz w:val="26"/>
          <w:szCs w:val="26"/>
        </w:rPr>
        <w:t xml:space="preserve"> kierunek produkcji</w:t>
      </w:r>
      <w:r w:rsidRPr="00DE2470">
        <w:rPr>
          <w:rFonts w:ascii="Times New Roman" w:hAnsi="Times New Roman" w:cs="Times New Roman"/>
          <w:sz w:val="26"/>
          <w:szCs w:val="26"/>
        </w:rPr>
        <w:t xml:space="preserve"> w danym roku w </w:t>
      </w:r>
      <w:r w:rsidR="00AD5647" w:rsidRPr="00DE2470">
        <w:rPr>
          <w:rFonts w:ascii="Times New Roman" w:hAnsi="Times New Roman" w:cs="Times New Roman"/>
          <w:sz w:val="26"/>
          <w:szCs w:val="26"/>
        </w:rPr>
        <w:t>niej przeważał</w:t>
      </w:r>
      <w:r w:rsidRPr="00DE2470">
        <w:rPr>
          <w:rFonts w:ascii="Times New Roman" w:hAnsi="Times New Roman" w:cs="Times New Roman"/>
          <w:sz w:val="26"/>
          <w:szCs w:val="26"/>
        </w:rPr>
        <w:t>.</w:t>
      </w:r>
      <w:r w:rsidR="007D0EC6" w:rsidRPr="00DE2470">
        <w:rPr>
          <w:rFonts w:ascii="Times New Roman" w:hAnsi="Times New Roman" w:cs="Times New Roman"/>
          <w:sz w:val="26"/>
          <w:szCs w:val="26"/>
        </w:rPr>
        <w:t xml:space="preserve"> Umożliwia to </w:t>
      </w:r>
      <w:r w:rsidR="00086E06" w:rsidRPr="00DE2470">
        <w:rPr>
          <w:rFonts w:ascii="Times New Roman" w:hAnsi="Times New Roman" w:cs="Times New Roman"/>
          <w:sz w:val="26"/>
          <w:szCs w:val="26"/>
        </w:rPr>
        <w:t>nam</w:t>
      </w:r>
      <w:r w:rsidR="007D0EC6" w:rsidRPr="00DE2470">
        <w:rPr>
          <w:rFonts w:ascii="Times New Roman" w:hAnsi="Times New Roman" w:cs="Times New Roman"/>
          <w:sz w:val="26"/>
          <w:szCs w:val="26"/>
        </w:rPr>
        <w:t xml:space="preserve"> grupowanie spółdzielni według dominujących kierunków produkcyjnych, tzw. ukierunkowania produkcyjnego (UP).</w:t>
      </w:r>
      <w:r w:rsidRPr="00DE2470">
        <w:rPr>
          <w:rFonts w:ascii="Times New Roman" w:hAnsi="Times New Roman" w:cs="Times New Roman"/>
          <w:sz w:val="26"/>
          <w:szCs w:val="26"/>
        </w:rPr>
        <w:t xml:space="preserve"> </w:t>
      </w:r>
      <w:r w:rsidR="000F78FE" w:rsidRPr="00DE2470">
        <w:rPr>
          <w:rFonts w:ascii="Times New Roman" w:hAnsi="Times New Roman" w:cs="Times New Roman"/>
          <w:sz w:val="26"/>
          <w:szCs w:val="26"/>
        </w:rPr>
        <w:t>Tradycyjnie już</w:t>
      </w:r>
      <w:r w:rsidRPr="00DE2470">
        <w:rPr>
          <w:rFonts w:ascii="Times New Roman" w:hAnsi="Times New Roman" w:cs="Times New Roman"/>
          <w:sz w:val="26"/>
          <w:szCs w:val="26"/>
        </w:rPr>
        <w:t xml:space="preserve"> analizie poddano trzy </w:t>
      </w:r>
      <w:r w:rsidR="007D0EC6" w:rsidRPr="00DE2470">
        <w:rPr>
          <w:rFonts w:ascii="Times New Roman" w:hAnsi="Times New Roman" w:cs="Times New Roman"/>
          <w:sz w:val="26"/>
          <w:szCs w:val="26"/>
        </w:rPr>
        <w:t>z nich</w:t>
      </w:r>
      <w:r w:rsidRPr="00DE2470">
        <w:rPr>
          <w:rFonts w:ascii="Times New Roman" w:hAnsi="Times New Roman" w:cs="Times New Roman"/>
          <w:sz w:val="26"/>
          <w:szCs w:val="26"/>
        </w:rPr>
        <w:t>, wyróżniając grupę spółdzielni roślinnych (uprawy polowe, warzywnictwo, ogrodnictwo), zwierzęcych (chów i hodowla zwierząt) oraz wielostronnych (uprawy polowe połączone z chowem zwierząt)</w:t>
      </w:r>
      <w:r w:rsidR="005A4CD9" w:rsidRPr="00DE2470">
        <w:rPr>
          <w:rFonts w:ascii="Times New Roman" w:hAnsi="Times New Roman" w:cs="Times New Roman"/>
          <w:sz w:val="26"/>
          <w:szCs w:val="26"/>
        </w:rPr>
        <w:t xml:space="preserve"> (t</w:t>
      </w:r>
      <w:r w:rsidR="00215C75" w:rsidRPr="00DE2470">
        <w:rPr>
          <w:rFonts w:ascii="Times New Roman" w:hAnsi="Times New Roman" w:cs="Times New Roman"/>
          <w:sz w:val="26"/>
          <w:szCs w:val="26"/>
        </w:rPr>
        <w:t>abela 4)</w:t>
      </w:r>
      <w:r w:rsidRPr="00DE2470">
        <w:rPr>
          <w:rFonts w:ascii="Times New Roman" w:hAnsi="Times New Roman" w:cs="Times New Roman"/>
          <w:sz w:val="26"/>
          <w:szCs w:val="26"/>
        </w:rPr>
        <w:t xml:space="preserve">. </w:t>
      </w:r>
      <w:r w:rsidR="003672A6" w:rsidRPr="00DE2470">
        <w:rPr>
          <w:rFonts w:ascii="Times New Roman" w:hAnsi="Times New Roman" w:cs="Times New Roman"/>
          <w:sz w:val="26"/>
          <w:szCs w:val="26"/>
        </w:rPr>
        <w:t>W tej analizie</w:t>
      </w:r>
      <w:r w:rsidR="00237D22" w:rsidRPr="00DE2470">
        <w:rPr>
          <w:rFonts w:ascii="Times New Roman" w:hAnsi="Times New Roman" w:cs="Times New Roman"/>
          <w:sz w:val="26"/>
          <w:szCs w:val="26"/>
        </w:rPr>
        <w:t xml:space="preserve"> </w:t>
      </w:r>
      <w:r w:rsidRPr="00DE2470">
        <w:rPr>
          <w:rFonts w:ascii="Times New Roman" w:hAnsi="Times New Roman" w:cs="Times New Roman"/>
          <w:sz w:val="26"/>
          <w:szCs w:val="26"/>
        </w:rPr>
        <w:t xml:space="preserve">zbiorowość </w:t>
      </w:r>
      <w:r w:rsidR="003672A6" w:rsidRPr="00DE2470">
        <w:rPr>
          <w:rFonts w:ascii="Times New Roman" w:hAnsi="Times New Roman" w:cs="Times New Roman"/>
          <w:sz w:val="26"/>
          <w:szCs w:val="26"/>
        </w:rPr>
        <w:t>taką stanowiło</w:t>
      </w:r>
      <w:r w:rsidRPr="00DE2470">
        <w:rPr>
          <w:rFonts w:ascii="Times New Roman" w:hAnsi="Times New Roman" w:cs="Times New Roman"/>
          <w:sz w:val="26"/>
          <w:szCs w:val="26"/>
        </w:rPr>
        <w:t xml:space="preserve"> </w:t>
      </w:r>
      <w:r w:rsidR="00851C53" w:rsidRPr="00DE2470">
        <w:rPr>
          <w:rFonts w:ascii="Times New Roman" w:hAnsi="Times New Roman" w:cs="Times New Roman"/>
          <w:sz w:val="26"/>
          <w:szCs w:val="26"/>
        </w:rPr>
        <w:t>77</w:t>
      </w:r>
      <w:r w:rsidR="00AD4FEF" w:rsidRPr="00DE2470">
        <w:rPr>
          <w:rFonts w:ascii="Times New Roman" w:hAnsi="Times New Roman" w:cs="Times New Roman"/>
          <w:sz w:val="26"/>
          <w:szCs w:val="26"/>
        </w:rPr>
        <w:t xml:space="preserve"> </w:t>
      </w:r>
      <w:r w:rsidR="005A0D5D" w:rsidRPr="00DE2470">
        <w:rPr>
          <w:rFonts w:ascii="Times New Roman" w:hAnsi="Times New Roman" w:cs="Times New Roman"/>
          <w:sz w:val="26"/>
          <w:szCs w:val="26"/>
        </w:rPr>
        <w:t>spółdzielni, które w latach 201</w:t>
      </w:r>
      <w:r w:rsidR="00851C53" w:rsidRPr="00DE2470">
        <w:rPr>
          <w:rFonts w:ascii="Times New Roman" w:hAnsi="Times New Roman" w:cs="Times New Roman"/>
          <w:sz w:val="26"/>
          <w:szCs w:val="26"/>
        </w:rPr>
        <w:t>5</w:t>
      </w:r>
      <w:r w:rsidR="005A0D5D" w:rsidRPr="00DE2470">
        <w:rPr>
          <w:rFonts w:ascii="Times New Roman" w:hAnsi="Times New Roman" w:cs="Times New Roman"/>
          <w:sz w:val="26"/>
          <w:szCs w:val="26"/>
        </w:rPr>
        <w:t>-201</w:t>
      </w:r>
      <w:r w:rsidR="00851C53" w:rsidRPr="00DE2470">
        <w:rPr>
          <w:rFonts w:ascii="Times New Roman" w:hAnsi="Times New Roman" w:cs="Times New Roman"/>
          <w:sz w:val="26"/>
          <w:szCs w:val="26"/>
        </w:rPr>
        <w:t>7</w:t>
      </w:r>
      <w:r w:rsidRPr="00DE2470">
        <w:rPr>
          <w:rFonts w:ascii="Times New Roman" w:hAnsi="Times New Roman" w:cs="Times New Roman"/>
          <w:sz w:val="26"/>
          <w:szCs w:val="26"/>
        </w:rPr>
        <w:t xml:space="preserve"> b</w:t>
      </w:r>
      <w:r w:rsidR="005A0D5D" w:rsidRPr="00DE2470">
        <w:rPr>
          <w:rFonts w:ascii="Times New Roman" w:hAnsi="Times New Roman" w:cs="Times New Roman"/>
          <w:sz w:val="26"/>
          <w:szCs w:val="26"/>
        </w:rPr>
        <w:t>rały udział w rankingu, w tym 4</w:t>
      </w:r>
      <w:r w:rsidR="00851C53" w:rsidRPr="00DE2470">
        <w:rPr>
          <w:rFonts w:ascii="Times New Roman" w:hAnsi="Times New Roman" w:cs="Times New Roman"/>
          <w:sz w:val="26"/>
          <w:szCs w:val="26"/>
        </w:rPr>
        <w:t>2</w:t>
      </w:r>
      <w:r w:rsidR="00127F84" w:rsidRPr="00DE2470">
        <w:rPr>
          <w:rFonts w:ascii="Times New Roman" w:hAnsi="Times New Roman" w:cs="Times New Roman"/>
          <w:sz w:val="26"/>
          <w:szCs w:val="26"/>
        </w:rPr>
        <w:t xml:space="preserve"> o ukierunkowaniu roślinnym, 1</w:t>
      </w:r>
      <w:r w:rsidR="00851C53" w:rsidRPr="00DE2470">
        <w:rPr>
          <w:rFonts w:ascii="Times New Roman" w:hAnsi="Times New Roman" w:cs="Times New Roman"/>
          <w:sz w:val="26"/>
          <w:szCs w:val="26"/>
        </w:rPr>
        <w:t>6</w:t>
      </w:r>
      <w:r w:rsidRPr="00DE2470">
        <w:rPr>
          <w:rFonts w:ascii="Times New Roman" w:hAnsi="Times New Roman" w:cs="Times New Roman"/>
          <w:sz w:val="26"/>
          <w:szCs w:val="26"/>
        </w:rPr>
        <w:t xml:space="preserve"> </w:t>
      </w:r>
      <w:r w:rsidR="006B66D2" w:rsidRPr="00DE2470">
        <w:rPr>
          <w:rFonts w:ascii="Times New Roman" w:hAnsi="Times New Roman" w:cs="Times New Roman"/>
          <w:sz w:val="26"/>
          <w:szCs w:val="26"/>
        </w:rPr>
        <w:t xml:space="preserve">– </w:t>
      </w:r>
      <w:r w:rsidRPr="00DE2470">
        <w:rPr>
          <w:rFonts w:ascii="Times New Roman" w:hAnsi="Times New Roman" w:cs="Times New Roman"/>
          <w:sz w:val="26"/>
          <w:szCs w:val="26"/>
        </w:rPr>
        <w:t xml:space="preserve">o ukierunkowaniu zwierzęcym i </w:t>
      </w:r>
      <w:r w:rsidR="00851C53" w:rsidRPr="00DE2470">
        <w:rPr>
          <w:rFonts w:ascii="Times New Roman" w:hAnsi="Times New Roman" w:cs="Times New Roman"/>
          <w:sz w:val="26"/>
          <w:szCs w:val="26"/>
        </w:rPr>
        <w:t>19</w:t>
      </w:r>
      <w:r w:rsidRPr="00DE2470">
        <w:rPr>
          <w:rFonts w:ascii="Times New Roman" w:hAnsi="Times New Roman" w:cs="Times New Roman"/>
          <w:sz w:val="26"/>
          <w:szCs w:val="26"/>
        </w:rPr>
        <w:t xml:space="preserve"> </w:t>
      </w:r>
      <w:r w:rsidR="006B66D2" w:rsidRPr="00DE2470">
        <w:rPr>
          <w:rFonts w:ascii="Times New Roman" w:hAnsi="Times New Roman" w:cs="Times New Roman"/>
          <w:sz w:val="26"/>
          <w:szCs w:val="26"/>
        </w:rPr>
        <w:t xml:space="preserve">– </w:t>
      </w:r>
      <w:r w:rsidRPr="00DE2470">
        <w:rPr>
          <w:rFonts w:ascii="Times New Roman" w:hAnsi="Times New Roman" w:cs="Times New Roman"/>
          <w:sz w:val="26"/>
          <w:szCs w:val="26"/>
        </w:rPr>
        <w:t>prowadzących działalnoś</w:t>
      </w:r>
      <w:r w:rsidR="002C55F6" w:rsidRPr="00DE2470">
        <w:rPr>
          <w:rFonts w:ascii="Times New Roman" w:hAnsi="Times New Roman" w:cs="Times New Roman"/>
          <w:sz w:val="26"/>
          <w:szCs w:val="26"/>
        </w:rPr>
        <w:t>ć</w:t>
      </w:r>
      <w:r w:rsidRPr="00DE2470">
        <w:rPr>
          <w:rFonts w:ascii="Times New Roman" w:hAnsi="Times New Roman" w:cs="Times New Roman"/>
          <w:sz w:val="26"/>
          <w:szCs w:val="26"/>
        </w:rPr>
        <w:t xml:space="preserve"> wielostronną.</w:t>
      </w:r>
    </w:p>
    <w:p w:rsidR="007066FF" w:rsidRPr="00DE2470" w:rsidRDefault="00E417C9" w:rsidP="00DE2470">
      <w:pPr>
        <w:spacing w:before="40" w:after="0" w:line="264" w:lineRule="auto"/>
        <w:ind w:firstLine="425"/>
        <w:jc w:val="both"/>
        <w:rPr>
          <w:rFonts w:ascii="Times New Roman" w:hAnsi="Times New Roman" w:cs="Times New Roman"/>
          <w:sz w:val="26"/>
          <w:szCs w:val="26"/>
        </w:rPr>
      </w:pPr>
      <w:r w:rsidRPr="00DE2470">
        <w:rPr>
          <w:rFonts w:ascii="Times New Roman" w:hAnsi="Times New Roman" w:cs="Times New Roman"/>
          <w:sz w:val="26"/>
          <w:szCs w:val="26"/>
        </w:rPr>
        <w:t xml:space="preserve">Spółdzielnie o ukierunkowaniu </w:t>
      </w:r>
      <w:r w:rsidR="00E80D3D" w:rsidRPr="00DE2470">
        <w:rPr>
          <w:rFonts w:ascii="Times New Roman" w:hAnsi="Times New Roman" w:cs="Times New Roman"/>
          <w:sz w:val="26"/>
          <w:szCs w:val="26"/>
        </w:rPr>
        <w:t>zwierzęcym</w:t>
      </w:r>
      <w:r w:rsidR="00C47A2D" w:rsidRPr="00DE2470">
        <w:rPr>
          <w:rFonts w:ascii="Times New Roman" w:hAnsi="Times New Roman" w:cs="Times New Roman"/>
          <w:sz w:val="26"/>
          <w:szCs w:val="26"/>
        </w:rPr>
        <w:t xml:space="preserve"> </w:t>
      </w:r>
      <w:r w:rsidR="007066FF" w:rsidRPr="00DE2470">
        <w:rPr>
          <w:rFonts w:ascii="Times New Roman" w:hAnsi="Times New Roman" w:cs="Times New Roman"/>
          <w:sz w:val="26"/>
          <w:szCs w:val="26"/>
        </w:rPr>
        <w:t>od wielu już lat</w:t>
      </w:r>
      <w:r w:rsidR="00C47A2D" w:rsidRPr="00DE2470">
        <w:rPr>
          <w:rFonts w:ascii="Times New Roman" w:hAnsi="Times New Roman" w:cs="Times New Roman"/>
          <w:sz w:val="26"/>
          <w:szCs w:val="26"/>
        </w:rPr>
        <w:t xml:space="preserve"> charakteryzowały się najniższą dochodowością prowadzonej działalności.</w:t>
      </w:r>
      <w:r w:rsidR="00F77336" w:rsidRPr="00DE2470">
        <w:rPr>
          <w:rFonts w:ascii="Times New Roman" w:hAnsi="Times New Roman" w:cs="Times New Roman"/>
          <w:sz w:val="26"/>
          <w:szCs w:val="26"/>
        </w:rPr>
        <w:t xml:space="preserve"> </w:t>
      </w:r>
      <w:r w:rsidR="007066FF" w:rsidRPr="00DE2470">
        <w:rPr>
          <w:rFonts w:ascii="Times New Roman" w:hAnsi="Times New Roman" w:cs="Times New Roman"/>
          <w:sz w:val="26"/>
          <w:szCs w:val="26"/>
        </w:rPr>
        <w:t>Mimo poprawy tego wskaźnika</w:t>
      </w:r>
      <w:r w:rsidR="00275EFF" w:rsidRPr="00DE2470">
        <w:rPr>
          <w:rFonts w:ascii="Times New Roman" w:hAnsi="Times New Roman" w:cs="Times New Roman"/>
          <w:sz w:val="26"/>
          <w:szCs w:val="26"/>
        </w:rPr>
        <w:t xml:space="preserve"> o</w:t>
      </w:r>
      <w:r w:rsidR="007066FF" w:rsidRPr="00DE2470">
        <w:rPr>
          <w:rFonts w:ascii="Times New Roman" w:hAnsi="Times New Roman" w:cs="Times New Roman"/>
          <w:sz w:val="26"/>
          <w:szCs w:val="26"/>
        </w:rPr>
        <w:t xml:space="preserve"> 3,2 p.p w ostatnim roku ta sytuacja się nie zmieniła.</w:t>
      </w:r>
      <w:r w:rsidR="00A03870" w:rsidRPr="00DE2470">
        <w:rPr>
          <w:rFonts w:ascii="Times New Roman" w:hAnsi="Times New Roman" w:cs="Times New Roman"/>
          <w:sz w:val="26"/>
          <w:szCs w:val="26"/>
        </w:rPr>
        <w:t xml:space="preserve"> </w:t>
      </w:r>
      <w:r w:rsidR="00275EFF" w:rsidRPr="00DE2470">
        <w:rPr>
          <w:rFonts w:ascii="Times New Roman" w:hAnsi="Times New Roman" w:cs="Times New Roman"/>
          <w:sz w:val="26"/>
          <w:szCs w:val="26"/>
        </w:rPr>
        <w:t>Warto jednak podkreślić, iż</w:t>
      </w:r>
      <w:r w:rsidR="00705D05" w:rsidRPr="00DE2470">
        <w:rPr>
          <w:rFonts w:ascii="Times New Roman" w:hAnsi="Times New Roman" w:cs="Times New Roman"/>
          <w:sz w:val="26"/>
          <w:szCs w:val="26"/>
        </w:rPr>
        <w:t xml:space="preserve"> grupa</w:t>
      </w:r>
      <w:r w:rsidR="00275EFF" w:rsidRPr="00DE2470">
        <w:rPr>
          <w:rFonts w:ascii="Times New Roman" w:hAnsi="Times New Roman" w:cs="Times New Roman"/>
          <w:sz w:val="26"/>
          <w:szCs w:val="26"/>
        </w:rPr>
        <w:t xml:space="preserve"> tych</w:t>
      </w:r>
      <w:r w:rsidR="00705D05" w:rsidRPr="00DE2470">
        <w:rPr>
          <w:rFonts w:ascii="Times New Roman" w:hAnsi="Times New Roman" w:cs="Times New Roman"/>
          <w:sz w:val="26"/>
          <w:szCs w:val="26"/>
        </w:rPr>
        <w:t xml:space="preserve"> </w:t>
      </w:r>
      <w:r w:rsidR="00473823" w:rsidRPr="00DE2470">
        <w:rPr>
          <w:rFonts w:ascii="Times New Roman" w:hAnsi="Times New Roman" w:cs="Times New Roman"/>
          <w:sz w:val="26"/>
          <w:szCs w:val="26"/>
        </w:rPr>
        <w:t>spółdzielni</w:t>
      </w:r>
      <w:r w:rsidR="00275EFF" w:rsidRPr="00DE2470">
        <w:rPr>
          <w:rFonts w:ascii="Times New Roman" w:hAnsi="Times New Roman" w:cs="Times New Roman"/>
          <w:sz w:val="26"/>
          <w:szCs w:val="26"/>
        </w:rPr>
        <w:t xml:space="preserve"> charakteryzuje się</w:t>
      </w:r>
      <w:r w:rsidR="00D83885" w:rsidRPr="00DE2470">
        <w:rPr>
          <w:rFonts w:ascii="Times New Roman" w:hAnsi="Times New Roman" w:cs="Times New Roman"/>
          <w:sz w:val="26"/>
          <w:szCs w:val="26"/>
        </w:rPr>
        <w:t xml:space="preserve"> najwyższą </w:t>
      </w:r>
      <w:r w:rsidR="00275EFF" w:rsidRPr="00DE2470">
        <w:rPr>
          <w:rFonts w:ascii="Times New Roman" w:hAnsi="Times New Roman" w:cs="Times New Roman"/>
          <w:sz w:val="26"/>
          <w:szCs w:val="26"/>
        </w:rPr>
        <w:t>skalą</w:t>
      </w:r>
      <w:r w:rsidR="00D83885" w:rsidRPr="00DE2470">
        <w:rPr>
          <w:rFonts w:ascii="Times New Roman" w:hAnsi="Times New Roman" w:cs="Times New Roman"/>
          <w:sz w:val="26"/>
          <w:szCs w:val="26"/>
        </w:rPr>
        <w:t xml:space="preserve"> prowadzonej działalności</w:t>
      </w:r>
      <w:r w:rsidR="00705D05" w:rsidRPr="00DE2470">
        <w:rPr>
          <w:rFonts w:ascii="Times New Roman" w:hAnsi="Times New Roman" w:cs="Times New Roman"/>
          <w:sz w:val="26"/>
          <w:szCs w:val="26"/>
        </w:rPr>
        <w:t>,</w:t>
      </w:r>
      <w:r w:rsidR="007066FF" w:rsidRPr="00DE2470">
        <w:rPr>
          <w:rFonts w:ascii="Times New Roman" w:hAnsi="Times New Roman" w:cs="Times New Roman"/>
          <w:sz w:val="26"/>
          <w:szCs w:val="26"/>
        </w:rPr>
        <w:t xml:space="preserve"> </w:t>
      </w:r>
      <w:r w:rsidR="00D83885" w:rsidRPr="00DE2470">
        <w:rPr>
          <w:rFonts w:ascii="Times New Roman" w:hAnsi="Times New Roman" w:cs="Times New Roman"/>
          <w:sz w:val="26"/>
          <w:szCs w:val="26"/>
        </w:rPr>
        <w:lastRenderedPageBreak/>
        <w:t xml:space="preserve">świadczy o tym </w:t>
      </w:r>
      <w:r w:rsidR="00275EFF" w:rsidRPr="00DE2470">
        <w:rPr>
          <w:rFonts w:ascii="Times New Roman" w:hAnsi="Times New Roman" w:cs="Times New Roman"/>
          <w:sz w:val="26"/>
          <w:szCs w:val="26"/>
        </w:rPr>
        <w:t>wysokość</w:t>
      </w:r>
      <w:r w:rsidR="00D83885" w:rsidRPr="00DE2470">
        <w:rPr>
          <w:rFonts w:ascii="Times New Roman" w:hAnsi="Times New Roman" w:cs="Times New Roman"/>
          <w:sz w:val="26"/>
          <w:szCs w:val="26"/>
        </w:rPr>
        <w:t xml:space="preserve"> uzyskiwanych przychodów ze sprzedaży</w:t>
      </w:r>
      <w:r w:rsidR="007066FF" w:rsidRPr="00DE2470">
        <w:rPr>
          <w:rFonts w:ascii="Times New Roman" w:hAnsi="Times New Roman" w:cs="Times New Roman"/>
          <w:sz w:val="26"/>
          <w:szCs w:val="26"/>
        </w:rPr>
        <w:t xml:space="preserve">. Przeciętna spółdzielnia o ukierunkowaniu </w:t>
      </w:r>
      <w:r w:rsidR="00D83885" w:rsidRPr="00DE2470">
        <w:rPr>
          <w:rFonts w:ascii="Times New Roman" w:hAnsi="Times New Roman" w:cs="Times New Roman"/>
          <w:sz w:val="26"/>
          <w:szCs w:val="26"/>
        </w:rPr>
        <w:t>zwierzęcym</w:t>
      </w:r>
      <w:r w:rsidR="007066FF" w:rsidRPr="00DE2470">
        <w:rPr>
          <w:rFonts w:ascii="Times New Roman" w:hAnsi="Times New Roman" w:cs="Times New Roman"/>
          <w:sz w:val="26"/>
          <w:szCs w:val="26"/>
        </w:rPr>
        <w:t xml:space="preserve"> uzyskała w </w:t>
      </w:r>
      <w:r w:rsidR="00275EFF" w:rsidRPr="00DE2470">
        <w:rPr>
          <w:rFonts w:ascii="Times New Roman" w:hAnsi="Times New Roman" w:cs="Times New Roman"/>
          <w:sz w:val="26"/>
          <w:szCs w:val="26"/>
        </w:rPr>
        <w:t>2017</w:t>
      </w:r>
      <w:r w:rsidR="00ED5584" w:rsidRPr="00DE2470">
        <w:rPr>
          <w:rFonts w:ascii="Times New Roman" w:hAnsi="Times New Roman" w:cs="Times New Roman"/>
          <w:sz w:val="26"/>
          <w:szCs w:val="26"/>
        </w:rPr>
        <w:t xml:space="preserve"> </w:t>
      </w:r>
      <w:r w:rsidR="007066FF" w:rsidRPr="00DE2470">
        <w:rPr>
          <w:rFonts w:ascii="Times New Roman" w:hAnsi="Times New Roman" w:cs="Times New Roman"/>
          <w:sz w:val="26"/>
          <w:szCs w:val="26"/>
        </w:rPr>
        <w:t>r</w:t>
      </w:r>
      <w:r w:rsidR="00275EFF" w:rsidRPr="00DE2470">
        <w:rPr>
          <w:rFonts w:ascii="Times New Roman" w:hAnsi="Times New Roman" w:cs="Times New Roman"/>
          <w:sz w:val="26"/>
          <w:szCs w:val="26"/>
        </w:rPr>
        <w:t>.</w:t>
      </w:r>
      <w:r w:rsidR="007066FF" w:rsidRPr="00DE2470">
        <w:rPr>
          <w:rFonts w:ascii="Times New Roman" w:hAnsi="Times New Roman" w:cs="Times New Roman"/>
          <w:sz w:val="26"/>
          <w:szCs w:val="26"/>
        </w:rPr>
        <w:t xml:space="preserve"> 11,9 mln zł przychodu, wobec 5,1 mln w grupie gospodarstw roślinnych i 4,5</w:t>
      </w:r>
      <w:r w:rsidR="00ED5584" w:rsidRPr="00DE2470">
        <w:rPr>
          <w:rFonts w:ascii="Times New Roman" w:hAnsi="Times New Roman" w:cs="Times New Roman"/>
          <w:sz w:val="26"/>
          <w:szCs w:val="26"/>
        </w:rPr>
        <w:t xml:space="preserve"> </w:t>
      </w:r>
      <w:r w:rsidR="007066FF" w:rsidRPr="00DE2470">
        <w:rPr>
          <w:rFonts w:ascii="Times New Roman" w:hAnsi="Times New Roman" w:cs="Times New Roman"/>
          <w:sz w:val="26"/>
          <w:szCs w:val="26"/>
        </w:rPr>
        <w:t>mln zł w grupie wielostronnych. Bez wątpienia zatem skala prowadzonej sprzedaży</w:t>
      </w:r>
      <w:r w:rsidR="00275EFF" w:rsidRPr="00DE2470">
        <w:rPr>
          <w:rFonts w:ascii="Times New Roman" w:hAnsi="Times New Roman" w:cs="Times New Roman"/>
          <w:sz w:val="26"/>
          <w:szCs w:val="26"/>
        </w:rPr>
        <w:t>, nawet przy niższej rentowności,</w:t>
      </w:r>
      <w:r w:rsidR="007066FF" w:rsidRPr="00DE2470">
        <w:rPr>
          <w:rFonts w:ascii="Times New Roman" w:hAnsi="Times New Roman" w:cs="Times New Roman"/>
          <w:sz w:val="26"/>
          <w:szCs w:val="26"/>
        </w:rPr>
        <w:t xml:space="preserve"> powinna umożliwić członkom realizowanie akceptowalnej</w:t>
      </w:r>
      <w:r w:rsidR="00D83885" w:rsidRPr="00DE2470">
        <w:rPr>
          <w:rFonts w:ascii="Times New Roman" w:hAnsi="Times New Roman" w:cs="Times New Roman"/>
          <w:sz w:val="26"/>
          <w:szCs w:val="26"/>
        </w:rPr>
        <w:t xml:space="preserve"> dla nich</w:t>
      </w:r>
      <w:r w:rsidR="007066FF" w:rsidRPr="00DE2470">
        <w:rPr>
          <w:rFonts w:ascii="Times New Roman" w:hAnsi="Times New Roman" w:cs="Times New Roman"/>
          <w:sz w:val="26"/>
          <w:szCs w:val="26"/>
        </w:rPr>
        <w:t xml:space="preserve"> opłaty pracy.</w:t>
      </w:r>
    </w:p>
    <w:p w:rsidR="00B744FA" w:rsidRPr="00DE2470" w:rsidRDefault="007066FF" w:rsidP="00DE2470">
      <w:pPr>
        <w:spacing w:before="40" w:after="0" w:line="264" w:lineRule="auto"/>
        <w:ind w:firstLine="425"/>
        <w:jc w:val="both"/>
        <w:rPr>
          <w:rFonts w:ascii="Times New Roman" w:hAnsi="Times New Roman" w:cs="Times New Roman"/>
          <w:sz w:val="26"/>
          <w:szCs w:val="26"/>
        </w:rPr>
      </w:pPr>
      <w:r w:rsidRPr="00DE2470">
        <w:rPr>
          <w:rFonts w:ascii="Times New Roman" w:hAnsi="Times New Roman" w:cs="Times New Roman"/>
          <w:sz w:val="26"/>
          <w:szCs w:val="26"/>
        </w:rPr>
        <w:t xml:space="preserve">Dzięki </w:t>
      </w:r>
      <w:r w:rsidR="00454542" w:rsidRPr="00DE2470">
        <w:rPr>
          <w:rFonts w:ascii="Times New Roman" w:hAnsi="Times New Roman" w:cs="Times New Roman"/>
          <w:sz w:val="26"/>
          <w:szCs w:val="26"/>
        </w:rPr>
        <w:t>dużej skali prowadzonej działalności</w:t>
      </w:r>
      <w:r w:rsidR="00497032" w:rsidRPr="00DE2470">
        <w:rPr>
          <w:rFonts w:ascii="Times New Roman" w:hAnsi="Times New Roman" w:cs="Times New Roman"/>
          <w:sz w:val="26"/>
          <w:szCs w:val="26"/>
        </w:rPr>
        <w:t>,</w:t>
      </w:r>
      <w:r w:rsidR="00454542" w:rsidRPr="00DE2470">
        <w:rPr>
          <w:rFonts w:ascii="Times New Roman" w:hAnsi="Times New Roman" w:cs="Times New Roman"/>
          <w:sz w:val="26"/>
          <w:szCs w:val="26"/>
        </w:rPr>
        <w:t xml:space="preserve"> spółdzielnie zwierzęce posiadały </w:t>
      </w:r>
      <w:r w:rsidR="00B744FA" w:rsidRPr="00DE2470">
        <w:rPr>
          <w:rFonts w:ascii="Times New Roman" w:hAnsi="Times New Roman" w:cs="Times New Roman"/>
          <w:sz w:val="26"/>
          <w:szCs w:val="26"/>
        </w:rPr>
        <w:t>porównywalne do innych ukierunkowań</w:t>
      </w:r>
      <w:r w:rsidR="00454542" w:rsidRPr="00DE2470">
        <w:rPr>
          <w:rFonts w:ascii="Times New Roman" w:hAnsi="Times New Roman" w:cs="Times New Roman"/>
          <w:sz w:val="26"/>
          <w:szCs w:val="26"/>
        </w:rPr>
        <w:t xml:space="preserve"> wskaźniki </w:t>
      </w:r>
      <w:r w:rsidR="0050413A" w:rsidRPr="00DE2470">
        <w:rPr>
          <w:rFonts w:ascii="Times New Roman" w:hAnsi="Times New Roman" w:cs="Times New Roman"/>
          <w:sz w:val="26"/>
          <w:szCs w:val="26"/>
        </w:rPr>
        <w:t xml:space="preserve">dochodowości pracy oraz wartości dodanej na pracownika. </w:t>
      </w:r>
      <w:r w:rsidR="00B744FA" w:rsidRPr="00DE2470">
        <w:rPr>
          <w:rFonts w:ascii="Times New Roman" w:hAnsi="Times New Roman" w:cs="Times New Roman"/>
          <w:sz w:val="26"/>
          <w:szCs w:val="26"/>
        </w:rPr>
        <w:t>Wskaźnik dochodowości pr</w:t>
      </w:r>
      <w:r w:rsidR="00BF28EE" w:rsidRPr="00DE2470">
        <w:rPr>
          <w:rFonts w:ascii="Times New Roman" w:hAnsi="Times New Roman" w:cs="Times New Roman"/>
          <w:sz w:val="26"/>
          <w:szCs w:val="26"/>
        </w:rPr>
        <w:t>acy członka wyniósł</w:t>
      </w:r>
      <w:r w:rsidR="00B744FA" w:rsidRPr="00DE2470">
        <w:rPr>
          <w:rFonts w:ascii="Times New Roman" w:hAnsi="Times New Roman" w:cs="Times New Roman"/>
          <w:sz w:val="26"/>
          <w:szCs w:val="26"/>
        </w:rPr>
        <w:t xml:space="preserve"> 67 tys. zł, a wydajność pracy mierzona wartością dodaną 100,1 tys. zł na pracownika. Nieco słabsze wyniki dochodowości pracy niż w grupie wielostronnej mogą być wynikiem powolniejszego procesu restrukturyzacji zatrudnienia. Jedynie w tej grupie zatrudnienie w ostatnich 3 latach nie tylko nie uległo obniżeniu, ale nawet nieznacznie się </w:t>
      </w:r>
      <w:r w:rsidR="00275EFF" w:rsidRPr="00DE2470">
        <w:rPr>
          <w:rFonts w:ascii="Times New Roman" w:hAnsi="Times New Roman" w:cs="Times New Roman"/>
          <w:sz w:val="26"/>
          <w:szCs w:val="26"/>
        </w:rPr>
        <w:t>podniosło w 2016</w:t>
      </w:r>
      <w:r w:rsidR="001060A4" w:rsidRPr="00DE2470">
        <w:rPr>
          <w:rFonts w:ascii="Times New Roman" w:hAnsi="Times New Roman" w:cs="Times New Roman"/>
          <w:sz w:val="26"/>
          <w:szCs w:val="26"/>
        </w:rPr>
        <w:t> </w:t>
      </w:r>
      <w:r w:rsidR="00B744FA" w:rsidRPr="00DE2470">
        <w:rPr>
          <w:rFonts w:ascii="Times New Roman" w:hAnsi="Times New Roman" w:cs="Times New Roman"/>
          <w:sz w:val="26"/>
          <w:szCs w:val="26"/>
        </w:rPr>
        <w:t xml:space="preserve">r. </w:t>
      </w:r>
      <w:r w:rsidR="00C04669" w:rsidRPr="00DE2470">
        <w:rPr>
          <w:rFonts w:ascii="Times New Roman" w:hAnsi="Times New Roman" w:cs="Times New Roman"/>
          <w:sz w:val="26"/>
          <w:szCs w:val="26"/>
        </w:rPr>
        <w:t>W grupie spółdzielni o ukierunkowaniu zwierzęcym</w:t>
      </w:r>
      <w:r w:rsidR="00B744FA" w:rsidRPr="00DE2470">
        <w:rPr>
          <w:rFonts w:ascii="Times New Roman" w:hAnsi="Times New Roman" w:cs="Times New Roman"/>
          <w:sz w:val="26"/>
          <w:szCs w:val="26"/>
        </w:rPr>
        <w:t xml:space="preserve"> obserwowano największy</w:t>
      </w:r>
      <w:r w:rsidR="00F030E7" w:rsidRPr="00DE2470">
        <w:rPr>
          <w:rFonts w:ascii="Times New Roman" w:hAnsi="Times New Roman" w:cs="Times New Roman"/>
          <w:sz w:val="26"/>
          <w:szCs w:val="26"/>
        </w:rPr>
        <w:t>,</w:t>
      </w:r>
      <w:r w:rsidR="00B744FA" w:rsidRPr="00DE2470">
        <w:rPr>
          <w:rFonts w:ascii="Times New Roman" w:hAnsi="Times New Roman" w:cs="Times New Roman"/>
          <w:sz w:val="26"/>
          <w:szCs w:val="26"/>
        </w:rPr>
        <w:t xml:space="preserve"> </w:t>
      </w:r>
      <w:r w:rsidR="00C04669" w:rsidRPr="00DE2470">
        <w:rPr>
          <w:rFonts w:ascii="Times New Roman" w:hAnsi="Times New Roman" w:cs="Times New Roman"/>
          <w:sz w:val="26"/>
          <w:szCs w:val="26"/>
        </w:rPr>
        <w:t xml:space="preserve">bo </w:t>
      </w:r>
      <w:r w:rsidR="00B744FA" w:rsidRPr="00DE2470">
        <w:rPr>
          <w:rFonts w:ascii="Times New Roman" w:hAnsi="Times New Roman" w:cs="Times New Roman"/>
          <w:sz w:val="26"/>
          <w:szCs w:val="26"/>
        </w:rPr>
        <w:t xml:space="preserve">3% spadek powierzchni </w:t>
      </w:r>
      <w:r w:rsidR="00C04669" w:rsidRPr="00DE2470">
        <w:rPr>
          <w:rFonts w:ascii="Times New Roman" w:hAnsi="Times New Roman" w:cs="Times New Roman"/>
          <w:sz w:val="26"/>
          <w:szCs w:val="26"/>
        </w:rPr>
        <w:t>użytkowanych gruntów.</w:t>
      </w:r>
    </w:p>
    <w:p w:rsidR="001257D5" w:rsidRPr="00DE2470" w:rsidRDefault="003C58C7" w:rsidP="00DE2470">
      <w:pPr>
        <w:spacing w:before="40" w:after="0" w:line="264" w:lineRule="auto"/>
        <w:ind w:firstLine="425"/>
        <w:jc w:val="both"/>
        <w:rPr>
          <w:rFonts w:ascii="Times New Roman" w:hAnsi="Times New Roman" w:cs="Times New Roman"/>
          <w:sz w:val="26"/>
          <w:szCs w:val="26"/>
        </w:rPr>
      </w:pPr>
      <w:r w:rsidRPr="00DE2470">
        <w:rPr>
          <w:rFonts w:ascii="Times New Roman" w:hAnsi="Times New Roman" w:cs="Times New Roman"/>
          <w:sz w:val="26"/>
          <w:szCs w:val="26"/>
        </w:rPr>
        <w:t>Należy zwrócić uwagę</w:t>
      </w:r>
      <w:r w:rsidR="00AA6FA2" w:rsidRPr="00DE2470">
        <w:rPr>
          <w:rFonts w:ascii="Times New Roman" w:hAnsi="Times New Roman" w:cs="Times New Roman"/>
          <w:sz w:val="26"/>
          <w:szCs w:val="26"/>
        </w:rPr>
        <w:t>,</w:t>
      </w:r>
      <w:r w:rsidRPr="00DE2470">
        <w:rPr>
          <w:rFonts w:ascii="Times New Roman" w:hAnsi="Times New Roman" w:cs="Times New Roman"/>
          <w:sz w:val="26"/>
          <w:szCs w:val="26"/>
        </w:rPr>
        <w:t xml:space="preserve"> iż</w:t>
      </w:r>
      <w:r w:rsidR="00AA6FA2" w:rsidRPr="00DE2470">
        <w:rPr>
          <w:rFonts w:ascii="Times New Roman" w:hAnsi="Times New Roman" w:cs="Times New Roman"/>
          <w:sz w:val="26"/>
          <w:szCs w:val="26"/>
        </w:rPr>
        <w:t xml:space="preserve"> mimo poprawy dochodowości działalności</w:t>
      </w:r>
      <w:r w:rsidR="00664450" w:rsidRPr="00DE2470">
        <w:rPr>
          <w:rFonts w:ascii="Times New Roman" w:hAnsi="Times New Roman" w:cs="Times New Roman"/>
          <w:sz w:val="26"/>
          <w:szCs w:val="26"/>
        </w:rPr>
        <w:t>,</w:t>
      </w:r>
      <w:r w:rsidR="00AA6FA2" w:rsidRPr="00DE2470">
        <w:rPr>
          <w:rFonts w:ascii="Times New Roman" w:hAnsi="Times New Roman" w:cs="Times New Roman"/>
          <w:sz w:val="26"/>
          <w:szCs w:val="26"/>
        </w:rPr>
        <w:t xml:space="preserve"> </w:t>
      </w:r>
      <w:r w:rsidRPr="00DE2470">
        <w:rPr>
          <w:rFonts w:ascii="Times New Roman" w:hAnsi="Times New Roman" w:cs="Times New Roman"/>
          <w:sz w:val="26"/>
          <w:szCs w:val="26"/>
        </w:rPr>
        <w:t>wzrostu</w:t>
      </w:r>
      <w:r w:rsidR="00AA6FA2" w:rsidRPr="00DE2470">
        <w:rPr>
          <w:rFonts w:ascii="Times New Roman" w:hAnsi="Times New Roman" w:cs="Times New Roman"/>
          <w:sz w:val="26"/>
          <w:szCs w:val="26"/>
        </w:rPr>
        <w:t xml:space="preserve"> wskaźnika generowania</w:t>
      </w:r>
      <w:r w:rsidRPr="00DE2470">
        <w:rPr>
          <w:rFonts w:ascii="Times New Roman" w:hAnsi="Times New Roman" w:cs="Times New Roman"/>
          <w:sz w:val="26"/>
          <w:szCs w:val="26"/>
        </w:rPr>
        <w:t xml:space="preserve"> wolnej gotówki, spółdzielnie nie prowadziły w ostatnim roku znaczących inwestycji. Świadczy o tym przeciętna stopa inwestycji na poziomie 0,93. Spółdzielnie postanowiły zatem uzyskane nadwyżki w ostatnim roku, po dwóch latach słabej koniunktury przeznaczyć na rezerwy. W obecnej sytuacji niepewności wywołanej rozprzestrzenianiem się choćby groźnego wirusa ASF, jest to</w:t>
      </w:r>
      <w:r w:rsidR="002C41D3" w:rsidRPr="00DE2470">
        <w:rPr>
          <w:rFonts w:ascii="Times New Roman" w:hAnsi="Times New Roman" w:cs="Times New Roman"/>
          <w:sz w:val="26"/>
          <w:szCs w:val="26"/>
        </w:rPr>
        <w:t xml:space="preserve"> strategia w pełni zrozumiała.</w:t>
      </w:r>
    </w:p>
    <w:p w:rsidR="00F44B90" w:rsidRPr="00DE2470" w:rsidRDefault="00B17C41" w:rsidP="00DE2470">
      <w:pPr>
        <w:spacing w:before="40" w:after="0" w:line="264" w:lineRule="auto"/>
        <w:ind w:firstLine="425"/>
        <w:jc w:val="both"/>
        <w:rPr>
          <w:rFonts w:ascii="Times New Roman" w:hAnsi="Times New Roman" w:cs="Times New Roman"/>
          <w:sz w:val="26"/>
          <w:szCs w:val="26"/>
        </w:rPr>
      </w:pPr>
      <w:r w:rsidRPr="00DE2470">
        <w:rPr>
          <w:rFonts w:ascii="Times New Roman" w:hAnsi="Times New Roman" w:cs="Times New Roman"/>
          <w:sz w:val="26"/>
          <w:szCs w:val="26"/>
        </w:rPr>
        <w:t>S</w:t>
      </w:r>
      <w:r w:rsidR="001E2280" w:rsidRPr="00DE2470">
        <w:rPr>
          <w:rFonts w:ascii="Times New Roman" w:hAnsi="Times New Roman" w:cs="Times New Roman"/>
          <w:sz w:val="26"/>
          <w:szCs w:val="26"/>
        </w:rPr>
        <w:t>półdzielnie</w:t>
      </w:r>
      <w:r w:rsidR="002C41D3" w:rsidRPr="00DE2470">
        <w:rPr>
          <w:rFonts w:ascii="Times New Roman" w:hAnsi="Times New Roman" w:cs="Times New Roman"/>
          <w:sz w:val="26"/>
          <w:szCs w:val="26"/>
        </w:rPr>
        <w:t xml:space="preserve"> o ukierunkowaniu</w:t>
      </w:r>
      <w:r w:rsidR="001E2280" w:rsidRPr="00DE2470">
        <w:rPr>
          <w:rFonts w:ascii="Times New Roman" w:hAnsi="Times New Roman" w:cs="Times New Roman"/>
          <w:sz w:val="26"/>
          <w:szCs w:val="26"/>
        </w:rPr>
        <w:t xml:space="preserve"> wielostronn</w:t>
      </w:r>
      <w:r w:rsidR="002C41D3" w:rsidRPr="00DE2470">
        <w:rPr>
          <w:rFonts w:ascii="Times New Roman" w:hAnsi="Times New Roman" w:cs="Times New Roman"/>
          <w:sz w:val="26"/>
          <w:szCs w:val="26"/>
        </w:rPr>
        <w:t>ym</w:t>
      </w:r>
      <w:r w:rsidR="007D2D5A" w:rsidRPr="00DE2470">
        <w:rPr>
          <w:rFonts w:ascii="Times New Roman" w:hAnsi="Times New Roman" w:cs="Times New Roman"/>
          <w:sz w:val="26"/>
          <w:szCs w:val="26"/>
        </w:rPr>
        <w:t xml:space="preserve"> </w:t>
      </w:r>
      <w:r w:rsidR="003C31E9" w:rsidRPr="00DE2470">
        <w:rPr>
          <w:rFonts w:ascii="Times New Roman" w:hAnsi="Times New Roman" w:cs="Times New Roman"/>
          <w:sz w:val="26"/>
          <w:szCs w:val="26"/>
        </w:rPr>
        <w:t>w</w:t>
      </w:r>
      <w:r w:rsidR="002C41D3" w:rsidRPr="00DE2470">
        <w:rPr>
          <w:rFonts w:ascii="Times New Roman" w:hAnsi="Times New Roman" w:cs="Times New Roman"/>
          <w:sz w:val="26"/>
          <w:szCs w:val="26"/>
        </w:rPr>
        <w:t xml:space="preserve"> 2017</w:t>
      </w:r>
      <w:r w:rsidR="001060A4" w:rsidRPr="00DE2470">
        <w:rPr>
          <w:rFonts w:ascii="Times New Roman" w:hAnsi="Times New Roman" w:cs="Times New Roman"/>
          <w:sz w:val="26"/>
          <w:szCs w:val="26"/>
        </w:rPr>
        <w:t> </w:t>
      </w:r>
      <w:r w:rsidR="00275EFF" w:rsidRPr="00DE2470">
        <w:rPr>
          <w:rFonts w:ascii="Times New Roman" w:hAnsi="Times New Roman" w:cs="Times New Roman"/>
          <w:sz w:val="26"/>
          <w:szCs w:val="26"/>
        </w:rPr>
        <w:t xml:space="preserve">r. </w:t>
      </w:r>
      <w:r w:rsidR="002C41D3" w:rsidRPr="00DE2470">
        <w:rPr>
          <w:rFonts w:ascii="Times New Roman" w:hAnsi="Times New Roman" w:cs="Times New Roman"/>
          <w:sz w:val="26"/>
          <w:szCs w:val="26"/>
        </w:rPr>
        <w:t>były grupą o najwyższej dochodowości działalności</w:t>
      </w:r>
      <w:r w:rsidR="00E177A3" w:rsidRPr="00DE2470">
        <w:rPr>
          <w:rFonts w:ascii="Times New Roman" w:hAnsi="Times New Roman" w:cs="Times New Roman"/>
          <w:sz w:val="26"/>
          <w:szCs w:val="26"/>
        </w:rPr>
        <w:t xml:space="preserve"> gospodarczej</w:t>
      </w:r>
      <w:r w:rsidR="00B34B4E" w:rsidRPr="00DE2470">
        <w:rPr>
          <w:rFonts w:ascii="Times New Roman" w:hAnsi="Times New Roman" w:cs="Times New Roman"/>
          <w:sz w:val="26"/>
          <w:szCs w:val="26"/>
        </w:rPr>
        <w:t>;</w:t>
      </w:r>
      <w:r w:rsidR="00E177A3" w:rsidRPr="00DE2470">
        <w:rPr>
          <w:rFonts w:ascii="Times New Roman" w:hAnsi="Times New Roman" w:cs="Times New Roman"/>
          <w:sz w:val="26"/>
          <w:szCs w:val="26"/>
        </w:rPr>
        <w:t xml:space="preserve"> wartość tego wskaźnika wyniosła</w:t>
      </w:r>
      <w:r w:rsidR="00CD62BD" w:rsidRPr="00DE2470">
        <w:rPr>
          <w:rFonts w:ascii="Times New Roman" w:hAnsi="Times New Roman" w:cs="Times New Roman"/>
          <w:sz w:val="26"/>
          <w:szCs w:val="26"/>
        </w:rPr>
        <w:t xml:space="preserve"> </w:t>
      </w:r>
      <w:r w:rsidR="00E177A3" w:rsidRPr="00DE2470">
        <w:rPr>
          <w:rFonts w:ascii="Times New Roman" w:hAnsi="Times New Roman" w:cs="Times New Roman"/>
          <w:sz w:val="26"/>
          <w:szCs w:val="26"/>
        </w:rPr>
        <w:t>28,4</w:t>
      </w:r>
      <w:r w:rsidR="00CD62BD" w:rsidRPr="00DE2470">
        <w:rPr>
          <w:rFonts w:ascii="Times New Roman" w:hAnsi="Times New Roman" w:cs="Times New Roman"/>
          <w:sz w:val="26"/>
          <w:szCs w:val="26"/>
        </w:rPr>
        <w:t xml:space="preserve">%. </w:t>
      </w:r>
      <w:r w:rsidR="0042785C" w:rsidRPr="00DE2470">
        <w:rPr>
          <w:rFonts w:ascii="Times New Roman" w:hAnsi="Times New Roman" w:cs="Times New Roman"/>
          <w:sz w:val="26"/>
          <w:szCs w:val="26"/>
        </w:rPr>
        <w:t>Niżej</w:t>
      </w:r>
      <w:r w:rsidR="001833C3" w:rsidRPr="00DE2470">
        <w:rPr>
          <w:rFonts w:ascii="Times New Roman" w:hAnsi="Times New Roman" w:cs="Times New Roman"/>
          <w:sz w:val="26"/>
          <w:szCs w:val="26"/>
        </w:rPr>
        <w:t xml:space="preserve"> o 0,2 p.p. niż w przypadku ukierunkowania </w:t>
      </w:r>
      <w:r w:rsidR="005E2D09" w:rsidRPr="00DE2470">
        <w:rPr>
          <w:rFonts w:ascii="Times New Roman" w:hAnsi="Times New Roman" w:cs="Times New Roman"/>
          <w:sz w:val="26"/>
          <w:szCs w:val="26"/>
        </w:rPr>
        <w:t>roślinnego</w:t>
      </w:r>
      <w:r w:rsidR="001833C3" w:rsidRPr="00DE2470">
        <w:rPr>
          <w:rFonts w:ascii="Times New Roman" w:hAnsi="Times New Roman" w:cs="Times New Roman"/>
          <w:sz w:val="26"/>
          <w:szCs w:val="26"/>
        </w:rPr>
        <w:t>, wypadł</w:t>
      </w:r>
      <w:r w:rsidR="005E2D09" w:rsidRPr="00DE2470">
        <w:rPr>
          <w:rFonts w:ascii="Times New Roman" w:hAnsi="Times New Roman" w:cs="Times New Roman"/>
          <w:sz w:val="26"/>
          <w:szCs w:val="26"/>
        </w:rPr>
        <w:t xml:space="preserve"> dla tego ukierunkowania</w:t>
      </w:r>
      <w:r w:rsidR="001833C3" w:rsidRPr="00DE2470">
        <w:rPr>
          <w:rFonts w:ascii="Times New Roman" w:hAnsi="Times New Roman" w:cs="Times New Roman"/>
          <w:sz w:val="26"/>
          <w:szCs w:val="26"/>
        </w:rPr>
        <w:t xml:space="preserve"> wskaźnik wartości dodanej. Głównym powodem takiej różnicy </w:t>
      </w:r>
      <w:r w:rsidR="005E2D09" w:rsidRPr="00DE2470">
        <w:rPr>
          <w:rFonts w:ascii="Times New Roman" w:hAnsi="Times New Roman" w:cs="Times New Roman"/>
          <w:sz w:val="26"/>
          <w:szCs w:val="26"/>
        </w:rPr>
        <w:t>było</w:t>
      </w:r>
      <w:r w:rsidR="001833C3" w:rsidRPr="00DE2470">
        <w:rPr>
          <w:rFonts w:ascii="Times New Roman" w:hAnsi="Times New Roman" w:cs="Times New Roman"/>
          <w:sz w:val="26"/>
          <w:szCs w:val="26"/>
        </w:rPr>
        <w:t xml:space="preserve"> wyższe zaangażowanie pracy w gospodarstwach wielostronnych. Spółdzielnie te jednak mogły poszczycić się najwyższym wskaźnikiem dochodowości pracy członka, który wzrósł z 72,8 tys. zł w roku 2016 do 111,4 tys. zł. </w:t>
      </w:r>
      <w:r w:rsidR="00A5628E" w:rsidRPr="00DE2470">
        <w:rPr>
          <w:rFonts w:ascii="Times New Roman" w:hAnsi="Times New Roman" w:cs="Times New Roman"/>
          <w:sz w:val="26"/>
          <w:szCs w:val="26"/>
        </w:rPr>
        <w:t>w</w:t>
      </w:r>
      <w:r w:rsidR="001833C3" w:rsidRPr="00DE2470">
        <w:rPr>
          <w:rFonts w:ascii="Times New Roman" w:hAnsi="Times New Roman" w:cs="Times New Roman"/>
          <w:sz w:val="26"/>
          <w:szCs w:val="26"/>
        </w:rPr>
        <w:t xml:space="preserve"> roku 2017 (wzrost o 53%). Spółdzielnie te charakteryzowały się ponadto w ostatnim roku najwyższym</w:t>
      </w:r>
      <w:r w:rsidR="001060A4" w:rsidRPr="00DE2470">
        <w:rPr>
          <w:rFonts w:ascii="Times New Roman" w:hAnsi="Times New Roman" w:cs="Times New Roman"/>
          <w:sz w:val="26"/>
          <w:szCs w:val="26"/>
        </w:rPr>
        <w:t>,</w:t>
      </w:r>
      <w:r w:rsidR="001833C3" w:rsidRPr="00DE2470">
        <w:rPr>
          <w:rFonts w:ascii="Times New Roman" w:hAnsi="Times New Roman" w:cs="Times New Roman"/>
          <w:sz w:val="26"/>
          <w:szCs w:val="26"/>
        </w:rPr>
        <w:t xml:space="preserve"> bo wynoszącym 1,4 indeksem tworzenia wartości. Dla ich członków jest to informacja</w:t>
      </w:r>
      <w:r w:rsidR="00A5628E" w:rsidRPr="00DE2470">
        <w:rPr>
          <w:rFonts w:ascii="Times New Roman" w:hAnsi="Times New Roman" w:cs="Times New Roman"/>
          <w:sz w:val="26"/>
          <w:szCs w:val="26"/>
        </w:rPr>
        <w:t>,</w:t>
      </w:r>
      <w:r w:rsidR="001833C3" w:rsidRPr="00DE2470">
        <w:rPr>
          <w:rFonts w:ascii="Times New Roman" w:hAnsi="Times New Roman" w:cs="Times New Roman"/>
          <w:sz w:val="26"/>
          <w:szCs w:val="26"/>
        </w:rPr>
        <w:t xml:space="preserve"> że kapitał zaangażowany w tych gospodarstwach pomnażany był</w:t>
      </w:r>
      <w:r w:rsidR="00FE4D6C" w:rsidRPr="00DE2470">
        <w:rPr>
          <w:rFonts w:ascii="Times New Roman" w:hAnsi="Times New Roman" w:cs="Times New Roman"/>
          <w:sz w:val="26"/>
          <w:szCs w:val="26"/>
        </w:rPr>
        <w:t xml:space="preserve"> znacznie</w:t>
      </w:r>
      <w:r w:rsidR="001833C3" w:rsidRPr="00DE2470">
        <w:rPr>
          <w:rFonts w:ascii="Times New Roman" w:hAnsi="Times New Roman" w:cs="Times New Roman"/>
          <w:sz w:val="26"/>
          <w:szCs w:val="26"/>
        </w:rPr>
        <w:t xml:space="preserve"> lepiej niż w przypadku bezp</w:t>
      </w:r>
      <w:r w:rsidR="00FE4D6C" w:rsidRPr="00DE2470">
        <w:rPr>
          <w:rFonts w:ascii="Times New Roman" w:hAnsi="Times New Roman" w:cs="Times New Roman"/>
          <w:sz w:val="26"/>
          <w:szCs w:val="26"/>
        </w:rPr>
        <w:t>iecznych lokat czy obligacji. Warto zaznaczyć, iż ukierunkowanie to było jedynym</w:t>
      </w:r>
      <w:r w:rsidR="00F030E7" w:rsidRPr="00DE2470">
        <w:rPr>
          <w:rFonts w:ascii="Times New Roman" w:hAnsi="Times New Roman" w:cs="Times New Roman"/>
          <w:sz w:val="26"/>
          <w:szCs w:val="26"/>
        </w:rPr>
        <w:t>,</w:t>
      </w:r>
      <w:r w:rsidR="00FE4D6C" w:rsidRPr="00DE2470">
        <w:rPr>
          <w:rFonts w:ascii="Times New Roman" w:hAnsi="Times New Roman" w:cs="Times New Roman"/>
          <w:sz w:val="26"/>
          <w:szCs w:val="26"/>
        </w:rPr>
        <w:t xml:space="preserve"> gdzie za wzrostem dochodowości prowadzonej działalności poszły widoczne inwestycj</w:t>
      </w:r>
      <w:r w:rsidR="00A5628E" w:rsidRPr="00DE2470">
        <w:rPr>
          <w:rFonts w:ascii="Times New Roman" w:hAnsi="Times New Roman" w:cs="Times New Roman"/>
          <w:sz w:val="26"/>
          <w:szCs w:val="26"/>
        </w:rPr>
        <w:t>e</w:t>
      </w:r>
      <w:r w:rsidR="00FE4D6C" w:rsidRPr="00DE2470">
        <w:rPr>
          <w:rFonts w:ascii="Times New Roman" w:hAnsi="Times New Roman" w:cs="Times New Roman"/>
          <w:sz w:val="26"/>
          <w:szCs w:val="26"/>
        </w:rPr>
        <w:t>. Wskaźnik stopy inwestycji wyniósł 1,39. Od paru już lat RSP wielostronne są</w:t>
      </w:r>
      <w:r w:rsidR="00A93566" w:rsidRPr="00DE2470">
        <w:rPr>
          <w:rFonts w:ascii="Times New Roman" w:hAnsi="Times New Roman" w:cs="Times New Roman"/>
          <w:sz w:val="26"/>
          <w:szCs w:val="26"/>
        </w:rPr>
        <w:t xml:space="preserve"> u</w:t>
      </w:r>
      <w:r w:rsidR="00E30516" w:rsidRPr="00DE2470">
        <w:rPr>
          <w:rFonts w:ascii="Times New Roman" w:hAnsi="Times New Roman" w:cs="Times New Roman"/>
          <w:sz w:val="26"/>
          <w:szCs w:val="26"/>
        </w:rPr>
        <w:t>kierunkowaniem</w:t>
      </w:r>
      <w:r w:rsidR="001060A4" w:rsidRPr="00DE2470">
        <w:rPr>
          <w:rFonts w:ascii="Times New Roman" w:hAnsi="Times New Roman" w:cs="Times New Roman"/>
          <w:sz w:val="26"/>
          <w:szCs w:val="26"/>
        </w:rPr>
        <w:t>,</w:t>
      </w:r>
      <w:r w:rsidR="00FE4D6C" w:rsidRPr="00DE2470">
        <w:rPr>
          <w:rFonts w:ascii="Times New Roman" w:hAnsi="Times New Roman" w:cs="Times New Roman"/>
          <w:sz w:val="26"/>
          <w:szCs w:val="26"/>
        </w:rPr>
        <w:t xml:space="preserve"> w</w:t>
      </w:r>
      <w:r w:rsidR="00A93566" w:rsidRPr="00DE2470">
        <w:rPr>
          <w:rFonts w:ascii="Times New Roman" w:hAnsi="Times New Roman" w:cs="Times New Roman"/>
          <w:sz w:val="26"/>
          <w:szCs w:val="26"/>
        </w:rPr>
        <w:t xml:space="preserve"> k</w:t>
      </w:r>
      <w:r w:rsidR="00FE4D6C" w:rsidRPr="00DE2470">
        <w:rPr>
          <w:rFonts w:ascii="Times New Roman" w:hAnsi="Times New Roman" w:cs="Times New Roman"/>
          <w:sz w:val="26"/>
          <w:szCs w:val="26"/>
        </w:rPr>
        <w:t>tórym</w:t>
      </w:r>
      <w:r w:rsidR="00A93566" w:rsidRPr="00DE2470">
        <w:rPr>
          <w:rFonts w:ascii="Times New Roman" w:hAnsi="Times New Roman" w:cs="Times New Roman"/>
          <w:sz w:val="26"/>
          <w:szCs w:val="26"/>
        </w:rPr>
        <w:t xml:space="preserve"> </w:t>
      </w:r>
      <w:r w:rsidR="00F030E7" w:rsidRPr="00DE2470">
        <w:rPr>
          <w:rFonts w:ascii="Times New Roman" w:hAnsi="Times New Roman" w:cs="Times New Roman"/>
          <w:sz w:val="26"/>
          <w:szCs w:val="26"/>
        </w:rPr>
        <w:t>w najmniejszym stopniu ubywa powierzchni ziemi.</w:t>
      </w:r>
      <w:r w:rsidR="00FE4D6C" w:rsidRPr="00DE2470">
        <w:rPr>
          <w:rFonts w:ascii="Times New Roman" w:hAnsi="Times New Roman" w:cs="Times New Roman"/>
          <w:sz w:val="26"/>
          <w:szCs w:val="26"/>
        </w:rPr>
        <w:t xml:space="preserve"> Choć można było zaobserwować w tej grupie takie zjawisko w ostatnim roku</w:t>
      </w:r>
      <w:r w:rsidR="001841DC" w:rsidRPr="00DE2470">
        <w:rPr>
          <w:rFonts w:ascii="Times New Roman" w:hAnsi="Times New Roman" w:cs="Times New Roman"/>
          <w:sz w:val="26"/>
          <w:szCs w:val="26"/>
        </w:rPr>
        <w:t xml:space="preserve"> </w:t>
      </w:r>
      <w:r w:rsidR="00FE4D6C" w:rsidRPr="00DE2470">
        <w:rPr>
          <w:rFonts w:ascii="Times New Roman" w:hAnsi="Times New Roman" w:cs="Times New Roman"/>
          <w:sz w:val="26"/>
          <w:szCs w:val="26"/>
        </w:rPr>
        <w:t>to jego skala była zdecydowanie najmniejsza.</w:t>
      </w:r>
    </w:p>
    <w:p w:rsidR="00605D95" w:rsidRPr="00DE2470" w:rsidRDefault="00FE4D6C" w:rsidP="00DE2470">
      <w:pPr>
        <w:spacing w:before="40" w:after="0" w:line="264" w:lineRule="auto"/>
        <w:ind w:firstLine="425"/>
        <w:jc w:val="both"/>
        <w:rPr>
          <w:rFonts w:ascii="Times New Roman" w:hAnsi="Times New Roman" w:cs="Times New Roman"/>
          <w:sz w:val="26"/>
          <w:szCs w:val="26"/>
        </w:rPr>
      </w:pPr>
      <w:r w:rsidRPr="00DE2470">
        <w:rPr>
          <w:rFonts w:ascii="Times New Roman" w:hAnsi="Times New Roman" w:cs="Times New Roman"/>
          <w:sz w:val="26"/>
          <w:szCs w:val="26"/>
        </w:rPr>
        <w:t>Rok 2017</w:t>
      </w:r>
      <w:r w:rsidR="00F44B90" w:rsidRPr="00DE2470">
        <w:rPr>
          <w:rFonts w:ascii="Times New Roman" w:hAnsi="Times New Roman" w:cs="Times New Roman"/>
          <w:sz w:val="26"/>
          <w:szCs w:val="26"/>
        </w:rPr>
        <w:t xml:space="preserve"> dla s</w:t>
      </w:r>
      <w:r w:rsidR="00CA236C" w:rsidRPr="00DE2470">
        <w:rPr>
          <w:rFonts w:ascii="Times New Roman" w:hAnsi="Times New Roman" w:cs="Times New Roman"/>
          <w:sz w:val="26"/>
          <w:szCs w:val="26"/>
        </w:rPr>
        <w:t>półdzielni o ukierunkowaniu roślinnym</w:t>
      </w:r>
      <w:r w:rsidR="00F030E7" w:rsidRPr="00DE2470">
        <w:rPr>
          <w:rFonts w:ascii="Times New Roman" w:hAnsi="Times New Roman" w:cs="Times New Roman"/>
          <w:sz w:val="26"/>
          <w:szCs w:val="26"/>
        </w:rPr>
        <w:t>,</w:t>
      </w:r>
      <w:r w:rsidR="00CA236C" w:rsidRPr="00DE2470">
        <w:rPr>
          <w:rFonts w:ascii="Times New Roman" w:hAnsi="Times New Roman" w:cs="Times New Roman"/>
          <w:sz w:val="26"/>
          <w:szCs w:val="26"/>
        </w:rPr>
        <w:t xml:space="preserve"> </w:t>
      </w:r>
      <w:r w:rsidR="00F44B90" w:rsidRPr="00DE2470">
        <w:rPr>
          <w:rFonts w:ascii="Times New Roman" w:hAnsi="Times New Roman" w:cs="Times New Roman"/>
          <w:sz w:val="26"/>
          <w:szCs w:val="26"/>
        </w:rPr>
        <w:t xml:space="preserve">był </w:t>
      </w:r>
      <w:r w:rsidR="00605D95" w:rsidRPr="00DE2470">
        <w:rPr>
          <w:rFonts w:ascii="Times New Roman" w:hAnsi="Times New Roman" w:cs="Times New Roman"/>
          <w:sz w:val="26"/>
          <w:szCs w:val="26"/>
        </w:rPr>
        <w:t>podobnie jak w innych grupach RSP rokiem, w którym poprawiły się wyniki ekonomiczno-finansowe</w:t>
      </w:r>
      <w:r w:rsidR="00F44B90" w:rsidRPr="00DE2470">
        <w:rPr>
          <w:rFonts w:ascii="Times New Roman" w:hAnsi="Times New Roman" w:cs="Times New Roman"/>
          <w:sz w:val="26"/>
          <w:szCs w:val="26"/>
        </w:rPr>
        <w:t xml:space="preserve">. </w:t>
      </w:r>
      <w:r w:rsidR="00605D95" w:rsidRPr="00DE2470">
        <w:rPr>
          <w:rFonts w:ascii="Times New Roman" w:hAnsi="Times New Roman" w:cs="Times New Roman"/>
          <w:sz w:val="26"/>
          <w:szCs w:val="26"/>
        </w:rPr>
        <w:t>Wskaźnik dochodowości działalności gospodarczej wzrósł w stosunku do 2015 i 2016</w:t>
      </w:r>
      <w:r w:rsidR="001060A4" w:rsidRPr="00DE2470">
        <w:rPr>
          <w:rFonts w:ascii="Times New Roman" w:hAnsi="Times New Roman" w:cs="Times New Roman"/>
          <w:sz w:val="26"/>
          <w:szCs w:val="26"/>
        </w:rPr>
        <w:t> </w:t>
      </w:r>
      <w:r w:rsidR="005E2D09" w:rsidRPr="00DE2470">
        <w:rPr>
          <w:rFonts w:ascii="Times New Roman" w:hAnsi="Times New Roman" w:cs="Times New Roman"/>
          <w:sz w:val="26"/>
          <w:szCs w:val="26"/>
        </w:rPr>
        <w:t>r.</w:t>
      </w:r>
      <w:r w:rsidR="00605D95" w:rsidRPr="00DE2470">
        <w:rPr>
          <w:rFonts w:ascii="Times New Roman" w:hAnsi="Times New Roman" w:cs="Times New Roman"/>
          <w:sz w:val="26"/>
          <w:szCs w:val="26"/>
        </w:rPr>
        <w:t xml:space="preserve"> odpowiednio o 2,1</w:t>
      </w:r>
      <w:r w:rsidR="00F030E7" w:rsidRPr="00DE2470">
        <w:rPr>
          <w:rFonts w:ascii="Times New Roman" w:hAnsi="Times New Roman" w:cs="Times New Roman"/>
          <w:sz w:val="26"/>
          <w:szCs w:val="26"/>
        </w:rPr>
        <w:t xml:space="preserve"> </w:t>
      </w:r>
      <w:r w:rsidR="00605D95" w:rsidRPr="00DE2470">
        <w:rPr>
          <w:rFonts w:ascii="Times New Roman" w:hAnsi="Times New Roman" w:cs="Times New Roman"/>
          <w:sz w:val="26"/>
          <w:szCs w:val="26"/>
        </w:rPr>
        <w:t>p.p. i 1,6 p.p. i wyniósł 24,3%.</w:t>
      </w:r>
      <w:r w:rsidR="006A33D6" w:rsidRPr="00DE2470">
        <w:rPr>
          <w:rFonts w:ascii="Times New Roman" w:hAnsi="Times New Roman" w:cs="Times New Roman"/>
          <w:sz w:val="26"/>
          <w:szCs w:val="26"/>
        </w:rPr>
        <w:t xml:space="preserve"> Osiągnięto w tej grupie wysokie wartości wskaźników pracy: wydajność pracy ukształtowała się na poziomie 105,1 tys. zł na osobę zatrudnion</w:t>
      </w:r>
      <w:r w:rsidR="00F030E7" w:rsidRPr="00DE2470">
        <w:rPr>
          <w:rFonts w:ascii="Times New Roman" w:hAnsi="Times New Roman" w:cs="Times New Roman"/>
          <w:sz w:val="26"/>
          <w:szCs w:val="26"/>
        </w:rPr>
        <w:t>ą,</w:t>
      </w:r>
      <w:r w:rsidR="006A33D6" w:rsidRPr="00DE2470">
        <w:rPr>
          <w:rFonts w:ascii="Times New Roman" w:hAnsi="Times New Roman" w:cs="Times New Roman"/>
          <w:sz w:val="26"/>
          <w:szCs w:val="26"/>
        </w:rPr>
        <w:t xml:space="preserve"> a wskaźnik dochodowości pracy na członka </w:t>
      </w:r>
      <w:r w:rsidR="006A33D6" w:rsidRPr="00DE2470">
        <w:rPr>
          <w:rFonts w:ascii="Times New Roman" w:hAnsi="Times New Roman" w:cs="Times New Roman"/>
          <w:sz w:val="26"/>
          <w:szCs w:val="26"/>
        </w:rPr>
        <w:lastRenderedPageBreak/>
        <w:t>wyniósł 63,2%. W obu przypadkach były to wartości najwyższe w ostatnim trzyleciu. Z pewności</w:t>
      </w:r>
      <w:r w:rsidR="00F030E7" w:rsidRPr="00DE2470">
        <w:rPr>
          <w:rFonts w:ascii="Times New Roman" w:hAnsi="Times New Roman" w:cs="Times New Roman"/>
          <w:sz w:val="26"/>
          <w:szCs w:val="26"/>
        </w:rPr>
        <w:t>ą</w:t>
      </w:r>
      <w:r w:rsidR="006A33D6" w:rsidRPr="00DE2470">
        <w:rPr>
          <w:rFonts w:ascii="Times New Roman" w:hAnsi="Times New Roman" w:cs="Times New Roman"/>
          <w:sz w:val="26"/>
          <w:szCs w:val="26"/>
        </w:rPr>
        <w:t xml:space="preserve"> pozytywny wpływ na te wyniki m</w:t>
      </w:r>
      <w:r w:rsidR="00F030E7" w:rsidRPr="00DE2470">
        <w:rPr>
          <w:rFonts w:ascii="Times New Roman" w:hAnsi="Times New Roman" w:cs="Times New Roman"/>
          <w:sz w:val="26"/>
          <w:szCs w:val="26"/>
        </w:rPr>
        <w:t>i</w:t>
      </w:r>
      <w:r w:rsidR="006A33D6" w:rsidRPr="00DE2470">
        <w:rPr>
          <w:rFonts w:ascii="Times New Roman" w:hAnsi="Times New Roman" w:cs="Times New Roman"/>
          <w:sz w:val="26"/>
          <w:szCs w:val="26"/>
        </w:rPr>
        <w:t xml:space="preserve">ała redukcja zatrudnienia, która w tym okresie </w:t>
      </w:r>
      <w:r w:rsidR="005E2D09" w:rsidRPr="00DE2470">
        <w:rPr>
          <w:rFonts w:ascii="Times New Roman" w:hAnsi="Times New Roman" w:cs="Times New Roman"/>
          <w:sz w:val="26"/>
          <w:szCs w:val="26"/>
        </w:rPr>
        <w:t>w tej zbiorowości była najbardziej widoczna</w:t>
      </w:r>
      <w:r w:rsidR="006A33D6" w:rsidRPr="00DE2470">
        <w:rPr>
          <w:rFonts w:ascii="Times New Roman" w:hAnsi="Times New Roman" w:cs="Times New Roman"/>
          <w:sz w:val="26"/>
          <w:szCs w:val="26"/>
        </w:rPr>
        <w:t xml:space="preserve">. </w:t>
      </w:r>
    </w:p>
    <w:p w:rsidR="00EE0C0A" w:rsidRDefault="006A33D6" w:rsidP="00DE2470">
      <w:pPr>
        <w:spacing w:before="40" w:after="0" w:line="264" w:lineRule="auto"/>
        <w:ind w:firstLine="425"/>
        <w:jc w:val="both"/>
        <w:rPr>
          <w:rFonts w:ascii="Times New Roman" w:hAnsi="Times New Roman" w:cs="Times New Roman"/>
          <w:sz w:val="26"/>
          <w:szCs w:val="26"/>
        </w:rPr>
      </w:pPr>
      <w:r w:rsidRPr="00DE2470">
        <w:rPr>
          <w:rFonts w:ascii="Times New Roman" w:hAnsi="Times New Roman" w:cs="Times New Roman"/>
          <w:sz w:val="26"/>
          <w:szCs w:val="26"/>
        </w:rPr>
        <w:t>Na uw</w:t>
      </w:r>
      <w:r w:rsidR="00F030E7" w:rsidRPr="00DE2470">
        <w:rPr>
          <w:rFonts w:ascii="Times New Roman" w:hAnsi="Times New Roman" w:cs="Times New Roman"/>
          <w:sz w:val="26"/>
          <w:szCs w:val="26"/>
        </w:rPr>
        <w:t>agę w tej grupie RSP</w:t>
      </w:r>
      <w:r w:rsidRPr="00DE2470">
        <w:rPr>
          <w:rFonts w:ascii="Times New Roman" w:hAnsi="Times New Roman" w:cs="Times New Roman"/>
          <w:sz w:val="26"/>
          <w:szCs w:val="26"/>
        </w:rPr>
        <w:t xml:space="preserve"> zasługuje również najwyższy wskaźnik wolnych środków finansowych, mimo zmiennych uwarunkowań w całym 3-leciu</w:t>
      </w:r>
      <w:r w:rsidR="00F030E7" w:rsidRPr="00DE2470">
        <w:rPr>
          <w:rFonts w:ascii="Times New Roman" w:hAnsi="Times New Roman" w:cs="Times New Roman"/>
          <w:sz w:val="26"/>
          <w:szCs w:val="26"/>
        </w:rPr>
        <w:t>,</w:t>
      </w:r>
      <w:r w:rsidRPr="00DE2470">
        <w:rPr>
          <w:rFonts w:ascii="Times New Roman" w:hAnsi="Times New Roman" w:cs="Times New Roman"/>
          <w:sz w:val="26"/>
          <w:szCs w:val="26"/>
        </w:rPr>
        <w:t xml:space="preserve"> oscylował on w granicach 10%</w:t>
      </w:r>
      <w:r w:rsidR="00EE0C0A" w:rsidRPr="00DE2470">
        <w:rPr>
          <w:rFonts w:ascii="Times New Roman" w:hAnsi="Times New Roman" w:cs="Times New Roman"/>
          <w:sz w:val="26"/>
          <w:szCs w:val="26"/>
        </w:rPr>
        <w:t xml:space="preserve"> przychodów. Mimo wyraźnych nadwyżek wolnych środków grupa ta nie zdecydowała się na zwiększenie skali inwestycji</w:t>
      </w:r>
      <w:r w:rsidR="00F030E7" w:rsidRPr="00DE2470">
        <w:rPr>
          <w:rFonts w:ascii="Times New Roman" w:hAnsi="Times New Roman" w:cs="Times New Roman"/>
          <w:sz w:val="26"/>
          <w:szCs w:val="26"/>
        </w:rPr>
        <w:t>,</w:t>
      </w:r>
      <w:r w:rsidR="00EE0C0A" w:rsidRPr="00DE2470">
        <w:rPr>
          <w:rFonts w:ascii="Times New Roman" w:hAnsi="Times New Roman" w:cs="Times New Roman"/>
          <w:sz w:val="26"/>
          <w:szCs w:val="26"/>
        </w:rPr>
        <w:t xml:space="preserve"> o czym świadczy zawężona reprodukcja majątku (stopa inwestycji 0,74).</w:t>
      </w:r>
    </w:p>
    <w:p w:rsidR="002B051A" w:rsidRPr="00270617" w:rsidRDefault="002B051A" w:rsidP="002B051A">
      <w:pPr>
        <w:spacing w:line="264" w:lineRule="auto"/>
        <w:ind w:firstLine="426"/>
        <w:jc w:val="right"/>
        <w:rPr>
          <w:rFonts w:ascii="Times New Roman" w:eastAsia="Times New Roman" w:hAnsi="Times New Roman" w:cs="Times New Roman"/>
          <w:sz w:val="24"/>
        </w:rPr>
      </w:pPr>
      <w:r>
        <w:rPr>
          <w:rFonts w:ascii="Times New Roman" w:eastAsia="Times New Roman" w:hAnsi="Times New Roman" w:cs="Times New Roman"/>
          <w:sz w:val="24"/>
        </w:rPr>
        <w:t>Tabela 4</w:t>
      </w:r>
    </w:p>
    <w:p w:rsidR="002B051A" w:rsidRPr="00377E89" w:rsidRDefault="002B051A" w:rsidP="002B051A">
      <w:pPr>
        <w:spacing w:after="0" w:line="240" w:lineRule="auto"/>
        <w:jc w:val="center"/>
        <w:rPr>
          <w:rFonts w:ascii="Times New Roman" w:eastAsia="Times New Roman" w:hAnsi="Times New Roman" w:cs="Times New Roman"/>
          <w:sz w:val="24"/>
        </w:rPr>
      </w:pPr>
      <w:r w:rsidRPr="00270617">
        <w:rPr>
          <w:rFonts w:ascii="Times New Roman" w:eastAsia="Times New Roman" w:hAnsi="Times New Roman" w:cs="Times New Roman"/>
          <w:sz w:val="24"/>
        </w:rPr>
        <w:t>Sytuacja ekonomiczno-finansowa RSP w</w:t>
      </w:r>
      <w:r>
        <w:rPr>
          <w:rFonts w:ascii="Times New Roman" w:eastAsia="Times New Roman" w:hAnsi="Times New Roman" w:cs="Times New Roman"/>
          <w:sz w:val="24"/>
        </w:rPr>
        <w:t>edłu</w:t>
      </w:r>
      <w:r w:rsidRPr="00270617">
        <w:rPr>
          <w:rFonts w:ascii="Times New Roman" w:eastAsia="Times New Roman" w:hAnsi="Times New Roman" w:cs="Times New Roman"/>
          <w:sz w:val="24"/>
        </w:rPr>
        <w:t xml:space="preserve">g ukierunkowania produkcyjnego w latach </w:t>
      </w:r>
      <w:r>
        <w:rPr>
          <w:rFonts w:ascii="Times New Roman" w:eastAsia="Times New Roman" w:hAnsi="Times New Roman" w:cs="Times New Roman"/>
          <w:sz w:val="24"/>
        </w:rPr>
        <w:t>2015-2017</w:t>
      </w:r>
    </w:p>
    <w:tbl>
      <w:tblPr>
        <w:tblW w:w="0" w:type="auto"/>
        <w:jc w:val="center"/>
        <w:tblCellMar>
          <w:left w:w="10" w:type="dxa"/>
          <w:right w:w="10" w:type="dxa"/>
        </w:tblCellMar>
        <w:tblLook w:val="0000" w:firstRow="0" w:lastRow="0" w:firstColumn="0" w:lastColumn="0" w:noHBand="0" w:noVBand="0"/>
      </w:tblPr>
      <w:tblGrid>
        <w:gridCol w:w="2817"/>
        <w:gridCol w:w="673"/>
        <w:gridCol w:w="673"/>
        <w:gridCol w:w="730"/>
        <w:gridCol w:w="699"/>
        <w:gridCol w:w="699"/>
        <w:gridCol w:w="747"/>
        <w:gridCol w:w="729"/>
        <w:gridCol w:w="729"/>
        <w:gridCol w:w="790"/>
      </w:tblGrid>
      <w:tr w:rsidR="002B051A" w:rsidRPr="00270617" w:rsidTr="003601EB">
        <w:trPr>
          <w:trHeight w:val="20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70617" w:rsidRDefault="002B051A" w:rsidP="003601EB">
            <w:pPr>
              <w:spacing w:line="240" w:lineRule="auto"/>
              <w:jc w:val="center"/>
              <w:rPr>
                <w:rFonts w:ascii="Calibri" w:eastAsia="Times New Roman" w:hAnsi="Calibri" w:cs="Times New Roman"/>
              </w:rPr>
            </w:pPr>
            <w:r w:rsidRPr="00270617">
              <w:rPr>
                <w:rFonts w:ascii="Times New Roman" w:eastAsia="Times New Roman" w:hAnsi="Times New Roman" w:cs="Times New Roman"/>
                <w:sz w:val="20"/>
              </w:rPr>
              <w:t>Wyszczególnienie</w:t>
            </w:r>
          </w:p>
        </w:tc>
        <w:tc>
          <w:tcPr>
            <w:tcW w:w="0" w:type="auto"/>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70617" w:rsidRDefault="002B051A" w:rsidP="003601EB">
            <w:pPr>
              <w:spacing w:line="240" w:lineRule="auto"/>
              <w:jc w:val="center"/>
              <w:rPr>
                <w:rFonts w:ascii="Calibri" w:eastAsia="Times New Roman" w:hAnsi="Calibri" w:cs="Times New Roman"/>
              </w:rPr>
            </w:pPr>
            <w:r>
              <w:rPr>
                <w:rFonts w:ascii="Times New Roman" w:eastAsia="Times New Roman" w:hAnsi="Times New Roman" w:cs="Times New Roman"/>
                <w:sz w:val="20"/>
              </w:rPr>
              <w:t>RSP wg kierunku produkcji:</w:t>
            </w:r>
          </w:p>
        </w:tc>
      </w:tr>
      <w:tr w:rsidR="002B051A" w:rsidRPr="00270617" w:rsidTr="003601EB">
        <w:trPr>
          <w:trHeight w:val="60"/>
          <w:jc w:val="center"/>
        </w:trPr>
        <w:tc>
          <w:tcPr>
            <w:tcW w:w="0" w:type="auto"/>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51A" w:rsidRPr="00270617" w:rsidRDefault="002B051A" w:rsidP="003601EB">
            <w:pPr>
              <w:rPr>
                <w:rFonts w:ascii="Calibri" w:eastAsia="Calibri" w:hAnsi="Calibri" w:cs="Calibri"/>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70617" w:rsidRDefault="002B051A" w:rsidP="003601EB">
            <w:pPr>
              <w:spacing w:line="240" w:lineRule="auto"/>
              <w:jc w:val="center"/>
              <w:rPr>
                <w:rFonts w:ascii="Calibri" w:eastAsia="Times New Roman" w:hAnsi="Calibri" w:cs="Times New Roman"/>
              </w:rPr>
            </w:pPr>
            <w:r>
              <w:rPr>
                <w:rFonts w:ascii="Times New Roman" w:eastAsia="Times New Roman" w:hAnsi="Times New Roman" w:cs="Times New Roman"/>
                <w:sz w:val="20"/>
              </w:rPr>
              <w:t>r</w:t>
            </w:r>
            <w:r w:rsidRPr="00270617">
              <w:rPr>
                <w:rFonts w:ascii="Times New Roman" w:eastAsia="Times New Roman" w:hAnsi="Times New Roman" w:cs="Times New Roman"/>
                <w:sz w:val="20"/>
              </w:rPr>
              <w:t>oślinny</w:t>
            </w:r>
            <w:r>
              <w:rPr>
                <w:rFonts w:ascii="Times New Roman" w:eastAsia="Times New Roman" w:hAnsi="Times New Roman" w:cs="Times New Roman"/>
                <w:sz w:val="20"/>
              </w:rPr>
              <w:t xml:space="preserve"> (panel 42 RSP)</w:t>
            </w: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70617" w:rsidRDefault="002B051A" w:rsidP="003601EB">
            <w:pPr>
              <w:spacing w:line="240" w:lineRule="auto"/>
              <w:jc w:val="center"/>
              <w:rPr>
                <w:rFonts w:ascii="Calibri" w:eastAsia="Times New Roman" w:hAnsi="Calibri" w:cs="Times New Roman"/>
              </w:rPr>
            </w:pPr>
            <w:r>
              <w:rPr>
                <w:rFonts w:ascii="Times New Roman" w:eastAsia="Times New Roman" w:hAnsi="Times New Roman" w:cs="Times New Roman"/>
                <w:sz w:val="20"/>
              </w:rPr>
              <w:t>z</w:t>
            </w:r>
            <w:r w:rsidRPr="00270617">
              <w:rPr>
                <w:rFonts w:ascii="Times New Roman" w:eastAsia="Times New Roman" w:hAnsi="Times New Roman" w:cs="Times New Roman"/>
                <w:sz w:val="20"/>
              </w:rPr>
              <w:t>wierzęcy</w:t>
            </w:r>
            <w:r>
              <w:rPr>
                <w:rFonts w:ascii="Times New Roman" w:eastAsia="Times New Roman" w:hAnsi="Times New Roman" w:cs="Times New Roman"/>
                <w:sz w:val="20"/>
              </w:rPr>
              <w:t xml:space="preserve"> (panel 16 RSP)</w:t>
            </w: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70617" w:rsidRDefault="002B051A" w:rsidP="003601EB">
            <w:pPr>
              <w:spacing w:line="240" w:lineRule="auto"/>
              <w:jc w:val="center"/>
              <w:rPr>
                <w:rFonts w:ascii="Calibri" w:eastAsia="Times New Roman" w:hAnsi="Calibri" w:cs="Times New Roman"/>
              </w:rPr>
            </w:pPr>
            <w:r>
              <w:rPr>
                <w:rFonts w:ascii="Times New Roman" w:eastAsia="Times New Roman" w:hAnsi="Times New Roman" w:cs="Times New Roman"/>
                <w:sz w:val="20"/>
              </w:rPr>
              <w:t>w</w:t>
            </w:r>
            <w:r w:rsidRPr="00270617">
              <w:rPr>
                <w:rFonts w:ascii="Times New Roman" w:eastAsia="Times New Roman" w:hAnsi="Times New Roman" w:cs="Times New Roman"/>
                <w:sz w:val="20"/>
              </w:rPr>
              <w:t>ielostronny</w:t>
            </w:r>
            <w:r>
              <w:rPr>
                <w:rFonts w:ascii="Times New Roman" w:eastAsia="Times New Roman" w:hAnsi="Times New Roman" w:cs="Times New Roman"/>
                <w:sz w:val="20"/>
              </w:rPr>
              <w:t xml:space="preserve"> (panel 19 RSP)</w:t>
            </w:r>
          </w:p>
        </w:tc>
      </w:tr>
      <w:tr w:rsidR="002B051A" w:rsidRPr="00270617" w:rsidTr="003601EB">
        <w:trPr>
          <w:trHeight w:val="125"/>
          <w:jc w:val="center"/>
        </w:trPr>
        <w:tc>
          <w:tcPr>
            <w:tcW w:w="0" w:type="auto"/>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51A" w:rsidRPr="00270617" w:rsidRDefault="002B051A" w:rsidP="003601EB">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51A" w:rsidRPr="00270617" w:rsidRDefault="002B051A" w:rsidP="003601EB">
            <w:pPr>
              <w:spacing w:after="120" w:line="240" w:lineRule="auto"/>
              <w:jc w:val="center"/>
              <w:rPr>
                <w:rFonts w:ascii="Calibri" w:eastAsia="Times New Roman" w:hAnsi="Calibri" w:cs="Times New Roman"/>
              </w:rPr>
            </w:pPr>
            <w:r>
              <w:rPr>
                <w:rFonts w:ascii="Times New Roman" w:eastAsia="Times New Roman" w:hAnsi="Times New Roman" w:cs="Times New Roman"/>
              </w:rPr>
              <w:t>2015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51A" w:rsidRPr="00270617" w:rsidRDefault="002B051A" w:rsidP="003601EB">
            <w:pPr>
              <w:spacing w:after="120" w:line="240" w:lineRule="auto"/>
              <w:jc w:val="center"/>
              <w:rPr>
                <w:rFonts w:ascii="Calibri" w:eastAsia="Times New Roman" w:hAnsi="Calibri" w:cs="Times New Roman"/>
              </w:rPr>
            </w:pPr>
            <w:r>
              <w:rPr>
                <w:rFonts w:ascii="Times New Roman" w:eastAsia="Times New Roman" w:hAnsi="Times New Roman" w:cs="Times New Roman"/>
              </w:rPr>
              <w:t>2016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51A" w:rsidRPr="00346776" w:rsidRDefault="002B051A" w:rsidP="003601EB">
            <w:pPr>
              <w:spacing w:after="120" w:line="240" w:lineRule="auto"/>
              <w:jc w:val="center"/>
              <w:rPr>
                <w:rFonts w:ascii="Times New Roman" w:eastAsia="Times New Roman" w:hAnsi="Times New Roman" w:cs="Times New Roman"/>
              </w:rPr>
            </w:pPr>
            <w:r w:rsidRPr="00346776">
              <w:rPr>
                <w:rFonts w:ascii="Times New Roman" w:eastAsia="Times New Roman" w:hAnsi="Times New Roman" w:cs="Times New Roman"/>
              </w:rPr>
              <w:t>201</w:t>
            </w:r>
            <w:r>
              <w:rPr>
                <w:rFonts w:ascii="Times New Roman" w:eastAsia="Times New Roman" w:hAnsi="Times New Roman" w:cs="Times New Roman"/>
              </w:rPr>
              <w:t>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51A" w:rsidRPr="00143806" w:rsidRDefault="002B051A" w:rsidP="003601EB">
            <w:pPr>
              <w:spacing w:after="120" w:line="240" w:lineRule="auto"/>
              <w:jc w:val="center"/>
              <w:rPr>
                <w:rFonts w:ascii="Times New Roman" w:eastAsia="Times New Roman" w:hAnsi="Times New Roman" w:cs="Times New Roman"/>
              </w:rPr>
            </w:pPr>
            <w:r w:rsidRPr="00143806">
              <w:rPr>
                <w:rFonts w:ascii="Times New Roman" w:eastAsia="Times New Roman" w:hAnsi="Times New Roman" w:cs="Times New Roman"/>
              </w:rPr>
              <w:t>2015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51A" w:rsidRPr="00143806" w:rsidRDefault="002B051A" w:rsidP="003601EB">
            <w:pPr>
              <w:spacing w:after="120" w:line="240" w:lineRule="auto"/>
              <w:jc w:val="center"/>
              <w:rPr>
                <w:rFonts w:ascii="Times New Roman" w:eastAsia="Times New Roman" w:hAnsi="Times New Roman" w:cs="Times New Roman"/>
              </w:rPr>
            </w:pPr>
            <w:r w:rsidRPr="00143806">
              <w:rPr>
                <w:rFonts w:ascii="Times New Roman" w:eastAsia="Times New Roman" w:hAnsi="Times New Roman" w:cs="Times New Roman"/>
              </w:rPr>
              <w:t>2016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51A" w:rsidRPr="00143806" w:rsidRDefault="002B051A" w:rsidP="003601EB">
            <w:pPr>
              <w:spacing w:after="120" w:line="240" w:lineRule="auto"/>
              <w:jc w:val="center"/>
              <w:rPr>
                <w:rFonts w:ascii="Times New Roman" w:eastAsia="Times New Roman" w:hAnsi="Times New Roman" w:cs="Times New Roman"/>
              </w:rPr>
            </w:pPr>
            <w:r w:rsidRPr="00143806">
              <w:rPr>
                <w:rFonts w:ascii="Times New Roman" w:eastAsia="Times New Roman" w:hAnsi="Times New Roman" w:cs="Times New Roman"/>
              </w:rPr>
              <w:t>2017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51A" w:rsidRPr="00143806" w:rsidRDefault="002B051A" w:rsidP="003601EB">
            <w:pPr>
              <w:spacing w:after="120" w:line="240" w:lineRule="auto"/>
              <w:jc w:val="center"/>
              <w:rPr>
                <w:rFonts w:ascii="Times New Roman" w:eastAsia="Times New Roman" w:hAnsi="Times New Roman" w:cs="Times New Roman"/>
              </w:rPr>
            </w:pPr>
            <w:r w:rsidRPr="00143806">
              <w:rPr>
                <w:rFonts w:ascii="Times New Roman" w:eastAsia="Times New Roman" w:hAnsi="Times New Roman" w:cs="Times New Roman"/>
              </w:rPr>
              <w:t>2015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51A" w:rsidRPr="00143806" w:rsidRDefault="002B051A" w:rsidP="003601EB">
            <w:pPr>
              <w:spacing w:after="120" w:line="240" w:lineRule="auto"/>
              <w:jc w:val="center"/>
              <w:rPr>
                <w:rFonts w:ascii="Times New Roman" w:eastAsia="Times New Roman" w:hAnsi="Times New Roman" w:cs="Times New Roman"/>
              </w:rPr>
            </w:pPr>
            <w:r w:rsidRPr="00143806">
              <w:rPr>
                <w:rFonts w:ascii="Times New Roman" w:eastAsia="Times New Roman" w:hAnsi="Times New Roman" w:cs="Times New Roman"/>
              </w:rPr>
              <w:t>2016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51A" w:rsidRPr="00143806" w:rsidRDefault="002B051A" w:rsidP="003601EB">
            <w:pPr>
              <w:spacing w:after="120" w:line="240" w:lineRule="auto"/>
              <w:jc w:val="center"/>
              <w:rPr>
                <w:rFonts w:ascii="Times New Roman" w:eastAsia="Times New Roman" w:hAnsi="Times New Roman" w:cs="Times New Roman"/>
              </w:rPr>
            </w:pPr>
            <w:r w:rsidRPr="00143806">
              <w:rPr>
                <w:rFonts w:ascii="Times New Roman" w:eastAsia="Times New Roman" w:hAnsi="Times New Roman" w:cs="Times New Roman"/>
              </w:rPr>
              <w:t>2017</w:t>
            </w:r>
          </w:p>
        </w:tc>
      </w:tr>
      <w:tr w:rsidR="002B051A" w:rsidRPr="00270617" w:rsidTr="003601EB">
        <w:trPr>
          <w:trHeight w:val="468"/>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51A" w:rsidRPr="00270617" w:rsidRDefault="002B051A" w:rsidP="003601EB">
            <w:pPr>
              <w:spacing w:line="240" w:lineRule="auto"/>
              <w:rPr>
                <w:rFonts w:ascii="Calibri" w:eastAsia="Times New Roman" w:hAnsi="Calibri" w:cs="Times New Roman"/>
              </w:rPr>
            </w:pPr>
            <w:r w:rsidRPr="00270617">
              <w:rPr>
                <w:rFonts w:ascii="Times New Roman" w:eastAsia="Times New Roman" w:hAnsi="Times New Roman" w:cs="Times New Roman"/>
                <w:sz w:val="20"/>
              </w:rPr>
              <w:t>Przeciętny obszar (ha UR)</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143806" w:rsidRDefault="002B051A" w:rsidP="003601EB">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571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143806" w:rsidRDefault="002B051A" w:rsidP="003601EB">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570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143806" w:rsidRDefault="002B051A" w:rsidP="003601EB">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564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A577D8" w:rsidRDefault="002B051A" w:rsidP="003601EB">
            <w:pPr>
              <w:spacing w:after="120" w:line="240" w:lineRule="auto"/>
              <w:jc w:val="center"/>
              <w:rPr>
                <w:rFonts w:ascii="Times New Roman" w:eastAsia="Times New Roman" w:hAnsi="Times New Roman" w:cs="Times New Roman"/>
              </w:rPr>
            </w:pPr>
            <w:r w:rsidRPr="00A577D8">
              <w:rPr>
                <w:rFonts w:ascii="Times New Roman" w:eastAsia="Times New Roman" w:hAnsi="Times New Roman" w:cs="Times New Roman"/>
              </w:rPr>
              <w:t>605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A577D8" w:rsidRDefault="002B051A" w:rsidP="003601EB">
            <w:pPr>
              <w:spacing w:after="120" w:line="240" w:lineRule="auto"/>
              <w:jc w:val="center"/>
              <w:rPr>
                <w:rFonts w:ascii="Times New Roman" w:eastAsia="Times New Roman" w:hAnsi="Times New Roman" w:cs="Times New Roman"/>
              </w:rPr>
            </w:pPr>
            <w:r w:rsidRPr="00A577D8">
              <w:rPr>
                <w:rFonts w:ascii="Times New Roman" w:eastAsia="Times New Roman" w:hAnsi="Times New Roman" w:cs="Times New Roman"/>
              </w:rPr>
              <w:t>588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A577D8" w:rsidRDefault="002B051A" w:rsidP="003601EB">
            <w:pPr>
              <w:spacing w:after="120" w:line="240" w:lineRule="auto"/>
              <w:jc w:val="center"/>
              <w:rPr>
                <w:rFonts w:ascii="Times New Roman" w:eastAsia="Times New Roman" w:hAnsi="Times New Roman" w:cs="Times New Roman"/>
              </w:rPr>
            </w:pPr>
            <w:r w:rsidRPr="00A577D8">
              <w:rPr>
                <w:rFonts w:ascii="Times New Roman" w:eastAsia="Times New Roman" w:hAnsi="Times New Roman" w:cs="Times New Roman"/>
              </w:rPr>
              <w:t>587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472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473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468</w:t>
            </w:r>
          </w:p>
        </w:tc>
      </w:tr>
      <w:tr w:rsidR="002B051A" w:rsidRPr="00270617" w:rsidTr="003601EB">
        <w:trPr>
          <w:trHeight w:val="468"/>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70617" w:rsidRDefault="002B051A" w:rsidP="003601EB">
            <w:pPr>
              <w:spacing w:line="240" w:lineRule="auto"/>
              <w:rPr>
                <w:rFonts w:ascii="Calibri" w:eastAsia="Times New Roman" w:hAnsi="Calibri" w:cs="Times New Roman"/>
              </w:rPr>
            </w:pPr>
            <w:r>
              <w:rPr>
                <w:rFonts w:ascii="Times New Roman" w:eastAsia="Times New Roman" w:hAnsi="Times New Roman" w:cs="Times New Roman"/>
                <w:sz w:val="20"/>
              </w:rPr>
              <w:t xml:space="preserve">Przychody ogółem </w:t>
            </w:r>
            <w:r w:rsidRPr="00270617">
              <w:rPr>
                <w:rFonts w:ascii="Times New Roman" w:eastAsia="Times New Roman" w:hAnsi="Times New Roman" w:cs="Times New Roman"/>
                <w:sz w:val="20"/>
              </w:rPr>
              <w:t xml:space="preserve">( </w:t>
            </w:r>
            <w:r>
              <w:rPr>
                <w:rFonts w:ascii="Times New Roman" w:eastAsia="Times New Roman" w:hAnsi="Times New Roman" w:cs="Times New Roman"/>
                <w:sz w:val="20"/>
              </w:rPr>
              <w:t>mln</w:t>
            </w:r>
            <w:r w:rsidRPr="00270617">
              <w:rPr>
                <w:rFonts w:ascii="Times New Roman" w:eastAsia="Times New Roman" w:hAnsi="Times New Roman" w:cs="Times New Roman"/>
                <w:sz w:val="20"/>
              </w:rPr>
              <w:t xml:space="preserve"> zł)</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143806" w:rsidRDefault="002B051A" w:rsidP="003601EB">
            <w:pPr>
              <w:spacing w:after="120" w:line="240" w:lineRule="auto"/>
              <w:jc w:val="center"/>
              <w:rPr>
                <w:rFonts w:ascii="Times New Roman" w:eastAsia="Times New Roman" w:hAnsi="Times New Roman" w:cs="Times New Roman"/>
              </w:rPr>
            </w:pPr>
            <w:r w:rsidRPr="00143806">
              <w:rPr>
                <w:rFonts w:ascii="Times New Roman" w:eastAsia="Times New Roman" w:hAnsi="Times New Roman" w:cs="Times New Roman"/>
              </w:rPr>
              <w:t>5,1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143806" w:rsidRDefault="002B051A" w:rsidP="003601EB">
            <w:pPr>
              <w:spacing w:after="120" w:line="240" w:lineRule="auto"/>
              <w:jc w:val="center"/>
              <w:rPr>
                <w:rFonts w:ascii="Times New Roman" w:eastAsia="Times New Roman" w:hAnsi="Times New Roman" w:cs="Times New Roman"/>
              </w:rPr>
            </w:pPr>
            <w:r w:rsidRPr="00143806">
              <w:rPr>
                <w:rFonts w:ascii="Times New Roman" w:eastAsia="Times New Roman" w:hAnsi="Times New Roman" w:cs="Times New Roman"/>
              </w:rPr>
              <w:t>5,0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143806" w:rsidRDefault="002B051A" w:rsidP="003601EB">
            <w:pPr>
              <w:spacing w:after="120" w:line="240" w:lineRule="auto"/>
              <w:jc w:val="center"/>
              <w:rPr>
                <w:rFonts w:ascii="Times New Roman" w:eastAsia="Times New Roman" w:hAnsi="Times New Roman" w:cs="Times New Roman"/>
              </w:rPr>
            </w:pPr>
            <w:r w:rsidRPr="00143806">
              <w:rPr>
                <w:rFonts w:ascii="Times New Roman" w:eastAsia="Times New Roman" w:hAnsi="Times New Roman" w:cs="Times New Roman"/>
              </w:rPr>
              <w:t>5,1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11,5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11,5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11,9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4,1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4,1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4,5</w:t>
            </w:r>
          </w:p>
        </w:tc>
      </w:tr>
      <w:tr w:rsidR="002B051A" w:rsidRPr="00270617" w:rsidTr="003601EB">
        <w:trPr>
          <w:trHeight w:val="441"/>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70617" w:rsidRDefault="002B051A" w:rsidP="003601EB">
            <w:pPr>
              <w:spacing w:line="240" w:lineRule="auto"/>
              <w:rPr>
                <w:rFonts w:ascii="Calibri" w:eastAsia="Times New Roman" w:hAnsi="Calibri" w:cs="Times New Roman"/>
              </w:rPr>
            </w:pPr>
            <w:r w:rsidRPr="00270617">
              <w:rPr>
                <w:rFonts w:ascii="Times New Roman" w:eastAsia="Times New Roman" w:hAnsi="Times New Roman" w:cs="Times New Roman"/>
                <w:sz w:val="20"/>
              </w:rPr>
              <w:t>Pracujący na 100 ha UR (osoby)</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143806" w:rsidRDefault="002B051A" w:rsidP="003601EB">
            <w:pPr>
              <w:spacing w:after="120" w:line="240" w:lineRule="auto"/>
              <w:jc w:val="center"/>
              <w:rPr>
                <w:rFonts w:ascii="Times New Roman" w:eastAsia="Times New Roman" w:hAnsi="Times New Roman" w:cs="Times New Roman"/>
              </w:rPr>
            </w:pPr>
            <w:r w:rsidRPr="00143806">
              <w:rPr>
                <w:rFonts w:ascii="Times New Roman" w:eastAsia="Times New Roman" w:hAnsi="Times New Roman" w:cs="Times New Roman"/>
              </w:rPr>
              <w:t>3,3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143806" w:rsidRDefault="002B051A" w:rsidP="003601EB">
            <w:pPr>
              <w:spacing w:after="120" w:line="240" w:lineRule="auto"/>
              <w:jc w:val="center"/>
              <w:rPr>
                <w:rFonts w:ascii="Times New Roman" w:eastAsia="Times New Roman" w:hAnsi="Times New Roman" w:cs="Times New Roman"/>
              </w:rPr>
            </w:pPr>
            <w:r w:rsidRPr="00143806">
              <w:rPr>
                <w:rFonts w:ascii="Times New Roman" w:eastAsia="Times New Roman" w:hAnsi="Times New Roman" w:cs="Times New Roman"/>
              </w:rPr>
              <w:t>3,1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143806" w:rsidRDefault="002B051A" w:rsidP="003601EB">
            <w:pPr>
              <w:spacing w:after="120" w:line="240" w:lineRule="auto"/>
              <w:jc w:val="center"/>
              <w:rPr>
                <w:rFonts w:ascii="Times New Roman" w:eastAsia="Times New Roman" w:hAnsi="Times New Roman" w:cs="Times New Roman"/>
              </w:rPr>
            </w:pPr>
            <w:r w:rsidRPr="00143806">
              <w:rPr>
                <w:rFonts w:ascii="Times New Roman" w:eastAsia="Times New Roman" w:hAnsi="Times New Roman" w:cs="Times New Roman"/>
              </w:rPr>
              <w:t>3,0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5,8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6,1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5,8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4,1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4,0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4,0</w:t>
            </w:r>
          </w:p>
        </w:tc>
      </w:tr>
      <w:tr w:rsidR="002B051A" w:rsidRPr="00270617" w:rsidTr="003601EB">
        <w:trPr>
          <w:trHeight w:val="429"/>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70617" w:rsidRDefault="002B051A" w:rsidP="003601EB">
            <w:pPr>
              <w:spacing w:line="240" w:lineRule="auto"/>
              <w:rPr>
                <w:rFonts w:ascii="Calibri" w:eastAsia="Times New Roman" w:hAnsi="Calibri" w:cs="Times New Roman"/>
              </w:rPr>
            </w:pPr>
            <w:r w:rsidRPr="00270617">
              <w:rPr>
                <w:rFonts w:ascii="Times New Roman" w:eastAsia="Times New Roman" w:hAnsi="Times New Roman" w:cs="Times New Roman"/>
                <w:sz w:val="20"/>
              </w:rPr>
              <w:t>Wydajność pracy – wartość dodana (tys. zł/osobę)</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94,0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97,1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105,1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82,2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78,7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100,1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88,1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88,4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114,6</w:t>
            </w:r>
          </w:p>
        </w:tc>
      </w:tr>
      <w:tr w:rsidR="002B051A" w:rsidRPr="00270617" w:rsidTr="003601EB">
        <w:trPr>
          <w:trHeight w:val="441"/>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70617" w:rsidRDefault="002B051A" w:rsidP="003601EB">
            <w:pPr>
              <w:spacing w:line="240" w:lineRule="auto"/>
              <w:rPr>
                <w:rFonts w:ascii="Calibri" w:eastAsia="Times New Roman" w:hAnsi="Calibri" w:cs="Times New Roman"/>
              </w:rPr>
            </w:pPr>
            <w:r w:rsidRPr="00270617">
              <w:rPr>
                <w:rFonts w:ascii="Times New Roman" w:eastAsia="Times New Roman" w:hAnsi="Times New Roman" w:cs="Times New Roman"/>
                <w:sz w:val="20"/>
              </w:rPr>
              <w:t>Wskaźnik wartości dodanej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42,8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43,5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44,0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34,1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33,1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34,1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41,2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38,8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43,8</w:t>
            </w:r>
          </w:p>
        </w:tc>
      </w:tr>
      <w:tr w:rsidR="002B051A" w:rsidRPr="00270617" w:rsidTr="003601EB">
        <w:trPr>
          <w:trHeight w:val="429"/>
          <w:jc w:val="center"/>
        </w:trPr>
        <w:tc>
          <w:tcPr>
            <w:tcW w:w="0" w:type="auto"/>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line="240" w:lineRule="auto"/>
              <w:rPr>
                <w:rFonts w:ascii="Calibri" w:eastAsia="Times New Roman" w:hAnsi="Calibri" w:cs="Times New Roman"/>
              </w:rPr>
            </w:pPr>
            <w:r w:rsidRPr="003A4539">
              <w:rPr>
                <w:rFonts w:ascii="Times New Roman" w:eastAsia="Times New Roman" w:hAnsi="Times New Roman" w:cs="Times New Roman"/>
                <w:sz w:val="20"/>
              </w:rPr>
              <w:t>Wskaźniki dochodowości:</w:t>
            </w:r>
          </w:p>
        </w:tc>
      </w:tr>
      <w:tr w:rsidR="002B051A" w:rsidRPr="00270617" w:rsidTr="003601EB">
        <w:trPr>
          <w:trHeight w:val="441"/>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51A" w:rsidRPr="00270617" w:rsidRDefault="002B051A" w:rsidP="003601EB">
            <w:pPr>
              <w:spacing w:line="240" w:lineRule="auto"/>
              <w:rPr>
                <w:rFonts w:ascii="Calibri" w:eastAsia="Times New Roman" w:hAnsi="Calibri" w:cs="Times New Roman"/>
              </w:rPr>
            </w:pPr>
            <w:r w:rsidRPr="00270617">
              <w:rPr>
                <w:rFonts w:ascii="Times New Roman" w:eastAsia="Times New Roman" w:hAnsi="Times New Roman" w:cs="Times New Roman"/>
                <w:sz w:val="20"/>
              </w:rPr>
              <w:t>- pracy członka (tys. zł/osobę)</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52,4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53,3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63,2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52,0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47,9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67,6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4F1F44" w:rsidRDefault="002B051A" w:rsidP="003601EB">
            <w:pPr>
              <w:spacing w:after="120" w:line="240" w:lineRule="auto"/>
              <w:jc w:val="center"/>
              <w:rPr>
                <w:rFonts w:ascii="Times New Roman" w:eastAsia="Times New Roman" w:hAnsi="Times New Roman" w:cs="Times New Roman"/>
              </w:rPr>
            </w:pPr>
            <w:r w:rsidRPr="004F1F44">
              <w:rPr>
                <w:rFonts w:ascii="Times New Roman" w:eastAsia="Times New Roman" w:hAnsi="Times New Roman" w:cs="Times New Roman"/>
              </w:rPr>
              <w:t>65,1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4F1F44" w:rsidRDefault="002B051A" w:rsidP="003601EB">
            <w:pPr>
              <w:spacing w:after="120" w:line="240" w:lineRule="auto"/>
              <w:jc w:val="center"/>
              <w:rPr>
                <w:rFonts w:ascii="Times New Roman" w:eastAsia="Times New Roman" w:hAnsi="Times New Roman" w:cs="Times New Roman"/>
              </w:rPr>
            </w:pPr>
            <w:r w:rsidRPr="004F1F44">
              <w:rPr>
                <w:rFonts w:ascii="Times New Roman" w:eastAsia="Times New Roman" w:hAnsi="Times New Roman" w:cs="Times New Roman"/>
              </w:rPr>
              <w:t>72,8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4F1F44" w:rsidRDefault="002B051A" w:rsidP="003601EB">
            <w:pPr>
              <w:spacing w:after="120" w:line="240" w:lineRule="auto"/>
              <w:jc w:val="center"/>
              <w:rPr>
                <w:rFonts w:ascii="Times New Roman" w:eastAsia="Times New Roman" w:hAnsi="Times New Roman" w:cs="Times New Roman"/>
              </w:rPr>
            </w:pPr>
            <w:r w:rsidRPr="004F1F44">
              <w:rPr>
                <w:rFonts w:ascii="Times New Roman" w:eastAsia="Times New Roman" w:hAnsi="Times New Roman" w:cs="Times New Roman"/>
              </w:rPr>
              <w:t>111,4</w:t>
            </w:r>
          </w:p>
        </w:tc>
      </w:tr>
      <w:tr w:rsidR="002B051A" w:rsidRPr="00270617" w:rsidTr="003601EB">
        <w:trPr>
          <w:trHeight w:val="429"/>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51A" w:rsidRPr="00270617" w:rsidRDefault="002B051A" w:rsidP="003601EB">
            <w:pPr>
              <w:spacing w:line="240" w:lineRule="auto"/>
              <w:rPr>
                <w:rFonts w:ascii="Calibri" w:eastAsia="Times New Roman" w:hAnsi="Calibri" w:cs="Times New Roman"/>
              </w:rPr>
            </w:pPr>
            <w:r w:rsidRPr="00270617">
              <w:rPr>
                <w:rFonts w:ascii="Times New Roman" w:eastAsia="Times New Roman" w:hAnsi="Times New Roman" w:cs="Times New Roman"/>
                <w:sz w:val="20"/>
              </w:rPr>
              <w:t>- działalności gospodarczej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22,2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22,7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24,3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18,3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17,1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20,3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4F1F44" w:rsidRDefault="002B051A" w:rsidP="003601EB">
            <w:pPr>
              <w:spacing w:after="120" w:line="240" w:lineRule="auto"/>
              <w:jc w:val="center"/>
              <w:rPr>
                <w:rFonts w:ascii="Times New Roman" w:eastAsia="Times New Roman" w:hAnsi="Times New Roman" w:cs="Times New Roman"/>
              </w:rPr>
            </w:pPr>
            <w:r w:rsidRPr="004F1F44">
              <w:rPr>
                <w:rFonts w:ascii="Times New Roman" w:eastAsia="Times New Roman" w:hAnsi="Times New Roman" w:cs="Times New Roman"/>
              </w:rPr>
              <w:t>25,3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4F1F44" w:rsidRDefault="002B051A" w:rsidP="003601EB">
            <w:pPr>
              <w:spacing w:after="120" w:line="240" w:lineRule="auto"/>
              <w:jc w:val="center"/>
              <w:rPr>
                <w:rFonts w:ascii="Times New Roman" w:eastAsia="Times New Roman" w:hAnsi="Times New Roman" w:cs="Times New Roman"/>
              </w:rPr>
            </w:pPr>
            <w:r w:rsidRPr="004F1F44">
              <w:rPr>
                <w:rFonts w:ascii="Times New Roman" w:eastAsia="Times New Roman" w:hAnsi="Times New Roman" w:cs="Times New Roman"/>
              </w:rPr>
              <w:t>22,6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4F1F44" w:rsidRDefault="002B051A" w:rsidP="003601EB">
            <w:pPr>
              <w:spacing w:after="120" w:line="240" w:lineRule="auto"/>
              <w:jc w:val="center"/>
              <w:rPr>
                <w:rFonts w:ascii="Times New Roman" w:eastAsia="Times New Roman" w:hAnsi="Times New Roman" w:cs="Times New Roman"/>
              </w:rPr>
            </w:pPr>
            <w:r w:rsidRPr="004F1F44">
              <w:rPr>
                <w:rFonts w:ascii="Times New Roman" w:eastAsia="Times New Roman" w:hAnsi="Times New Roman" w:cs="Times New Roman"/>
              </w:rPr>
              <w:t>28,4</w:t>
            </w:r>
          </w:p>
        </w:tc>
      </w:tr>
      <w:tr w:rsidR="002B051A" w:rsidRPr="00270617" w:rsidTr="003601EB">
        <w:trPr>
          <w:trHeight w:val="441"/>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51A" w:rsidRPr="00270617" w:rsidRDefault="002B051A" w:rsidP="003601EB">
            <w:pPr>
              <w:spacing w:line="240" w:lineRule="auto"/>
              <w:rPr>
                <w:rFonts w:ascii="Calibri" w:eastAsia="Times New Roman" w:hAnsi="Calibri" w:cs="Times New Roman"/>
              </w:rPr>
            </w:pPr>
            <w:r w:rsidRPr="00270617">
              <w:rPr>
                <w:rFonts w:ascii="Times New Roman" w:eastAsia="Times New Roman" w:hAnsi="Times New Roman" w:cs="Times New Roman"/>
                <w:sz w:val="20"/>
              </w:rPr>
              <w:t>Indeks tworzenia wartości (krotność)</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0,9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0,7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1,2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-0,10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-0,82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0,81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4F1F44" w:rsidRDefault="002B051A" w:rsidP="003601EB">
            <w:pPr>
              <w:spacing w:after="120" w:line="240" w:lineRule="auto"/>
              <w:jc w:val="center"/>
              <w:rPr>
                <w:rFonts w:ascii="Times New Roman" w:eastAsia="Times New Roman" w:hAnsi="Times New Roman" w:cs="Times New Roman"/>
              </w:rPr>
            </w:pPr>
            <w:r w:rsidRPr="004F1F44">
              <w:rPr>
                <w:rFonts w:ascii="Times New Roman" w:eastAsia="Times New Roman" w:hAnsi="Times New Roman" w:cs="Times New Roman"/>
              </w:rPr>
              <w:t>-0,1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4F1F44" w:rsidRDefault="002B051A" w:rsidP="003601EB">
            <w:pPr>
              <w:spacing w:after="120" w:line="240" w:lineRule="auto"/>
              <w:jc w:val="center"/>
              <w:rPr>
                <w:rFonts w:ascii="Times New Roman" w:eastAsia="Times New Roman" w:hAnsi="Times New Roman" w:cs="Times New Roman"/>
              </w:rPr>
            </w:pPr>
            <w:r w:rsidRPr="004F1F44">
              <w:rPr>
                <w:rFonts w:ascii="Times New Roman" w:eastAsia="Times New Roman" w:hAnsi="Times New Roman" w:cs="Times New Roman"/>
              </w:rPr>
              <w:t>-1,3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4F1F44" w:rsidRDefault="002B051A" w:rsidP="003601EB">
            <w:pPr>
              <w:spacing w:after="120" w:line="240" w:lineRule="auto"/>
              <w:jc w:val="center"/>
              <w:rPr>
                <w:rFonts w:ascii="Times New Roman" w:eastAsia="Times New Roman" w:hAnsi="Times New Roman" w:cs="Times New Roman"/>
              </w:rPr>
            </w:pPr>
            <w:r w:rsidRPr="004F1F44">
              <w:rPr>
                <w:rFonts w:ascii="Times New Roman" w:eastAsia="Times New Roman" w:hAnsi="Times New Roman" w:cs="Times New Roman"/>
              </w:rPr>
              <w:t>1,4</w:t>
            </w:r>
          </w:p>
        </w:tc>
      </w:tr>
      <w:tr w:rsidR="002B051A" w:rsidRPr="00270617" w:rsidTr="003601EB">
        <w:trPr>
          <w:trHeight w:val="441"/>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51A" w:rsidRPr="00270617" w:rsidRDefault="002B051A" w:rsidP="003601EB">
            <w:pPr>
              <w:spacing w:line="240" w:lineRule="auto"/>
              <w:rPr>
                <w:rFonts w:ascii="Calibri" w:eastAsia="Times New Roman" w:hAnsi="Calibri" w:cs="Times New Roman"/>
              </w:rPr>
            </w:pPr>
            <w:r w:rsidRPr="00270617">
              <w:rPr>
                <w:rFonts w:ascii="Times New Roman" w:eastAsia="Times New Roman" w:hAnsi="Times New Roman" w:cs="Times New Roman"/>
                <w:sz w:val="20"/>
              </w:rPr>
              <w:t>Wskaźnik generowania gotówki operacyjnej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10,5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9,9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10,3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4,8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2,0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5,8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4F1F44" w:rsidRDefault="002B051A" w:rsidP="003601EB">
            <w:pPr>
              <w:spacing w:after="120" w:line="240" w:lineRule="auto"/>
              <w:jc w:val="center"/>
              <w:rPr>
                <w:rFonts w:ascii="Times New Roman" w:eastAsia="Times New Roman" w:hAnsi="Times New Roman" w:cs="Times New Roman"/>
              </w:rPr>
            </w:pPr>
            <w:r w:rsidRPr="004F1F44">
              <w:rPr>
                <w:rFonts w:ascii="Times New Roman" w:eastAsia="Times New Roman" w:hAnsi="Times New Roman" w:cs="Times New Roman"/>
              </w:rPr>
              <w:t>7,8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4F1F44" w:rsidRDefault="002B051A" w:rsidP="003601EB">
            <w:pPr>
              <w:spacing w:after="120" w:line="240" w:lineRule="auto"/>
              <w:jc w:val="center"/>
              <w:rPr>
                <w:rFonts w:ascii="Times New Roman" w:eastAsia="Times New Roman" w:hAnsi="Times New Roman" w:cs="Times New Roman"/>
              </w:rPr>
            </w:pPr>
            <w:r w:rsidRPr="004F1F44">
              <w:rPr>
                <w:rFonts w:ascii="Times New Roman" w:eastAsia="Times New Roman" w:hAnsi="Times New Roman" w:cs="Times New Roman"/>
              </w:rPr>
              <w:t>5,2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4F1F44" w:rsidRDefault="002B051A" w:rsidP="003601EB">
            <w:pPr>
              <w:spacing w:after="120" w:line="240" w:lineRule="auto"/>
              <w:jc w:val="center"/>
              <w:rPr>
                <w:rFonts w:ascii="Times New Roman" w:eastAsia="Times New Roman" w:hAnsi="Times New Roman" w:cs="Times New Roman"/>
              </w:rPr>
            </w:pPr>
            <w:r w:rsidRPr="004F1F44">
              <w:rPr>
                <w:rFonts w:ascii="Times New Roman" w:eastAsia="Times New Roman" w:hAnsi="Times New Roman" w:cs="Times New Roman"/>
              </w:rPr>
              <w:t>9,7</w:t>
            </w:r>
          </w:p>
        </w:tc>
      </w:tr>
      <w:tr w:rsidR="002B051A" w:rsidRPr="00270617" w:rsidTr="003601EB">
        <w:trPr>
          <w:trHeight w:val="441"/>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51A" w:rsidRPr="00270617" w:rsidRDefault="002B051A" w:rsidP="003601EB">
            <w:pPr>
              <w:spacing w:line="240" w:lineRule="auto"/>
              <w:rPr>
                <w:rFonts w:ascii="Calibri" w:eastAsia="Times New Roman" w:hAnsi="Calibri" w:cs="Times New Roman"/>
              </w:rPr>
            </w:pPr>
            <w:r w:rsidRPr="00270617">
              <w:rPr>
                <w:rFonts w:ascii="Times New Roman" w:eastAsia="Times New Roman" w:hAnsi="Times New Roman" w:cs="Times New Roman"/>
                <w:sz w:val="20"/>
              </w:rPr>
              <w:t>Stopa inwestycji (krotność)</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1,11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0,78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3A4539" w:rsidRDefault="002B051A" w:rsidP="003601EB">
            <w:pPr>
              <w:spacing w:after="120" w:line="240" w:lineRule="auto"/>
              <w:jc w:val="center"/>
              <w:rPr>
                <w:rFonts w:ascii="Times New Roman" w:eastAsia="Times New Roman" w:hAnsi="Times New Roman" w:cs="Times New Roman"/>
              </w:rPr>
            </w:pPr>
            <w:r w:rsidRPr="003A4539">
              <w:rPr>
                <w:rFonts w:ascii="Times New Roman" w:eastAsia="Times New Roman" w:hAnsi="Times New Roman" w:cs="Times New Roman"/>
              </w:rPr>
              <w:t>0,74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1,22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0,76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216C96" w:rsidRDefault="002B051A" w:rsidP="003601EB">
            <w:pPr>
              <w:spacing w:after="120" w:line="240" w:lineRule="auto"/>
              <w:jc w:val="center"/>
              <w:rPr>
                <w:rFonts w:ascii="Times New Roman" w:eastAsia="Times New Roman" w:hAnsi="Times New Roman" w:cs="Times New Roman"/>
              </w:rPr>
            </w:pPr>
            <w:r w:rsidRPr="00216C96">
              <w:rPr>
                <w:rFonts w:ascii="Times New Roman" w:eastAsia="Times New Roman" w:hAnsi="Times New Roman" w:cs="Times New Roman"/>
              </w:rPr>
              <w:t>0,93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4F1F44" w:rsidRDefault="002B051A" w:rsidP="003601EB">
            <w:pPr>
              <w:spacing w:after="120" w:line="240" w:lineRule="auto"/>
              <w:jc w:val="center"/>
              <w:rPr>
                <w:rFonts w:ascii="Times New Roman" w:eastAsia="Times New Roman" w:hAnsi="Times New Roman" w:cs="Times New Roman"/>
              </w:rPr>
            </w:pPr>
            <w:r w:rsidRPr="004F1F44">
              <w:rPr>
                <w:rFonts w:ascii="Times New Roman" w:eastAsia="Times New Roman" w:hAnsi="Times New Roman" w:cs="Times New Roman"/>
              </w:rPr>
              <w:t>1,31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4F1F44" w:rsidRDefault="002B051A" w:rsidP="003601EB">
            <w:pPr>
              <w:spacing w:after="120" w:line="240" w:lineRule="auto"/>
              <w:jc w:val="center"/>
              <w:rPr>
                <w:rFonts w:ascii="Times New Roman" w:eastAsia="Times New Roman" w:hAnsi="Times New Roman" w:cs="Times New Roman"/>
              </w:rPr>
            </w:pPr>
            <w:r w:rsidRPr="004F1F44">
              <w:rPr>
                <w:rFonts w:ascii="Times New Roman" w:eastAsia="Times New Roman" w:hAnsi="Times New Roman" w:cs="Times New Roman"/>
              </w:rPr>
              <w:t>1,00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51A" w:rsidRPr="004F1F44" w:rsidRDefault="002B051A" w:rsidP="003601EB">
            <w:pPr>
              <w:spacing w:after="120" w:line="240" w:lineRule="auto"/>
              <w:jc w:val="center"/>
              <w:rPr>
                <w:rFonts w:ascii="Times New Roman" w:eastAsia="Times New Roman" w:hAnsi="Times New Roman" w:cs="Times New Roman"/>
              </w:rPr>
            </w:pPr>
            <w:r w:rsidRPr="004F1F44">
              <w:rPr>
                <w:rFonts w:ascii="Times New Roman" w:eastAsia="Times New Roman" w:hAnsi="Times New Roman" w:cs="Times New Roman"/>
              </w:rPr>
              <w:t>1,39</w:t>
            </w:r>
          </w:p>
        </w:tc>
      </w:tr>
    </w:tbl>
    <w:p w:rsidR="002B051A" w:rsidRPr="006A146C" w:rsidRDefault="002B051A" w:rsidP="002B051A">
      <w:pPr>
        <w:spacing w:after="120"/>
        <w:rPr>
          <w:rFonts w:ascii="Times New Roman" w:eastAsia="Times New Roman" w:hAnsi="Times New Roman" w:cs="Times New Roman"/>
          <w:i/>
          <w:sz w:val="20"/>
        </w:rPr>
      </w:pPr>
      <w:r w:rsidRPr="006A146C">
        <w:rPr>
          <w:rFonts w:ascii="Times New Roman" w:eastAsia="Times New Roman" w:hAnsi="Times New Roman" w:cs="Times New Roman"/>
          <w:b/>
          <w:sz w:val="20"/>
        </w:rPr>
        <w:t>Źródło</w:t>
      </w:r>
      <w:r>
        <w:rPr>
          <w:rFonts w:ascii="Times New Roman" w:eastAsia="Times New Roman" w:hAnsi="Times New Roman" w:cs="Times New Roman"/>
          <w:sz w:val="20"/>
        </w:rPr>
        <w:t xml:space="preserve">: </w:t>
      </w:r>
      <w:r>
        <w:rPr>
          <w:rFonts w:ascii="Times New Roman" w:eastAsia="Times New Roman" w:hAnsi="Times New Roman" w:cs="Times New Roman"/>
          <w:i/>
          <w:sz w:val="20"/>
        </w:rPr>
        <w:t>Ranking RSP 2015 r.,2016</w:t>
      </w:r>
      <w:r w:rsidRPr="006A146C">
        <w:rPr>
          <w:rFonts w:ascii="Times New Roman" w:eastAsia="Times New Roman" w:hAnsi="Times New Roman" w:cs="Times New Roman"/>
          <w:i/>
          <w:sz w:val="20"/>
        </w:rPr>
        <w:t xml:space="preserve"> r.</w:t>
      </w:r>
      <w:r>
        <w:rPr>
          <w:rFonts w:ascii="Times New Roman" w:eastAsia="Times New Roman" w:hAnsi="Times New Roman" w:cs="Times New Roman"/>
          <w:i/>
          <w:sz w:val="20"/>
        </w:rPr>
        <w:t xml:space="preserve"> i 2017 r.</w:t>
      </w:r>
    </w:p>
    <w:p w:rsidR="002B051A" w:rsidRPr="00DE2470" w:rsidRDefault="002B051A" w:rsidP="00DE2470">
      <w:pPr>
        <w:spacing w:before="40" w:after="0" w:line="264" w:lineRule="auto"/>
        <w:ind w:firstLine="425"/>
        <w:jc w:val="both"/>
        <w:rPr>
          <w:rFonts w:ascii="Times New Roman" w:hAnsi="Times New Roman" w:cs="Times New Roman"/>
          <w:sz w:val="26"/>
          <w:szCs w:val="26"/>
        </w:rPr>
      </w:pPr>
    </w:p>
    <w:p w:rsidR="004617F8" w:rsidRPr="00150B1A" w:rsidRDefault="004617F8" w:rsidP="00760C59">
      <w:pPr>
        <w:spacing w:after="0" w:line="264" w:lineRule="auto"/>
        <w:ind w:firstLine="426"/>
        <w:jc w:val="both"/>
        <w:rPr>
          <w:rFonts w:ascii="Times New Roman" w:hAnsi="Times New Roman" w:cs="Times New Roman"/>
          <w:sz w:val="24"/>
          <w:szCs w:val="24"/>
        </w:rPr>
        <w:sectPr w:rsidR="004617F8" w:rsidRPr="00150B1A" w:rsidSect="001C732F">
          <w:footerReference w:type="default" r:id="rId12"/>
          <w:pgSz w:w="11906" w:h="16838"/>
          <w:pgMar w:top="1134" w:right="1418" w:bottom="1276" w:left="1418" w:header="709" w:footer="709" w:gutter="0"/>
          <w:cols w:space="708"/>
          <w:docGrid w:linePitch="360"/>
        </w:sectPr>
      </w:pPr>
    </w:p>
    <w:p w:rsidR="006F10BF" w:rsidRDefault="006F10BF" w:rsidP="006F10BF">
      <w:pPr>
        <w:spacing w:after="0" w:line="264" w:lineRule="auto"/>
        <w:jc w:val="right"/>
        <w:rPr>
          <w:rFonts w:ascii="Times New Roman" w:hAnsi="Times New Roman"/>
          <w:sz w:val="24"/>
          <w:szCs w:val="24"/>
        </w:rPr>
      </w:pPr>
      <w:r>
        <w:rPr>
          <w:rFonts w:ascii="Times New Roman" w:hAnsi="Times New Roman"/>
          <w:sz w:val="24"/>
          <w:szCs w:val="24"/>
        </w:rPr>
        <w:lastRenderedPageBreak/>
        <w:t>Tabela 5</w:t>
      </w:r>
    </w:p>
    <w:p w:rsidR="00C26A74" w:rsidRDefault="006F10BF" w:rsidP="006F10BF">
      <w:pPr>
        <w:spacing w:after="0" w:line="264" w:lineRule="auto"/>
        <w:jc w:val="center"/>
        <w:rPr>
          <w:rFonts w:ascii="Times New Roman" w:hAnsi="Times New Roman"/>
          <w:sz w:val="24"/>
          <w:szCs w:val="24"/>
        </w:rPr>
      </w:pPr>
      <w:r w:rsidRPr="00D40C12">
        <w:rPr>
          <w:rFonts w:ascii="Times New Roman" w:hAnsi="Times New Roman"/>
          <w:sz w:val="24"/>
          <w:szCs w:val="24"/>
        </w:rPr>
        <w:t>Podranking 25 na</w:t>
      </w:r>
      <w:r>
        <w:rPr>
          <w:rFonts w:ascii="Times New Roman" w:hAnsi="Times New Roman"/>
          <w:sz w:val="24"/>
          <w:szCs w:val="24"/>
        </w:rPr>
        <w:t>jlepszych rolniczych spółdzielni</w:t>
      </w:r>
      <w:r w:rsidR="0069391E">
        <w:rPr>
          <w:rFonts w:ascii="Times New Roman" w:hAnsi="Times New Roman"/>
          <w:sz w:val="24"/>
          <w:szCs w:val="24"/>
        </w:rPr>
        <w:t xml:space="preserve"> </w:t>
      </w:r>
      <w:r w:rsidR="002B7E51">
        <w:rPr>
          <w:rFonts w:ascii="Times New Roman" w:hAnsi="Times New Roman"/>
          <w:sz w:val="24"/>
          <w:szCs w:val="24"/>
        </w:rPr>
        <w:t>produkcyjnych w latach 201</w:t>
      </w:r>
      <w:r w:rsidR="00AA264C">
        <w:rPr>
          <w:rFonts w:ascii="Times New Roman" w:hAnsi="Times New Roman"/>
          <w:sz w:val="24"/>
          <w:szCs w:val="24"/>
        </w:rPr>
        <w:t>5</w:t>
      </w:r>
      <w:r w:rsidR="002B7E51">
        <w:rPr>
          <w:rFonts w:ascii="Times New Roman" w:hAnsi="Times New Roman"/>
          <w:sz w:val="24"/>
          <w:szCs w:val="24"/>
        </w:rPr>
        <w:t>-201</w:t>
      </w:r>
      <w:r w:rsidR="00AA264C">
        <w:rPr>
          <w:rFonts w:ascii="Times New Roman" w:hAnsi="Times New Roman"/>
          <w:sz w:val="24"/>
          <w:szCs w:val="24"/>
        </w:rPr>
        <w:t>7</w:t>
      </w:r>
    </w:p>
    <w:p w:rsidR="00C26A74" w:rsidRDefault="006E516C" w:rsidP="00C26A74">
      <w:pPr>
        <w:spacing w:after="0" w:line="264" w:lineRule="auto"/>
        <w:rPr>
          <w:rFonts w:ascii="Times New Roman" w:hAnsi="Times New Roman"/>
          <w:sz w:val="24"/>
          <w:szCs w:val="24"/>
        </w:rPr>
      </w:pPr>
      <w:r>
        <w:rPr>
          <w:noProof/>
        </w:rPr>
        <w:drawing>
          <wp:anchor distT="0" distB="0" distL="114300" distR="114300" simplePos="0" relativeHeight="251659264" behindDoc="0" locked="0" layoutInCell="1" allowOverlap="1" wp14:anchorId="65C473DC">
            <wp:simplePos x="0" y="0"/>
            <wp:positionH relativeFrom="column">
              <wp:posOffset>275540</wp:posOffset>
            </wp:positionH>
            <wp:positionV relativeFrom="paragraph">
              <wp:posOffset>235610</wp:posOffset>
            </wp:positionV>
            <wp:extent cx="9378086" cy="4887671"/>
            <wp:effectExtent l="0" t="0" r="0" b="825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78086" cy="488767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6A74" w:rsidRPr="00796004" w:rsidRDefault="00C26A74" w:rsidP="00C26A74">
      <w:pPr>
        <w:spacing w:after="0" w:line="264" w:lineRule="auto"/>
        <w:rPr>
          <w:rFonts w:ascii="Times New Roman" w:hAnsi="Times New Roman"/>
          <w:sz w:val="24"/>
          <w:szCs w:val="24"/>
        </w:rPr>
        <w:sectPr w:rsidR="00C26A74" w:rsidRPr="00796004" w:rsidSect="00796004">
          <w:pgSz w:w="16838" w:h="11906" w:orient="landscape"/>
          <w:pgMar w:top="1418" w:right="1418" w:bottom="1418" w:left="567" w:header="709" w:footer="709" w:gutter="0"/>
          <w:cols w:space="708"/>
          <w:docGrid w:linePitch="360"/>
        </w:sectPr>
      </w:pPr>
    </w:p>
    <w:p w:rsidR="003F5196" w:rsidRPr="002B051A" w:rsidRDefault="003F5196" w:rsidP="00760C59">
      <w:pPr>
        <w:tabs>
          <w:tab w:val="left" w:pos="426"/>
        </w:tabs>
        <w:spacing w:before="120" w:after="0" w:line="264" w:lineRule="auto"/>
        <w:jc w:val="both"/>
        <w:rPr>
          <w:rFonts w:ascii="Times New Roman" w:eastAsia="Times New Roman" w:hAnsi="Times New Roman" w:cs="Times New Roman"/>
          <w:b/>
          <w:sz w:val="26"/>
          <w:szCs w:val="26"/>
        </w:rPr>
      </w:pPr>
      <w:r w:rsidRPr="002B051A">
        <w:rPr>
          <w:rFonts w:ascii="Times New Roman" w:eastAsia="Times New Roman" w:hAnsi="Times New Roman" w:cs="Times New Roman"/>
          <w:b/>
          <w:sz w:val="26"/>
          <w:szCs w:val="26"/>
        </w:rPr>
        <w:lastRenderedPageBreak/>
        <w:t>Jak powstał ranking?</w:t>
      </w:r>
    </w:p>
    <w:p w:rsidR="003F5196" w:rsidRPr="002B051A" w:rsidRDefault="003F5196" w:rsidP="002B051A">
      <w:pPr>
        <w:tabs>
          <w:tab w:val="left" w:pos="426"/>
        </w:tabs>
        <w:spacing w:before="40"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sz w:val="26"/>
          <w:szCs w:val="26"/>
        </w:rPr>
        <w:tab/>
        <w:t>Do sporządzenia rankingu wykorzystano opracowaną w Instytucie ankietę. Formularze ankiet przesłano pocztą do poszczególnych spółdzielni. Na ogół ankietę wypełniano w dziale księgowości spółdzielni. Odbywało się to poprzez przeniesienie danych liczbowych z odpowiednich pozycji sprawozdań finansowych GUS do kwestionariusza ankiety. Jedynie niewielki zakres informacji statystycznych pochodził bezpośrednio z ewidencji księgowej. Następnie, dane źródłowe zawarte w ankietach poddano w IERiGŻ-PIB wielostopniowej weryfikacji. Dane budzące wątpliwości konsultowano telefonicznie z pracownikami spółdzielni. Dotyczyły one przede wszystkim dużej niejednorodności podawania informacji, głównie o należnych za 2017</w:t>
      </w:r>
      <w:r w:rsidR="004E4EB1" w:rsidRPr="002B051A">
        <w:rPr>
          <w:rFonts w:ascii="Times New Roman" w:eastAsia="Times New Roman" w:hAnsi="Times New Roman" w:cs="Times New Roman"/>
          <w:sz w:val="26"/>
          <w:szCs w:val="26"/>
        </w:rPr>
        <w:t> </w:t>
      </w:r>
      <w:r w:rsidRPr="002B051A">
        <w:rPr>
          <w:rFonts w:ascii="Times New Roman" w:eastAsia="Times New Roman" w:hAnsi="Times New Roman" w:cs="Times New Roman"/>
          <w:sz w:val="26"/>
          <w:szCs w:val="26"/>
        </w:rPr>
        <w:t>r. dopłatach bezpośrednich i innych formach wsparcia budżetowego. Ujednolicenie sposobu zapisu danych wymagało bardzo dużego nakładu pracy zespołu przygotowującego ranking. W zamian otrzymano bardzo solidną i porównywalną bazę danych. W ten sposób zabezpieczono wysoki poziom wiarygodności otrzymanych materiałów wykorzystanych do sporządzenia rankingu.</w:t>
      </w:r>
    </w:p>
    <w:p w:rsidR="003F5196" w:rsidRPr="002B051A" w:rsidRDefault="003F5196" w:rsidP="002B051A">
      <w:pPr>
        <w:tabs>
          <w:tab w:val="left" w:pos="426"/>
        </w:tabs>
        <w:spacing w:before="40"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sz w:val="26"/>
          <w:szCs w:val="26"/>
        </w:rPr>
        <w:tab/>
        <w:t xml:space="preserve">Zaprezentowany w rankingu spółdzielczym zestaw wskaźników i mierników jest specjalnie dobrany do specyfiki formy spółdzielczej. Dzięki niemu uzyskano możliwość porównań między tymi formami gospodarowania i to zarówno w odniesieniu do pojedynczych przedsiębiorstw, wskaźników, jak i w zestawieniach zbiorczych. Jednocześnie przedstawiony zestaw wskaźników w miarę wiernie odzwierciedla położenie majątkowe i finansowe oraz efektywność działalności spółdzielni. Wskaźniki te mogą więc zaspokoić również potrzeby informacyjne szerokiego kręgu instytucji potencjalnie zainteresowanych perspektywami rozwoju spółdzielni. </w:t>
      </w:r>
    </w:p>
    <w:p w:rsidR="003F5196" w:rsidRPr="002B051A" w:rsidRDefault="003F5196" w:rsidP="002B051A">
      <w:pPr>
        <w:tabs>
          <w:tab w:val="left" w:pos="426"/>
        </w:tabs>
        <w:spacing w:before="40"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sz w:val="26"/>
          <w:szCs w:val="26"/>
        </w:rPr>
        <w:tab/>
        <w:t>Do relacji poszukiwanych przez otoczenie można zaliczyć wskaźniki: wartości dodanej, dochodowości i wydajności pracy, płynności finansowej czy też tworzenia wartości oraz poziomu zatrudnienia. Z drugiej strony, w zestawie wskaźników i mierników znajdują się podstawowe oceny o charakterze mikroekonomicznym, które stanowić powinny przedmiot zainteresowania przede wszystkim spółdzielców i ich menedżerów, jak również bezpośrednich partnerów rynkowych.</w:t>
      </w:r>
    </w:p>
    <w:p w:rsidR="003F5196" w:rsidRPr="002B051A" w:rsidRDefault="003F5196" w:rsidP="002B051A">
      <w:pPr>
        <w:tabs>
          <w:tab w:val="left" w:pos="426"/>
        </w:tabs>
        <w:spacing w:before="40"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sz w:val="26"/>
          <w:szCs w:val="26"/>
        </w:rPr>
        <w:tab/>
        <w:t>Zdecydowana większość mierników i wskaźników odnosi się do sfery najbardziej syntetycznych kategorii ekonomiczno-finansowych. Natomiast ranking nie zawiera wskaźników techniczno-produkcyjnych. Nie umożliwia pokazania osiągnięć w zakresie wydajności jednostkowych zwierząt lub plonów roślin. Wydajności te często są na bardzo wysokim poziomie, ale nie zawsze przekładają się pozytywnie na dobre efekty finansowe typu dochód, zysk czy też dochodowość lub rentowność.</w:t>
      </w:r>
    </w:p>
    <w:p w:rsidR="003F5196" w:rsidRPr="002B051A" w:rsidRDefault="003F5196" w:rsidP="002B051A">
      <w:pPr>
        <w:tabs>
          <w:tab w:val="left" w:pos="426"/>
        </w:tabs>
        <w:spacing w:before="40"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sz w:val="26"/>
          <w:szCs w:val="26"/>
        </w:rPr>
        <w:tab/>
        <w:t xml:space="preserve">Ranking zawiera zestawienie 100 najlepszych rolniczych spółdzielni pod względem sytuacji ekonomicznej. Spółdzielnie uporządkowane zostały metodą rangowania, a więc jedną z najprostszych metod syntetycznej oceny pozycji jednostek na tle badanej zbiorowości. Metoda ta sprowadza się do kolejnego porządkowania obiektów według wybranych cech i zsumowania zajmowanych pozycji dla poszczególnych sortowań. Najniższa wartość uzyskanej sumy pozycji w badanej </w:t>
      </w:r>
      <w:r w:rsidRPr="002B051A">
        <w:rPr>
          <w:rFonts w:ascii="Times New Roman" w:eastAsia="Times New Roman" w:hAnsi="Times New Roman" w:cs="Times New Roman"/>
          <w:sz w:val="26"/>
          <w:szCs w:val="26"/>
        </w:rPr>
        <w:lastRenderedPageBreak/>
        <w:t>zbiorowości wskazuje na najlepszą sytuację jednostki, zaś najwyższa oznacza sytuację najgorszą.</w:t>
      </w:r>
    </w:p>
    <w:p w:rsidR="003F5196" w:rsidRPr="002B051A" w:rsidRDefault="003F5196" w:rsidP="002B051A">
      <w:pPr>
        <w:tabs>
          <w:tab w:val="left" w:pos="426"/>
        </w:tabs>
        <w:spacing w:before="40"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sz w:val="26"/>
          <w:szCs w:val="26"/>
        </w:rPr>
        <w:tab/>
        <w:t xml:space="preserve">Do sporządzenia listy 100 najlepszych spółdzielni przyjęliśmy pięć cech. Kryterium sortowań były cztery wskaźniki, tj. dochodowość pracy, dochodowość działalności gospodarczej, wydajność pracy i indeks tworzenia wartości oraz jeden miernik </w:t>
      </w:r>
      <w:r w:rsidR="004E4EB1" w:rsidRPr="002B051A">
        <w:rPr>
          <w:rFonts w:ascii="Times New Roman" w:eastAsia="Times New Roman" w:hAnsi="Times New Roman" w:cs="Times New Roman"/>
          <w:sz w:val="26"/>
          <w:szCs w:val="26"/>
        </w:rPr>
        <w:t>–</w:t>
      </w:r>
      <w:r w:rsidRPr="002B051A">
        <w:rPr>
          <w:rFonts w:ascii="Times New Roman" w:eastAsia="Times New Roman" w:hAnsi="Times New Roman" w:cs="Times New Roman"/>
          <w:sz w:val="26"/>
          <w:szCs w:val="26"/>
        </w:rPr>
        <w:t xml:space="preserve"> </w:t>
      </w:r>
      <w:r w:rsidR="004E4EB1" w:rsidRPr="002B051A">
        <w:rPr>
          <w:rFonts w:ascii="Times New Roman" w:eastAsia="Times New Roman" w:hAnsi="Times New Roman" w:cs="Times New Roman"/>
          <w:sz w:val="26"/>
          <w:szCs w:val="26"/>
        </w:rPr>
        <w:t xml:space="preserve">przychody ogółem na </w:t>
      </w:r>
      <w:r w:rsidRPr="002B051A">
        <w:rPr>
          <w:rFonts w:ascii="Times New Roman" w:eastAsia="Times New Roman" w:hAnsi="Times New Roman" w:cs="Times New Roman"/>
          <w:sz w:val="26"/>
          <w:szCs w:val="26"/>
        </w:rPr>
        <w:t>spółdzielni</w:t>
      </w:r>
      <w:r w:rsidR="004E4EB1" w:rsidRPr="002B051A">
        <w:rPr>
          <w:rFonts w:ascii="Times New Roman" w:eastAsia="Times New Roman" w:hAnsi="Times New Roman" w:cs="Times New Roman"/>
          <w:sz w:val="26"/>
          <w:szCs w:val="26"/>
        </w:rPr>
        <w:t>ę</w:t>
      </w:r>
      <w:r w:rsidRPr="002B051A">
        <w:rPr>
          <w:rFonts w:ascii="Times New Roman" w:eastAsia="Times New Roman" w:hAnsi="Times New Roman" w:cs="Times New Roman"/>
          <w:sz w:val="26"/>
          <w:szCs w:val="26"/>
        </w:rPr>
        <w:t>.</w:t>
      </w:r>
    </w:p>
    <w:p w:rsidR="003F5196" w:rsidRPr="002B051A" w:rsidRDefault="003F5196" w:rsidP="002B051A">
      <w:pPr>
        <w:tabs>
          <w:tab w:val="left" w:pos="426"/>
        </w:tabs>
        <w:spacing w:before="40"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sz w:val="26"/>
          <w:szCs w:val="26"/>
        </w:rPr>
        <w:tab/>
        <w:t>Wybrane kryteria dla oceny sytuacji ekonomicznej spółdzielni uznaliśmy za najważniejsze, gdyż najlepiej odzwierciedlają możliwości zaspokajania potrzeb członków (wskaźniki dochodowości), jak i charakteryzują potencjał do dalszego rozwoju gospodarstw spółdzielczych (indeks tworzenia wartości, wskaźnik wydajności pracy, wielkość przychodów ogółem). Wyższe wartości wybranych wskaźników i miernika uznaliśmy za korzystne w ocenie spółdzielni, a spółdzielnia z najwyższą wartością zajmowała pierwszą pozycję w wybranym kryterium.</w:t>
      </w:r>
    </w:p>
    <w:p w:rsidR="003F5196" w:rsidRPr="002B051A" w:rsidRDefault="003F5196" w:rsidP="00760C59">
      <w:pPr>
        <w:keepNext/>
        <w:keepLines/>
        <w:tabs>
          <w:tab w:val="left" w:pos="426"/>
        </w:tabs>
        <w:spacing w:before="120" w:after="0" w:line="264" w:lineRule="auto"/>
        <w:rPr>
          <w:rFonts w:ascii="Times New Roman" w:eastAsia="Times New Roman" w:hAnsi="Times New Roman" w:cs="Times New Roman"/>
          <w:color w:val="000000"/>
          <w:sz w:val="26"/>
          <w:szCs w:val="26"/>
        </w:rPr>
      </w:pPr>
      <w:r w:rsidRPr="002B051A">
        <w:rPr>
          <w:rFonts w:ascii="Times New Roman" w:eastAsia="Times New Roman" w:hAnsi="Times New Roman" w:cs="Times New Roman"/>
          <w:b/>
          <w:color w:val="000000"/>
          <w:sz w:val="26"/>
          <w:szCs w:val="26"/>
        </w:rPr>
        <w:t>WYJAŚNIENIA I DEFINICJE</w:t>
      </w:r>
      <w:r w:rsidRPr="002B051A">
        <w:rPr>
          <w:rFonts w:ascii="Times New Roman" w:eastAsia="Times New Roman" w:hAnsi="Times New Roman" w:cs="Times New Roman"/>
          <w:color w:val="000000"/>
          <w:sz w:val="26"/>
          <w:szCs w:val="26"/>
        </w:rPr>
        <w:t xml:space="preserve"> (dotyczy rankingu 100 najlepszych RSP)</w:t>
      </w:r>
    </w:p>
    <w:p w:rsidR="003F5196" w:rsidRPr="002B051A" w:rsidRDefault="003F5196" w:rsidP="006B4114">
      <w:pPr>
        <w:tabs>
          <w:tab w:val="left" w:pos="426"/>
        </w:tabs>
        <w:spacing w:before="120" w:after="0" w:line="264" w:lineRule="auto"/>
        <w:jc w:val="both"/>
        <w:rPr>
          <w:rFonts w:ascii="Times New Roman" w:eastAsia="Times New Roman" w:hAnsi="Times New Roman" w:cs="Times New Roman"/>
          <w:spacing w:val="-4"/>
          <w:sz w:val="26"/>
          <w:szCs w:val="26"/>
        </w:rPr>
      </w:pPr>
      <w:r w:rsidRPr="002B051A">
        <w:rPr>
          <w:rFonts w:ascii="Times New Roman" w:eastAsia="Times New Roman" w:hAnsi="Times New Roman" w:cs="Times New Roman"/>
          <w:b/>
          <w:spacing w:val="-4"/>
          <w:sz w:val="26"/>
          <w:szCs w:val="26"/>
        </w:rPr>
        <w:t>Poz. 2017 (kol. 1)</w:t>
      </w:r>
      <w:r w:rsidRPr="002B051A">
        <w:rPr>
          <w:rFonts w:ascii="Times New Roman" w:eastAsia="Times New Roman" w:hAnsi="Times New Roman" w:cs="Times New Roman"/>
          <w:spacing w:val="-4"/>
          <w:sz w:val="26"/>
          <w:szCs w:val="26"/>
        </w:rPr>
        <w:t xml:space="preserve"> – pozycja gospodarstwa w 2017</w:t>
      </w:r>
      <w:r w:rsidR="004E4EB1" w:rsidRPr="002B051A">
        <w:rPr>
          <w:rFonts w:ascii="Times New Roman" w:eastAsia="Times New Roman" w:hAnsi="Times New Roman" w:cs="Times New Roman"/>
          <w:spacing w:val="-4"/>
          <w:sz w:val="26"/>
          <w:szCs w:val="26"/>
        </w:rPr>
        <w:t> </w:t>
      </w:r>
      <w:r w:rsidRPr="002B051A">
        <w:rPr>
          <w:rFonts w:ascii="Times New Roman" w:eastAsia="Times New Roman" w:hAnsi="Times New Roman" w:cs="Times New Roman"/>
          <w:spacing w:val="-4"/>
          <w:sz w:val="26"/>
          <w:szCs w:val="26"/>
        </w:rPr>
        <w:t>r. ustalona na podstawie miary syntetycznej.</w:t>
      </w:r>
    </w:p>
    <w:p w:rsidR="003F5196" w:rsidRPr="002B051A" w:rsidRDefault="003F5196" w:rsidP="006B4114">
      <w:pPr>
        <w:tabs>
          <w:tab w:val="left" w:pos="426"/>
        </w:tabs>
        <w:spacing w:before="120" w:after="0" w:line="264" w:lineRule="auto"/>
        <w:jc w:val="both"/>
        <w:rPr>
          <w:rFonts w:ascii="Times New Roman" w:eastAsia="Times New Roman" w:hAnsi="Times New Roman" w:cs="Times New Roman"/>
          <w:spacing w:val="-10"/>
          <w:sz w:val="26"/>
          <w:szCs w:val="26"/>
        </w:rPr>
      </w:pPr>
      <w:r w:rsidRPr="002B051A">
        <w:rPr>
          <w:rFonts w:ascii="Times New Roman" w:eastAsia="Times New Roman" w:hAnsi="Times New Roman" w:cs="Times New Roman"/>
          <w:b/>
          <w:spacing w:val="-10"/>
          <w:sz w:val="26"/>
          <w:szCs w:val="26"/>
        </w:rPr>
        <w:t>Poz. 2016 (kol. 2)</w:t>
      </w:r>
      <w:r w:rsidRPr="002B051A">
        <w:rPr>
          <w:rFonts w:ascii="Times New Roman" w:eastAsia="Times New Roman" w:hAnsi="Times New Roman" w:cs="Times New Roman"/>
          <w:spacing w:val="-10"/>
          <w:sz w:val="26"/>
          <w:szCs w:val="26"/>
        </w:rPr>
        <w:t xml:space="preserve"> – miejsce gospodarstwa w rankingu za 2016</w:t>
      </w:r>
      <w:r w:rsidR="004E4EB1" w:rsidRPr="002B051A">
        <w:rPr>
          <w:rFonts w:ascii="Times New Roman" w:eastAsia="Times New Roman" w:hAnsi="Times New Roman" w:cs="Times New Roman"/>
          <w:spacing w:val="-10"/>
          <w:sz w:val="26"/>
          <w:szCs w:val="26"/>
        </w:rPr>
        <w:t> </w:t>
      </w:r>
      <w:r w:rsidRPr="002B051A">
        <w:rPr>
          <w:rFonts w:ascii="Times New Roman" w:eastAsia="Times New Roman" w:hAnsi="Times New Roman" w:cs="Times New Roman"/>
          <w:spacing w:val="-10"/>
          <w:sz w:val="26"/>
          <w:szCs w:val="26"/>
        </w:rPr>
        <w:t>r., także w oparciu o miarę syntetyczną.</w:t>
      </w:r>
    </w:p>
    <w:p w:rsidR="003F5196" w:rsidRPr="002B051A" w:rsidRDefault="003F5196" w:rsidP="006B4114">
      <w:pPr>
        <w:tabs>
          <w:tab w:val="left" w:pos="426"/>
        </w:tabs>
        <w:spacing w:before="120" w:after="0" w:line="264" w:lineRule="auto"/>
        <w:jc w:val="both"/>
        <w:rPr>
          <w:rFonts w:ascii="Times New Roman" w:eastAsia="Times New Roman" w:hAnsi="Times New Roman" w:cs="Times New Roman"/>
          <w:spacing w:val="-2"/>
          <w:sz w:val="26"/>
          <w:szCs w:val="26"/>
        </w:rPr>
      </w:pPr>
      <w:r w:rsidRPr="002B051A">
        <w:rPr>
          <w:rFonts w:ascii="Times New Roman" w:eastAsia="Times New Roman" w:hAnsi="Times New Roman" w:cs="Times New Roman"/>
          <w:b/>
          <w:spacing w:val="-2"/>
          <w:sz w:val="26"/>
          <w:szCs w:val="26"/>
        </w:rPr>
        <w:t>Nazwa spółdzielni (kol. 3)</w:t>
      </w:r>
      <w:r w:rsidRPr="002B051A">
        <w:rPr>
          <w:rFonts w:ascii="Times New Roman" w:eastAsia="Times New Roman" w:hAnsi="Times New Roman" w:cs="Times New Roman"/>
          <w:spacing w:val="-2"/>
          <w:sz w:val="26"/>
          <w:szCs w:val="26"/>
        </w:rPr>
        <w:t xml:space="preserve"> – skrócona nazwa spółdzielni wraz z jej siedzibą i skróconą nazwą województwa.</w:t>
      </w:r>
    </w:p>
    <w:p w:rsidR="003F5196" w:rsidRPr="002B051A" w:rsidRDefault="003F5196" w:rsidP="006B4114">
      <w:pPr>
        <w:tabs>
          <w:tab w:val="left" w:pos="426"/>
        </w:tabs>
        <w:spacing w:before="120"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b/>
          <w:sz w:val="26"/>
          <w:szCs w:val="26"/>
        </w:rPr>
        <w:t xml:space="preserve">Ukierunkowanie produkcji (kol. 4) </w:t>
      </w:r>
      <w:r w:rsidRPr="002B051A">
        <w:rPr>
          <w:rFonts w:ascii="Times New Roman" w:eastAsia="Times New Roman" w:hAnsi="Times New Roman" w:cs="Times New Roman"/>
          <w:sz w:val="26"/>
          <w:szCs w:val="26"/>
        </w:rPr>
        <w:t xml:space="preserve">– określone zostało samodzielnie przez uczestników rankingu na podstawie przeważającego udziału sprzedaży określonych rodzajów produktów w sprzedaży ogółem. Wyróżniono cztery typy ukierunkowania: </w:t>
      </w:r>
      <w:r w:rsidRPr="002B051A">
        <w:rPr>
          <w:rFonts w:ascii="Times New Roman" w:eastAsia="Times New Roman" w:hAnsi="Times New Roman" w:cs="Times New Roman"/>
          <w:b/>
          <w:sz w:val="26"/>
          <w:szCs w:val="26"/>
        </w:rPr>
        <w:t>I</w:t>
      </w:r>
      <w:r w:rsidRPr="002B051A">
        <w:rPr>
          <w:rFonts w:ascii="Times New Roman" w:eastAsia="Times New Roman" w:hAnsi="Times New Roman" w:cs="Times New Roman"/>
          <w:sz w:val="26"/>
          <w:szCs w:val="26"/>
        </w:rPr>
        <w:t xml:space="preserve"> – inne niż produkcja rolnicza; </w:t>
      </w:r>
      <w:r w:rsidRPr="002B051A">
        <w:rPr>
          <w:rFonts w:ascii="Times New Roman" w:eastAsia="Times New Roman" w:hAnsi="Times New Roman" w:cs="Times New Roman"/>
          <w:b/>
          <w:sz w:val="26"/>
          <w:szCs w:val="26"/>
        </w:rPr>
        <w:t>M</w:t>
      </w:r>
      <w:r w:rsidRPr="002B051A">
        <w:rPr>
          <w:rFonts w:ascii="Times New Roman" w:eastAsia="Times New Roman" w:hAnsi="Times New Roman" w:cs="Times New Roman"/>
          <w:sz w:val="26"/>
          <w:szCs w:val="26"/>
        </w:rPr>
        <w:t xml:space="preserve"> – mieszane, a więc takie, w którym występowała mniej więcej równowaga produkcji roślinnej i zwierzęcej; </w:t>
      </w:r>
      <w:r w:rsidRPr="002B051A">
        <w:rPr>
          <w:rFonts w:ascii="Times New Roman" w:eastAsia="Times New Roman" w:hAnsi="Times New Roman" w:cs="Times New Roman"/>
          <w:b/>
          <w:sz w:val="26"/>
          <w:szCs w:val="26"/>
        </w:rPr>
        <w:t>R</w:t>
      </w:r>
      <w:r w:rsidRPr="002B051A">
        <w:rPr>
          <w:rFonts w:ascii="Times New Roman" w:eastAsia="Times New Roman" w:hAnsi="Times New Roman" w:cs="Times New Roman"/>
          <w:sz w:val="26"/>
          <w:szCs w:val="26"/>
        </w:rPr>
        <w:t xml:space="preserve"> – roślinne, tzn. takie, w którym miała miejsce zdecydowana przewaga produkcji roślinnej nad zwierzęcą; </w:t>
      </w:r>
      <w:r w:rsidRPr="002B051A">
        <w:rPr>
          <w:rFonts w:ascii="Times New Roman" w:eastAsia="Times New Roman" w:hAnsi="Times New Roman" w:cs="Times New Roman"/>
          <w:b/>
          <w:sz w:val="26"/>
          <w:szCs w:val="26"/>
        </w:rPr>
        <w:t>Z</w:t>
      </w:r>
      <w:r w:rsidRPr="002B051A">
        <w:rPr>
          <w:rFonts w:ascii="Times New Roman" w:eastAsia="Times New Roman" w:hAnsi="Times New Roman" w:cs="Times New Roman"/>
          <w:sz w:val="26"/>
          <w:szCs w:val="26"/>
        </w:rPr>
        <w:t xml:space="preserve"> – zwierzęce, tj. te, w których wyraźnie przeważała produkcja zwierzęca nad roślinną.</w:t>
      </w:r>
    </w:p>
    <w:p w:rsidR="003F5196" w:rsidRPr="002B051A" w:rsidRDefault="003F5196" w:rsidP="006B4114">
      <w:pPr>
        <w:tabs>
          <w:tab w:val="left" w:pos="426"/>
        </w:tabs>
        <w:spacing w:before="120"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b/>
          <w:sz w:val="26"/>
          <w:szCs w:val="26"/>
        </w:rPr>
        <w:t>Wskaźnik dochodowości pracy (kol. 5)</w:t>
      </w:r>
      <w:r w:rsidRPr="002B051A">
        <w:rPr>
          <w:rFonts w:ascii="Times New Roman" w:eastAsia="Times New Roman" w:hAnsi="Times New Roman" w:cs="Times New Roman"/>
          <w:sz w:val="26"/>
          <w:szCs w:val="26"/>
        </w:rPr>
        <w:t xml:space="preserve"> – stosunek dochodu ogólnego (zdefiniowanego w opisie do kol. 18) pomniejszonego o podatek dochodowy od osób prawnych i skorygowanego o dochód wynikły ze sprzedaży majątku do liczby pracujących członków spółdzielni.</w:t>
      </w:r>
    </w:p>
    <w:p w:rsidR="003F5196" w:rsidRPr="002B051A" w:rsidRDefault="003F5196" w:rsidP="006B4114">
      <w:pPr>
        <w:tabs>
          <w:tab w:val="left" w:pos="426"/>
        </w:tabs>
        <w:spacing w:before="120" w:after="0" w:line="264" w:lineRule="auto"/>
        <w:jc w:val="both"/>
        <w:rPr>
          <w:rFonts w:ascii="Times New Roman" w:eastAsia="Times New Roman" w:hAnsi="Times New Roman" w:cs="Times New Roman"/>
          <w:b/>
          <w:sz w:val="26"/>
          <w:szCs w:val="26"/>
        </w:rPr>
      </w:pPr>
      <w:r w:rsidRPr="002B051A">
        <w:rPr>
          <w:rFonts w:ascii="Times New Roman" w:eastAsia="Times New Roman" w:hAnsi="Times New Roman" w:cs="Times New Roman"/>
          <w:b/>
          <w:sz w:val="26"/>
          <w:szCs w:val="26"/>
        </w:rPr>
        <w:t>Wskaźnik dochodowości działalności gospodarczej (kol. 7)</w:t>
      </w:r>
      <w:r w:rsidRPr="002B051A">
        <w:rPr>
          <w:rFonts w:ascii="Times New Roman" w:eastAsia="Times New Roman" w:hAnsi="Times New Roman" w:cs="Times New Roman"/>
          <w:sz w:val="26"/>
          <w:szCs w:val="26"/>
        </w:rPr>
        <w:t xml:space="preserve"> – stosunek dochodu ogólnego do sumy przychodów: ze sprzedaży produktów i zrównanych z nimi, pozostałych przychodów operacyjnych oraz przychodów finansowych. Wartość przychodów podano w kol. 16.</w:t>
      </w:r>
    </w:p>
    <w:p w:rsidR="003F5196" w:rsidRPr="002B051A" w:rsidRDefault="003F5196" w:rsidP="006B4114">
      <w:pPr>
        <w:tabs>
          <w:tab w:val="left" w:pos="426"/>
        </w:tabs>
        <w:spacing w:before="120"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b/>
          <w:sz w:val="26"/>
          <w:szCs w:val="26"/>
        </w:rPr>
        <w:t xml:space="preserve">Wskaźnik wartości dodanej (kol. 9) </w:t>
      </w:r>
      <w:r w:rsidRPr="002B051A">
        <w:rPr>
          <w:rFonts w:ascii="Times New Roman" w:eastAsia="Times New Roman" w:hAnsi="Times New Roman" w:cs="Times New Roman"/>
          <w:sz w:val="26"/>
          <w:szCs w:val="26"/>
        </w:rPr>
        <w:t xml:space="preserve">– stosunek wartości dodanej do przychodów ogółem. Wartość dodaną określono przez dodanie jej składników: dochodu ogólnego, amortyzacji, podatku rolnego i innych podatków obciążających koszty, czynszu dzierżawnego, kosztów kapitału obcego (odsetki), kosztów wynagrodzeń </w:t>
      </w:r>
      <w:r w:rsidRPr="002B051A">
        <w:rPr>
          <w:rFonts w:ascii="Times New Roman" w:eastAsia="Times New Roman" w:hAnsi="Times New Roman" w:cs="Times New Roman"/>
          <w:sz w:val="26"/>
          <w:szCs w:val="26"/>
        </w:rPr>
        <w:lastRenderedPageBreak/>
        <w:t>pracowników najemnych wraz ze świadczeniami oraz świadczenia na rzecz członków spółdzielni.</w:t>
      </w:r>
    </w:p>
    <w:p w:rsidR="003F5196" w:rsidRPr="002B051A" w:rsidRDefault="003F5196" w:rsidP="006B4114">
      <w:pPr>
        <w:tabs>
          <w:tab w:val="left" w:pos="426"/>
        </w:tabs>
        <w:spacing w:before="120" w:after="0" w:line="264" w:lineRule="auto"/>
        <w:jc w:val="both"/>
        <w:rPr>
          <w:rFonts w:ascii="Times New Roman" w:eastAsia="Times New Roman" w:hAnsi="Times New Roman" w:cs="Times New Roman"/>
          <w:spacing w:val="-6"/>
          <w:sz w:val="26"/>
          <w:szCs w:val="26"/>
        </w:rPr>
      </w:pPr>
      <w:r w:rsidRPr="002B051A">
        <w:rPr>
          <w:rFonts w:ascii="Times New Roman" w:eastAsia="Times New Roman" w:hAnsi="Times New Roman" w:cs="Times New Roman"/>
          <w:b/>
          <w:spacing w:val="-6"/>
          <w:sz w:val="26"/>
          <w:szCs w:val="26"/>
        </w:rPr>
        <w:t>Wskaźnik płynności bieżący (kol. 11)</w:t>
      </w:r>
      <w:r w:rsidRPr="002B051A">
        <w:rPr>
          <w:rFonts w:ascii="Times New Roman" w:eastAsia="Times New Roman" w:hAnsi="Times New Roman" w:cs="Times New Roman"/>
          <w:spacing w:val="-6"/>
          <w:sz w:val="26"/>
          <w:szCs w:val="26"/>
        </w:rPr>
        <w:t xml:space="preserve"> – iloraz aktywów obrotowych, pomniejszonych o krótkoterminowe rozliczenia międzyokresowe i zobowiązań krótkoterminowych na koniec 2017</w:t>
      </w:r>
      <w:r w:rsidR="004E4EB1" w:rsidRPr="002B051A">
        <w:rPr>
          <w:rFonts w:ascii="Times New Roman" w:eastAsia="Times New Roman" w:hAnsi="Times New Roman" w:cs="Times New Roman"/>
          <w:spacing w:val="-6"/>
          <w:sz w:val="26"/>
          <w:szCs w:val="26"/>
        </w:rPr>
        <w:t> </w:t>
      </w:r>
      <w:r w:rsidRPr="002B051A">
        <w:rPr>
          <w:rFonts w:ascii="Times New Roman" w:eastAsia="Times New Roman" w:hAnsi="Times New Roman" w:cs="Times New Roman"/>
          <w:spacing w:val="-6"/>
          <w:sz w:val="26"/>
          <w:szCs w:val="26"/>
        </w:rPr>
        <w:t>r.</w:t>
      </w:r>
    </w:p>
    <w:p w:rsidR="003F5196" w:rsidRPr="002B051A" w:rsidRDefault="003F5196" w:rsidP="006B4114">
      <w:pPr>
        <w:tabs>
          <w:tab w:val="left" w:pos="426"/>
        </w:tabs>
        <w:spacing w:before="120" w:after="0" w:line="264" w:lineRule="auto"/>
        <w:jc w:val="both"/>
        <w:rPr>
          <w:rFonts w:ascii="Times New Roman" w:eastAsia="Times New Roman" w:hAnsi="Times New Roman" w:cs="Times New Roman"/>
          <w:spacing w:val="-8"/>
          <w:sz w:val="26"/>
          <w:szCs w:val="26"/>
        </w:rPr>
      </w:pPr>
      <w:r w:rsidRPr="002B051A">
        <w:rPr>
          <w:rFonts w:ascii="Times New Roman" w:eastAsia="Times New Roman" w:hAnsi="Times New Roman" w:cs="Times New Roman"/>
          <w:b/>
          <w:spacing w:val="-6"/>
          <w:sz w:val="26"/>
          <w:szCs w:val="26"/>
        </w:rPr>
        <w:t>Wskaźnik płynności szybki (kol. 12)</w:t>
      </w:r>
      <w:r w:rsidRPr="002B051A">
        <w:rPr>
          <w:rFonts w:ascii="Times New Roman" w:eastAsia="Times New Roman" w:hAnsi="Times New Roman" w:cs="Times New Roman"/>
          <w:spacing w:val="-6"/>
          <w:sz w:val="26"/>
          <w:szCs w:val="26"/>
        </w:rPr>
        <w:t xml:space="preserve"> – stosunek aktywów obrotowych, pomniejszonych o zapasy i </w:t>
      </w:r>
      <w:r w:rsidRPr="002B051A">
        <w:rPr>
          <w:rFonts w:ascii="Times New Roman" w:eastAsia="Times New Roman" w:hAnsi="Times New Roman" w:cs="Times New Roman"/>
          <w:spacing w:val="-8"/>
          <w:sz w:val="26"/>
          <w:szCs w:val="26"/>
        </w:rPr>
        <w:t>krótkoterminowe rozliczenia międzyokresowe, do zobowiązań krótkoterminowych na koniec 2017</w:t>
      </w:r>
      <w:r w:rsidR="004E4EB1" w:rsidRPr="002B051A">
        <w:rPr>
          <w:rFonts w:ascii="Times New Roman" w:eastAsia="Times New Roman" w:hAnsi="Times New Roman" w:cs="Times New Roman"/>
          <w:spacing w:val="-8"/>
          <w:sz w:val="26"/>
          <w:szCs w:val="26"/>
        </w:rPr>
        <w:t> </w:t>
      </w:r>
      <w:r w:rsidRPr="002B051A">
        <w:rPr>
          <w:rFonts w:ascii="Times New Roman" w:eastAsia="Times New Roman" w:hAnsi="Times New Roman" w:cs="Times New Roman"/>
          <w:spacing w:val="-8"/>
          <w:sz w:val="26"/>
          <w:szCs w:val="26"/>
        </w:rPr>
        <w:t>r.</w:t>
      </w:r>
    </w:p>
    <w:p w:rsidR="003F5196" w:rsidRPr="002B051A" w:rsidRDefault="003F5196" w:rsidP="006B4114">
      <w:pPr>
        <w:tabs>
          <w:tab w:val="left" w:pos="426"/>
        </w:tabs>
        <w:spacing w:before="120"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b/>
          <w:spacing w:val="-2"/>
          <w:sz w:val="26"/>
          <w:szCs w:val="26"/>
        </w:rPr>
        <w:t>Wskaźnik generowania gotówki operacyjnej (kol. 13)</w:t>
      </w:r>
      <w:r w:rsidRPr="002B051A">
        <w:rPr>
          <w:rFonts w:ascii="Times New Roman" w:eastAsia="Times New Roman" w:hAnsi="Times New Roman" w:cs="Times New Roman"/>
          <w:spacing w:val="-2"/>
          <w:sz w:val="26"/>
          <w:szCs w:val="26"/>
        </w:rPr>
        <w:t xml:space="preserve"> – stosunek nadwyżki operacyjnej netto do sumy przychodów ze sprzedaży i zrównanych z nimi, pozostałych przychodów operacyjnych (pomniejszonych o zysk ze zbycia aktywów niefinansowych) i zysków nadzwyczajnych. Nadwyżka operacyjna powstała przez odjęcie od wpływów z działalności operacyjnej wydatków na nią poniesionych. Z kolei wpływy policzono jako sumę przychodów ze sprzedaży i zrównanych z nimi, pozostałych przychodów operacyjnych (pomniejszonych o zyski ze zbycia aktywów niefinansowych) i zysków nadzwyczajnych. Wydatki natomiast uzyskano przez dodanie do kosztów działalności operacyjnej (pomniejszonych jednak o amortyzację) pozostałych kosztów operacyjnych (ale z wyłączeniem straty ze zbycia aktywów niefinansowych), strat nadzwyczajnych i obowiązkowych obciążeń wyniku finansowego.</w:t>
      </w:r>
    </w:p>
    <w:p w:rsidR="003F5196" w:rsidRPr="002B051A" w:rsidRDefault="003F5196" w:rsidP="006B4114">
      <w:pPr>
        <w:tabs>
          <w:tab w:val="left" w:pos="426"/>
        </w:tabs>
        <w:spacing w:before="120"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b/>
          <w:sz w:val="26"/>
          <w:szCs w:val="26"/>
        </w:rPr>
        <w:t xml:space="preserve">Wydajność pracy (kol. 14) </w:t>
      </w:r>
      <w:r w:rsidR="004E4EB1" w:rsidRPr="002B051A">
        <w:rPr>
          <w:rFonts w:ascii="Times New Roman" w:eastAsia="Times New Roman" w:hAnsi="Times New Roman" w:cs="Times New Roman"/>
          <w:sz w:val="26"/>
          <w:szCs w:val="26"/>
        </w:rPr>
        <w:t>–</w:t>
      </w:r>
      <w:r w:rsidRPr="002B051A">
        <w:rPr>
          <w:rFonts w:ascii="Times New Roman" w:eastAsia="Times New Roman" w:hAnsi="Times New Roman" w:cs="Times New Roman"/>
          <w:sz w:val="26"/>
          <w:szCs w:val="26"/>
        </w:rPr>
        <w:t xml:space="preserve"> stosunek wartości dodanej (zdefiniowanej w opisie do kol. 9) do przeciętnego zatrudnienia w 2017</w:t>
      </w:r>
      <w:r w:rsidR="004E4EB1" w:rsidRPr="002B051A">
        <w:rPr>
          <w:rFonts w:ascii="Times New Roman" w:eastAsia="Times New Roman" w:hAnsi="Times New Roman" w:cs="Times New Roman"/>
          <w:sz w:val="26"/>
          <w:szCs w:val="26"/>
        </w:rPr>
        <w:t> </w:t>
      </w:r>
      <w:r w:rsidRPr="002B051A">
        <w:rPr>
          <w:rFonts w:ascii="Times New Roman" w:eastAsia="Times New Roman" w:hAnsi="Times New Roman" w:cs="Times New Roman"/>
          <w:sz w:val="26"/>
          <w:szCs w:val="26"/>
        </w:rPr>
        <w:t>r.</w:t>
      </w:r>
    </w:p>
    <w:p w:rsidR="003F5196" w:rsidRPr="002B051A" w:rsidRDefault="003F5196" w:rsidP="006B4114">
      <w:pPr>
        <w:tabs>
          <w:tab w:val="left" w:pos="426"/>
        </w:tabs>
        <w:spacing w:before="120" w:after="0" w:line="264" w:lineRule="auto"/>
        <w:jc w:val="both"/>
        <w:rPr>
          <w:rFonts w:ascii="Times New Roman" w:eastAsia="Times New Roman" w:hAnsi="Times New Roman" w:cs="Times New Roman"/>
          <w:spacing w:val="-2"/>
          <w:sz w:val="26"/>
          <w:szCs w:val="26"/>
        </w:rPr>
      </w:pPr>
      <w:r w:rsidRPr="002B051A">
        <w:rPr>
          <w:rFonts w:ascii="Times New Roman" w:eastAsia="Times New Roman" w:hAnsi="Times New Roman" w:cs="Times New Roman"/>
          <w:b/>
          <w:spacing w:val="-2"/>
          <w:sz w:val="26"/>
          <w:szCs w:val="26"/>
        </w:rPr>
        <w:t>Przychody ogółem (kol. 16)</w:t>
      </w:r>
      <w:r w:rsidRPr="002B051A">
        <w:rPr>
          <w:rFonts w:ascii="Times New Roman" w:eastAsia="Times New Roman" w:hAnsi="Times New Roman" w:cs="Times New Roman"/>
          <w:spacing w:val="-2"/>
          <w:sz w:val="26"/>
          <w:szCs w:val="26"/>
        </w:rPr>
        <w:t xml:space="preserve"> – suma przychodów ze sprzedaży produktów i zrównanych z nimi, pozostałych przychodów operacyjnych (pomniejszonych o zysk ze zbycia aktywów niefinansowych) i przychodów finansowych. </w:t>
      </w:r>
    </w:p>
    <w:p w:rsidR="003F5196" w:rsidRPr="002B051A" w:rsidRDefault="003F5196" w:rsidP="006B4114">
      <w:pPr>
        <w:tabs>
          <w:tab w:val="left" w:pos="426"/>
        </w:tabs>
        <w:spacing w:before="120"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b/>
          <w:sz w:val="26"/>
          <w:szCs w:val="26"/>
        </w:rPr>
        <w:t xml:space="preserve">Dochód ogólny (kol. 18) </w:t>
      </w:r>
      <w:r w:rsidRPr="002B051A">
        <w:rPr>
          <w:rFonts w:ascii="Times New Roman" w:eastAsia="Times New Roman" w:hAnsi="Times New Roman" w:cs="Times New Roman"/>
          <w:sz w:val="26"/>
          <w:szCs w:val="26"/>
        </w:rPr>
        <w:t>– przychody ogółem (zdefiniowane w opisie do kol. 16), pomniejszone o sumę kosztów działalności operacyjnej (bez opłaty pracy członków), pozostałych kosztów operacyjnych i kosztów finansowych, skorygowane o wyniki nadzwyczajne (zyski lub straty nadzwyczajne).</w:t>
      </w:r>
    </w:p>
    <w:p w:rsidR="003F5196" w:rsidRPr="002B051A" w:rsidRDefault="003F5196" w:rsidP="006B4114">
      <w:pPr>
        <w:tabs>
          <w:tab w:val="left" w:pos="426"/>
        </w:tabs>
        <w:spacing w:before="120"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b/>
          <w:spacing w:val="-6"/>
          <w:sz w:val="26"/>
          <w:szCs w:val="26"/>
        </w:rPr>
        <w:t>Indeks tworzenia wartości (kol. 20)</w:t>
      </w:r>
      <w:r w:rsidRPr="002B051A">
        <w:rPr>
          <w:rFonts w:ascii="Times New Roman" w:eastAsia="Times New Roman" w:hAnsi="Times New Roman" w:cs="Times New Roman"/>
          <w:spacing w:val="-6"/>
          <w:sz w:val="26"/>
          <w:szCs w:val="26"/>
        </w:rPr>
        <w:t xml:space="preserve"> – </w:t>
      </w:r>
      <w:r w:rsidRPr="002B051A">
        <w:rPr>
          <w:rFonts w:ascii="Times New Roman" w:eastAsia="Times New Roman" w:hAnsi="Times New Roman" w:cs="Times New Roman"/>
          <w:sz w:val="26"/>
          <w:szCs w:val="26"/>
        </w:rPr>
        <w:t>iloraz rentowności kapitału oraz kosztu kapitału własnego. Ten ostatni ustalono jako sumę rentowności aktywów bez ryzyka oraz premii za ryzyko finansowe. Jako aktywa bez ryzyka przyjęto średnie oprocentowanie lokat bankowych założonych na okres do dwóch lat włącznie w 2017 r. Wyniosło ono 1,36 % w stosunku rocznym i było jednakowe dla wszystkich gospodarstw. Premię za ryzyko określono z kolei jako iloczyn różnicy między ww. rentownością lokat bankowych (1,36%) a oprocentowaniem długu każdego gospodarstwa (stosunek zapłaconych odsetek w 2017 r. do sumy zobowiązań długo- i krótkoterminowych na koniec 2017 r.) i stopnia zadłużenia kapitału własnego (ww. sumę zobowiązań długo- i krótkoterminowych podzielono przez wartość kapitału własnego na koniec 2017</w:t>
      </w:r>
      <w:r w:rsidR="008E079B" w:rsidRPr="002B051A">
        <w:rPr>
          <w:rFonts w:ascii="Times New Roman" w:eastAsia="Times New Roman" w:hAnsi="Times New Roman" w:cs="Times New Roman"/>
          <w:sz w:val="26"/>
          <w:szCs w:val="26"/>
        </w:rPr>
        <w:t> </w:t>
      </w:r>
      <w:r w:rsidRPr="002B051A">
        <w:rPr>
          <w:rFonts w:ascii="Times New Roman" w:eastAsia="Times New Roman" w:hAnsi="Times New Roman" w:cs="Times New Roman"/>
          <w:sz w:val="26"/>
          <w:szCs w:val="26"/>
        </w:rPr>
        <w:t>r.). Tylko indeks wyższy od jedności świadczy o powiększeniu wartości gospodarstwa dla jego właścicieli.</w:t>
      </w:r>
    </w:p>
    <w:p w:rsidR="003F5196" w:rsidRPr="002B051A" w:rsidRDefault="003F5196" w:rsidP="006B4114">
      <w:pPr>
        <w:tabs>
          <w:tab w:val="left" w:pos="426"/>
        </w:tabs>
        <w:spacing w:before="120" w:after="0" w:line="264" w:lineRule="auto"/>
        <w:jc w:val="both"/>
        <w:rPr>
          <w:rFonts w:ascii="Times New Roman" w:eastAsia="Times New Roman" w:hAnsi="Times New Roman" w:cs="Times New Roman"/>
          <w:b/>
          <w:sz w:val="26"/>
          <w:szCs w:val="26"/>
        </w:rPr>
      </w:pPr>
      <w:r w:rsidRPr="002B051A">
        <w:rPr>
          <w:rFonts w:ascii="Times New Roman" w:eastAsia="Times New Roman" w:hAnsi="Times New Roman" w:cs="Times New Roman"/>
          <w:b/>
          <w:sz w:val="26"/>
          <w:szCs w:val="26"/>
        </w:rPr>
        <w:lastRenderedPageBreak/>
        <w:t>Pracujący przeciętnie w roku (kol. 22)</w:t>
      </w:r>
      <w:r w:rsidRPr="002B051A">
        <w:rPr>
          <w:rFonts w:ascii="Times New Roman" w:eastAsia="Times New Roman" w:hAnsi="Times New Roman" w:cs="Times New Roman"/>
          <w:sz w:val="26"/>
          <w:szCs w:val="26"/>
        </w:rPr>
        <w:t xml:space="preserve"> – przeciętna liczba osób zatrudnionych w 2017</w:t>
      </w:r>
      <w:r w:rsidR="008E079B" w:rsidRPr="002B051A">
        <w:rPr>
          <w:rFonts w:ascii="Times New Roman" w:eastAsia="Times New Roman" w:hAnsi="Times New Roman" w:cs="Times New Roman"/>
          <w:sz w:val="26"/>
          <w:szCs w:val="26"/>
        </w:rPr>
        <w:t> </w:t>
      </w:r>
      <w:r w:rsidRPr="002B051A">
        <w:rPr>
          <w:rFonts w:ascii="Times New Roman" w:eastAsia="Times New Roman" w:hAnsi="Times New Roman" w:cs="Times New Roman"/>
          <w:sz w:val="26"/>
          <w:szCs w:val="26"/>
        </w:rPr>
        <w:t>r. (członków spółdzielni i pracowników najemnych), w tym członkowie (kol. 23).</w:t>
      </w:r>
    </w:p>
    <w:p w:rsidR="003F5196" w:rsidRPr="002B051A" w:rsidRDefault="003F5196" w:rsidP="006B4114">
      <w:pPr>
        <w:tabs>
          <w:tab w:val="left" w:pos="426"/>
        </w:tabs>
        <w:spacing w:before="120"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b/>
          <w:sz w:val="26"/>
          <w:szCs w:val="26"/>
        </w:rPr>
        <w:t>Powierzchnia użytków rolnych (kol. 24)</w:t>
      </w:r>
      <w:r w:rsidRPr="002B051A">
        <w:rPr>
          <w:rFonts w:ascii="Times New Roman" w:eastAsia="Times New Roman" w:hAnsi="Times New Roman" w:cs="Times New Roman"/>
          <w:sz w:val="26"/>
          <w:szCs w:val="26"/>
        </w:rPr>
        <w:t xml:space="preserve"> – obszar gruntów przeznaczonych do działalności rolniczej. Obejmuje on grunty orne, trwałe użytki zielone i plantacje trwałe.</w:t>
      </w:r>
    </w:p>
    <w:p w:rsidR="003F5196" w:rsidRPr="002B051A" w:rsidRDefault="003F5196" w:rsidP="006B4114">
      <w:pPr>
        <w:tabs>
          <w:tab w:val="left" w:pos="426"/>
        </w:tabs>
        <w:spacing w:before="120" w:after="0" w:line="264" w:lineRule="auto"/>
        <w:jc w:val="both"/>
        <w:rPr>
          <w:rFonts w:ascii="Times New Roman" w:eastAsia="Times New Roman" w:hAnsi="Times New Roman" w:cs="Times New Roman"/>
          <w:spacing w:val="-2"/>
          <w:sz w:val="26"/>
          <w:szCs w:val="26"/>
        </w:rPr>
      </w:pPr>
      <w:r w:rsidRPr="002B051A">
        <w:rPr>
          <w:rFonts w:ascii="Times New Roman" w:eastAsia="Times New Roman" w:hAnsi="Times New Roman" w:cs="Times New Roman"/>
          <w:b/>
          <w:spacing w:val="-2"/>
          <w:sz w:val="26"/>
          <w:szCs w:val="26"/>
        </w:rPr>
        <w:t>Wskaźnik bonitacji gleb (kol. 25) –</w:t>
      </w:r>
      <w:r w:rsidRPr="002B051A">
        <w:rPr>
          <w:rFonts w:ascii="Times New Roman" w:eastAsia="Times New Roman" w:hAnsi="Times New Roman" w:cs="Times New Roman"/>
          <w:spacing w:val="-2"/>
          <w:sz w:val="26"/>
          <w:szCs w:val="26"/>
        </w:rPr>
        <w:t xml:space="preserve"> syntetyczna miara jakości użytków rolnych obliczona jako stosunek powierzchni przeliczeniowej do fizycznej powierzchni tych użytków. Wskaźnik ten ustalono na podstawie „Deklaracji w sprawie podatku rolnego” oraz informacji dodatkowych o użytkach V i VI klasy.</w:t>
      </w:r>
    </w:p>
    <w:p w:rsidR="003F5196" w:rsidRPr="002B051A" w:rsidRDefault="003F5196" w:rsidP="006B4114">
      <w:pPr>
        <w:tabs>
          <w:tab w:val="left" w:pos="426"/>
        </w:tabs>
        <w:spacing w:before="120"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b/>
          <w:sz w:val="26"/>
          <w:szCs w:val="26"/>
        </w:rPr>
        <w:t xml:space="preserve">Miernik syntetyczny (kol. 26) </w:t>
      </w:r>
      <w:r w:rsidRPr="002B051A">
        <w:rPr>
          <w:rFonts w:ascii="Times New Roman" w:eastAsia="Times New Roman" w:hAnsi="Times New Roman" w:cs="Times New Roman"/>
          <w:sz w:val="26"/>
          <w:szCs w:val="26"/>
        </w:rPr>
        <w:t xml:space="preserve">– </w:t>
      </w:r>
      <w:r w:rsidRPr="002B051A">
        <w:rPr>
          <w:rFonts w:ascii="Times New Roman" w:eastAsia="Times New Roman" w:hAnsi="Times New Roman" w:cs="Times New Roman"/>
          <w:spacing w:val="-6"/>
          <w:sz w:val="26"/>
          <w:szCs w:val="26"/>
        </w:rPr>
        <w:t>suma pozycji z kolumn 6, 8, 15, 17, 21 (opis metody w tekście).</w:t>
      </w:r>
    </w:p>
    <w:p w:rsidR="003F5196" w:rsidRPr="002B051A" w:rsidRDefault="003F5196" w:rsidP="006B4114">
      <w:pPr>
        <w:spacing w:before="120" w:after="120" w:line="264" w:lineRule="auto"/>
        <w:rPr>
          <w:rFonts w:ascii="Times New Roman" w:eastAsia="Times New Roman" w:hAnsi="Times New Roman" w:cs="Times New Roman"/>
          <w:b/>
          <w:color w:val="000000"/>
          <w:sz w:val="26"/>
          <w:szCs w:val="26"/>
        </w:rPr>
      </w:pPr>
      <w:r w:rsidRPr="002B051A">
        <w:rPr>
          <w:rFonts w:ascii="Times New Roman" w:eastAsia="Times New Roman" w:hAnsi="Times New Roman" w:cs="Times New Roman"/>
          <w:b/>
          <w:color w:val="000000"/>
          <w:sz w:val="26"/>
          <w:szCs w:val="26"/>
        </w:rPr>
        <w:t>OBJAŚNIENIE SYMBOLI</w:t>
      </w:r>
    </w:p>
    <w:p w:rsidR="003F5196" w:rsidRPr="002B051A" w:rsidRDefault="003F5196" w:rsidP="006B4114">
      <w:pPr>
        <w:tabs>
          <w:tab w:val="left" w:pos="426"/>
          <w:tab w:val="left" w:pos="709"/>
        </w:tabs>
        <w:spacing w:before="120" w:after="0" w:line="264" w:lineRule="auto"/>
        <w:rPr>
          <w:rFonts w:ascii="Times New Roman" w:eastAsia="Times New Roman" w:hAnsi="Times New Roman" w:cs="Times New Roman"/>
          <w:sz w:val="26"/>
          <w:szCs w:val="26"/>
        </w:rPr>
      </w:pPr>
      <w:r w:rsidRPr="002B051A">
        <w:rPr>
          <w:rFonts w:ascii="Times New Roman" w:eastAsia="Times New Roman" w:hAnsi="Times New Roman" w:cs="Times New Roman"/>
          <w:sz w:val="26"/>
          <w:szCs w:val="26"/>
        </w:rPr>
        <w:t>–</w:t>
      </w:r>
      <w:r w:rsidRPr="002B051A">
        <w:rPr>
          <w:rFonts w:ascii="Times New Roman" w:eastAsia="Times New Roman" w:hAnsi="Times New Roman" w:cs="Times New Roman"/>
          <w:sz w:val="26"/>
          <w:szCs w:val="26"/>
        </w:rPr>
        <w:tab/>
        <w:t>-</w:t>
      </w:r>
      <w:r w:rsidRPr="002B051A">
        <w:rPr>
          <w:rFonts w:ascii="Times New Roman" w:eastAsia="Times New Roman" w:hAnsi="Times New Roman" w:cs="Times New Roman"/>
          <w:sz w:val="26"/>
          <w:szCs w:val="26"/>
        </w:rPr>
        <w:tab/>
        <w:t>zjawisko nie występuje lub nie ma treści merytorycznej;</w:t>
      </w:r>
    </w:p>
    <w:p w:rsidR="003F5196" w:rsidRPr="002B051A" w:rsidRDefault="003F5196" w:rsidP="006B4114">
      <w:pPr>
        <w:tabs>
          <w:tab w:val="left" w:pos="426"/>
          <w:tab w:val="left" w:pos="709"/>
        </w:tabs>
        <w:spacing w:before="120" w:after="0" w:line="264" w:lineRule="auto"/>
        <w:rPr>
          <w:rFonts w:ascii="Times New Roman" w:eastAsia="Times New Roman" w:hAnsi="Times New Roman" w:cs="Times New Roman"/>
          <w:sz w:val="26"/>
          <w:szCs w:val="26"/>
        </w:rPr>
      </w:pPr>
      <w:r w:rsidRPr="002B051A">
        <w:rPr>
          <w:rFonts w:ascii="Times New Roman" w:eastAsia="Times New Roman" w:hAnsi="Times New Roman" w:cs="Times New Roman"/>
          <w:sz w:val="26"/>
          <w:szCs w:val="26"/>
        </w:rPr>
        <w:t>ln</w:t>
      </w:r>
      <w:r w:rsidRPr="002B051A">
        <w:rPr>
          <w:rFonts w:ascii="Times New Roman" w:eastAsia="Times New Roman" w:hAnsi="Times New Roman" w:cs="Times New Roman"/>
          <w:sz w:val="26"/>
          <w:szCs w:val="26"/>
        </w:rPr>
        <w:tab/>
        <w:t>-</w:t>
      </w:r>
      <w:r w:rsidRPr="002B051A">
        <w:rPr>
          <w:rFonts w:ascii="Times New Roman" w:eastAsia="Times New Roman" w:hAnsi="Times New Roman" w:cs="Times New Roman"/>
          <w:sz w:val="26"/>
          <w:szCs w:val="26"/>
        </w:rPr>
        <w:tab/>
        <w:t>liczba niemianowana;</w:t>
      </w:r>
    </w:p>
    <w:p w:rsidR="003F5196" w:rsidRPr="002B051A" w:rsidRDefault="003F5196" w:rsidP="006B4114">
      <w:pPr>
        <w:tabs>
          <w:tab w:val="left" w:pos="426"/>
          <w:tab w:val="left" w:pos="709"/>
        </w:tabs>
        <w:spacing w:before="120" w:after="0" w:line="264" w:lineRule="auto"/>
        <w:rPr>
          <w:rFonts w:ascii="Times New Roman" w:eastAsia="Times New Roman" w:hAnsi="Times New Roman" w:cs="Times New Roman"/>
          <w:sz w:val="26"/>
          <w:szCs w:val="26"/>
        </w:rPr>
      </w:pPr>
      <w:r w:rsidRPr="002B051A">
        <w:rPr>
          <w:rFonts w:ascii="Times New Roman" w:eastAsia="Times New Roman" w:hAnsi="Times New Roman" w:cs="Times New Roman"/>
          <w:sz w:val="26"/>
          <w:szCs w:val="26"/>
        </w:rPr>
        <w:t>-</w:t>
      </w:r>
      <w:r w:rsidRPr="002B051A">
        <w:rPr>
          <w:rFonts w:ascii="Times New Roman" w:eastAsia="Times New Roman" w:hAnsi="Times New Roman" w:cs="Times New Roman"/>
          <w:b/>
          <w:i/>
          <w:sz w:val="26"/>
          <w:szCs w:val="26"/>
        </w:rPr>
        <w:tab/>
      </w:r>
      <w:r w:rsidRPr="002B051A">
        <w:rPr>
          <w:rFonts w:ascii="Times New Roman" w:eastAsia="Times New Roman" w:hAnsi="Times New Roman" w:cs="Times New Roman"/>
          <w:sz w:val="26"/>
          <w:szCs w:val="26"/>
        </w:rPr>
        <w:t>-</w:t>
      </w:r>
      <w:r w:rsidRPr="002B051A">
        <w:rPr>
          <w:rFonts w:ascii="Times New Roman" w:eastAsia="Times New Roman" w:hAnsi="Times New Roman" w:cs="Times New Roman"/>
          <w:sz w:val="26"/>
          <w:szCs w:val="26"/>
        </w:rPr>
        <w:tab/>
        <w:t>brak zgody na podanie nazwy przedsiębiorstwa.</w:t>
      </w:r>
    </w:p>
    <w:p w:rsidR="003F5196" w:rsidRPr="002B051A" w:rsidRDefault="003F5196" w:rsidP="006B4114">
      <w:pPr>
        <w:tabs>
          <w:tab w:val="left" w:pos="426"/>
        </w:tabs>
        <w:spacing w:before="120" w:after="0" w:line="264" w:lineRule="auto"/>
        <w:jc w:val="both"/>
        <w:rPr>
          <w:rFonts w:ascii="Times New Roman" w:eastAsia="Calibri" w:hAnsi="Times New Roman" w:cs="Times New Roman"/>
          <w:sz w:val="26"/>
          <w:szCs w:val="26"/>
        </w:rPr>
      </w:pPr>
      <w:r w:rsidRPr="002B051A">
        <w:rPr>
          <w:rFonts w:ascii="Times New Roman" w:eastAsia="Calibri" w:hAnsi="Times New Roman" w:cs="Times New Roman"/>
          <w:sz w:val="26"/>
          <w:szCs w:val="26"/>
        </w:rPr>
        <w:t>Ranking przygotował zespół pracowników Instytutu Ekonomiki Rolnictwa i Gospodarki Żywnościowej – PIB w składzie:</w:t>
      </w:r>
    </w:p>
    <w:p w:rsidR="003F5196" w:rsidRPr="002B051A" w:rsidRDefault="003F5196" w:rsidP="006B4114">
      <w:pPr>
        <w:tabs>
          <w:tab w:val="left" w:pos="426"/>
          <w:tab w:val="left" w:pos="2340"/>
        </w:tabs>
        <w:spacing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sz w:val="26"/>
          <w:szCs w:val="26"/>
        </w:rPr>
        <w:tab/>
        <w:t xml:space="preserve">Mgr inż. Marcin Adamski </w:t>
      </w:r>
    </w:p>
    <w:p w:rsidR="003F5196" w:rsidRPr="002B051A" w:rsidRDefault="003F5196" w:rsidP="006B4114">
      <w:pPr>
        <w:tabs>
          <w:tab w:val="left" w:pos="426"/>
          <w:tab w:val="left" w:pos="2340"/>
        </w:tabs>
        <w:spacing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sz w:val="26"/>
          <w:szCs w:val="26"/>
        </w:rPr>
        <w:tab/>
        <w:t>Prof. dr hab. Jacek Kulawik</w:t>
      </w:r>
    </w:p>
    <w:p w:rsidR="003F5196" w:rsidRPr="002B051A" w:rsidRDefault="003F5196" w:rsidP="006B4114">
      <w:pPr>
        <w:tabs>
          <w:tab w:val="left" w:pos="426"/>
          <w:tab w:val="left" w:pos="2340"/>
        </w:tabs>
        <w:spacing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sz w:val="26"/>
          <w:szCs w:val="26"/>
        </w:rPr>
        <w:tab/>
        <w:t>Dr Dariusz Osuch</w:t>
      </w:r>
    </w:p>
    <w:p w:rsidR="005457CC" w:rsidRDefault="003F5196" w:rsidP="006B4114">
      <w:pPr>
        <w:tabs>
          <w:tab w:val="left" w:pos="426"/>
          <w:tab w:val="left" w:pos="2340"/>
        </w:tabs>
        <w:spacing w:after="0" w:line="264" w:lineRule="auto"/>
        <w:jc w:val="both"/>
        <w:rPr>
          <w:rFonts w:ascii="Times New Roman" w:eastAsia="Times New Roman" w:hAnsi="Times New Roman" w:cs="Times New Roman"/>
          <w:sz w:val="26"/>
          <w:szCs w:val="26"/>
        </w:rPr>
      </w:pPr>
      <w:r w:rsidRPr="002B051A">
        <w:rPr>
          <w:rFonts w:ascii="Times New Roman" w:eastAsia="Times New Roman" w:hAnsi="Times New Roman" w:cs="Times New Roman"/>
          <w:sz w:val="26"/>
          <w:szCs w:val="26"/>
        </w:rPr>
        <w:tab/>
        <w:t xml:space="preserve">Mgr inż. Maria </w:t>
      </w:r>
      <w:proofErr w:type="spellStart"/>
      <w:r w:rsidRPr="002B051A">
        <w:rPr>
          <w:rFonts w:ascii="Times New Roman" w:eastAsia="Times New Roman" w:hAnsi="Times New Roman" w:cs="Times New Roman"/>
          <w:sz w:val="26"/>
          <w:szCs w:val="26"/>
        </w:rPr>
        <w:t>Zdzieborska</w:t>
      </w:r>
      <w:proofErr w:type="spellEnd"/>
    </w:p>
    <w:p w:rsidR="002B051A" w:rsidRPr="002B051A" w:rsidRDefault="002B051A" w:rsidP="006B4114">
      <w:pPr>
        <w:tabs>
          <w:tab w:val="left" w:pos="426"/>
          <w:tab w:val="left" w:pos="2340"/>
        </w:tabs>
        <w:spacing w:after="0" w:line="264" w:lineRule="auto"/>
        <w:jc w:val="both"/>
        <w:rPr>
          <w:rFonts w:ascii="Times New Roman" w:eastAsia="Times New Roman" w:hAnsi="Times New Roman" w:cs="Times New Roman"/>
          <w:sz w:val="26"/>
          <w:szCs w:val="26"/>
        </w:rPr>
      </w:pPr>
    </w:p>
    <w:sectPr w:rsidR="002B051A" w:rsidRPr="002B051A" w:rsidSect="00C26A74">
      <w:type w:val="continuous"/>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A14" w:rsidRDefault="00D61A14" w:rsidP="00C70D19">
      <w:pPr>
        <w:spacing w:after="0" w:line="240" w:lineRule="auto"/>
      </w:pPr>
      <w:r>
        <w:separator/>
      </w:r>
    </w:p>
  </w:endnote>
  <w:endnote w:type="continuationSeparator" w:id="0">
    <w:p w:rsidR="00D61A14" w:rsidRDefault="00D61A14" w:rsidP="00C7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061516"/>
      <w:docPartObj>
        <w:docPartGallery w:val="Page Numbers (Bottom of Page)"/>
        <w:docPartUnique/>
      </w:docPartObj>
    </w:sdtPr>
    <w:sdtContent>
      <w:p w:rsidR="001C732F" w:rsidRDefault="001C732F">
        <w:pPr>
          <w:pStyle w:val="Stopka"/>
          <w:jc w:val="center"/>
        </w:pPr>
        <w:r>
          <w:fldChar w:fldCharType="begin"/>
        </w:r>
        <w:r>
          <w:instrText>PAGE   \* MERGEFORMAT</w:instrText>
        </w:r>
        <w:r>
          <w:fldChar w:fldCharType="separate"/>
        </w:r>
        <w:r w:rsidR="002B051A">
          <w:rPr>
            <w:noProof/>
          </w:rPr>
          <w:t>1</w:t>
        </w:r>
        <w:r>
          <w:fldChar w:fldCharType="end"/>
        </w:r>
      </w:p>
    </w:sdtContent>
  </w:sdt>
  <w:p w:rsidR="001C732F" w:rsidRDefault="001C73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A14" w:rsidRDefault="00D61A14" w:rsidP="00C70D19">
      <w:pPr>
        <w:spacing w:after="0" w:line="240" w:lineRule="auto"/>
      </w:pPr>
      <w:r>
        <w:separator/>
      </w:r>
    </w:p>
  </w:footnote>
  <w:footnote w:type="continuationSeparator" w:id="0">
    <w:p w:rsidR="00D61A14" w:rsidRDefault="00D61A14" w:rsidP="00C70D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EC"/>
    <w:rsid w:val="00002359"/>
    <w:rsid w:val="0000484E"/>
    <w:rsid w:val="000151A8"/>
    <w:rsid w:val="000151DB"/>
    <w:rsid w:val="00017EF5"/>
    <w:rsid w:val="00022980"/>
    <w:rsid w:val="00027068"/>
    <w:rsid w:val="00040929"/>
    <w:rsid w:val="0004291E"/>
    <w:rsid w:val="00056F1D"/>
    <w:rsid w:val="000734E5"/>
    <w:rsid w:val="00073E5C"/>
    <w:rsid w:val="00074051"/>
    <w:rsid w:val="0007523A"/>
    <w:rsid w:val="0007555E"/>
    <w:rsid w:val="000804C5"/>
    <w:rsid w:val="0008322A"/>
    <w:rsid w:val="00084CB6"/>
    <w:rsid w:val="00086BF5"/>
    <w:rsid w:val="00086E06"/>
    <w:rsid w:val="000913FC"/>
    <w:rsid w:val="000934FE"/>
    <w:rsid w:val="00093B70"/>
    <w:rsid w:val="00095F52"/>
    <w:rsid w:val="000A29F2"/>
    <w:rsid w:val="000A6B8D"/>
    <w:rsid w:val="000B32D8"/>
    <w:rsid w:val="000B4F8C"/>
    <w:rsid w:val="000B6752"/>
    <w:rsid w:val="000C1BA7"/>
    <w:rsid w:val="000C2B71"/>
    <w:rsid w:val="000C4648"/>
    <w:rsid w:val="000C5139"/>
    <w:rsid w:val="000C705C"/>
    <w:rsid w:val="000C7294"/>
    <w:rsid w:val="000D2E50"/>
    <w:rsid w:val="000D328C"/>
    <w:rsid w:val="000D6CB2"/>
    <w:rsid w:val="000E44CE"/>
    <w:rsid w:val="000E4BEC"/>
    <w:rsid w:val="000E6CFD"/>
    <w:rsid w:val="000E7189"/>
    <w:rsid w:val="000F6ABE"/>
    <w:rsid w:val="000F78FE"/>
    <w:rsid w:val="00100747"/>
    <w:rsid w:val="001060A4"/>
    <w:rsid w:val="001128E4"/>
    <w:rsid w:val="00113899"/>
    <w:rsid w:val="00122AEC"/>
    <w:rsid w:val="0012381F"/>
    <w:rsid w:val="00124517"/>
    <w:rsid w:val="001257D5"/>
    <w:rsid w:val="001267D6"/>
    <w:rsid w:val="00127F84"/>
    <w:rsid w:val="001303E1"/>
    <w:rsid w:val="00130A00"/>
    <w:rsid w:val="00133FBF"/>
    <w:rsid w:val="001368E5"/>
    <w:rsid w:val="00143806"/>
    <w:rsid w:val="00150B1A"/>
    <w:rsid w:val="00150C65"/>
    <w:rsid w:val="00152883"/>
    <w:rsid w:val="00153E4A"/>
    <w:rsid w:val="00166B98"/>
    <w:rsid w:val="00167E1F"/>
    <w:rsid w:val="00170199"/>
    <w:rsid w:val="001704CA"/>
    <w:rsid w:val="001833C3"/>
    <w:rsid w:val="001841DC"/>
    <w:rsid w:val="001906E0"/>
    <w:rsid w:val="001A5283"/>
    <w:rsid w:val="001A5C7D"/>
    <w:rsid w:val="001A635C"/>
    <w:rsid w:val="001B2266"/>
    <w:rsid w:val="001B2CBF"/>
    <w:rsid w:val="001C0C7F"/>
    <w:rsid w:val="001C218D"/>
    <w:rsid w:val="001C732F"/>
    <w:rsid w:val="001D10F7"/>
    <w:rsid w:val="001E053D"/>
    <w:rsid w:val="001E1FDE"/>
    <w:rsid w:val="001E2280"/>
    <w:rsid w:val="001E22E9"/>
    <w:rsid w:val="001E6DB6"/>
    <w:rsid w:val="001F1EC8"/>
    <w:rsid w:val="001F3541"/>
    <w:rsid w:val="001F3C5B"/>
    <w:rsid w:val="001F40CA"/>
    <w:rsid w:val="001F5329"/>
    <w:rsid w:val="00201648"/>
    <w:rsid w:val="00203E4C"/>
    <w:rsid w:val="00207498"/>
    <w:rsid w:val="00207D8B"/>
    <w:rsid w:val="00212F39"/>
    <w:rsid w:val="00215C75"/>
    <w:rsid w:val="00216C96"/>
    <w:rsid w:val="0021712D"/>
    <w:rsid w:val="00217673"/>
    <w:rsid w:val="00220025"/>
    <w:rsid w:val="0022110D"/>
    <w:rsid w:val="0023106E"/>
    <w:rsid w:val="00234D14"/>
    <w:rsid w:val="00237D22"/>
    <w:rsid w:val="002466DD"/>
    <w:rsid w:val="00252924"/>
    <w:rsid w:val="00252E7A"/>
    <w:rsid w:val="002558B3"/>
    <w:rsid w:val="00256140"/>
    <w:rsid w:val="00256B8B"/>
    <w:rsid w:val="00260FEF"/>
    <w:rsid w:val="002618D7"/>
    <w:rsid w:val="00261B08"/>
    <w:rsid w:val="0026614D"/>
    <w:rsid w:val="002702BC"/>
    <w:rsid w:val="00270617"/>
    <w:rsid w:val="00272C55"/>
    <w:rsid w:val="0027315F"/>
    <w:rsid w:val="00275EFF"/>
    <w:rsid w:val="0028189F"/>
    <w:rsid w:val="0028212D"/>
    <w:rsid w:val="00284911"/>
    <w:rsid w:val="002919A7"/>
    <w:rsid w:val="00296829"/>
    <w:rsid w:val="00297FF8"/>
    <w:rsid w:val="002A2404"/>
    <w:rsid w:val="002A3F9C"/>
    <w:rsid w:val="002A4A14"/>
    <w:rsid w:val="002A533D"/>
    <w:rsid w:val="002B051A"/>
    <w:rsid w:val="002B0840"/>
    <w:rsid w:val="002B3DB1"/>
    <w:rsid w:val="002B556F"/>
    <w:rsid w:val="002B690D"/>
    <w:rsid w:val="002B730F"/>
    <w:rsid w:val="002B7D4F"/>
    <w:rsid w:val="002B7E51"/>
    <w:rsid w:val="002C0DCA"/>
    <w:rsid w:val="002C41D3"/>
    <w:rsid w:val="002C55F6"/>
    <w:rsid w:val="002E07AC"/>
    <w:rsid w:val="002E18B8"/>
    <w:rsid w:val="002E241F"/>
    <w:rsid w:val="002E3C47"/>
    <w:rsid w:val="002E5EBB"/>
    <w:rsid w:val="002E6F60"/>
    <w:rsid w:val="002E7DD6"/>
    <w:rsid w:val="002F09DC"/>
    <w:rsid w:val="002F7181"/>
    <w:rsid w:val="002F7DBA"/>
    <w:rsid w:val="0030140E"/>
    <w:rsid w:val="00301453"/>
    <w:rsid w:val="00301D80"/>
    <w:rsid w:val="00306D91"/>
    <w:rsid w:val="0031203F"/>
    <w:rsid w:val="00312DFD"/>
    <w:rsid w:val="00314540"/>
    <w:rsid w:val="0031460F"/>
    <w:rsid w:val="00316057"/>
    <w:rsid w:val="00323895"/>
    <w:rsid w:val="0032516E"/>
    <w:rsid w:val="00327B0B"/>
    <w:rsid w:val="0033009E"/>
    <w:rsid w:val="00341EFC"/>
    <w:rsid w:val="00343528"/>
    <w:rsid w:val="0034491F"/>
    <w:rsid w:val="00344F0F"/>
    <w:rsid w:val="00345559"/>
    <w:rsid w:val="00346776"/>
    <w:rsid w:val="0034749C"/>
    <w:rsid w:val="00347A11"/>
    <w:rsid w:val="00350594"/>
    <w:rsid w:val="00361B2C"/>
    <w:rsid w:val="00363DD9"/>
    <w:rsid w:val="00365DB3"/>
    <w:rsid w:val="003669AF"/>
    <w:rsid w:val="003672A6"/>
    <w:rsid w:val="00371B16"/>
    <w:rsid w:val="00373FEC"/>
    <w:rsid w:val="00376B9D"/>
    <w:rsid w:val="00377E89"/>
    <w:rsid w:val="003833EB"/>
    <w:rsid w:val="003938E5"/>
    <w:rsid w:val="00394912"/>
    <w:rsid w:val="00396CF6"/>
    <w:rsid w:val="003A06F7"/>
    <w:rsid w:val="003A3798"/>
    <w:rsid w:val="003A4539"/>
    <w:rsid w:val="003A7298"/>
    <w:rsid w:val="003A7C8B"/>
    <w:rsid w:val="003B0B81"/>
    <w:rsid w:val="003B18F7"/>
    <w:rsid w:val="003C31E9"/>
    <w:rsid w:val="003C58C7"/>
    <w:rsid w:val="003C602C"/>
    <w:rsid w:val="003C6895"/>
    <w:rsid w:val="003C7959"/>
    <w:rsid w:val="003D0CD0"/>
    <w:rsid w:val="003D5815"/>
    <w:rsid w:val="003D7ECA"/>
    <w:rsid w:val="003E21AC"/>
    <w:rsid w:val="003F129D"/>
    <w:rsid w:val="003F24B0"/>
    <w:rsid w:val="003F2E0F"/>
    <w:rsid w:val="003F5196"/>
    <w:rsid w:val="003F7B80"/>
    <w:rsid w:val="0040198D"/>
    <w:rsid w:val="004047EC"/>
    <w:rsid w:val="00406C0E"/>
    <w:rsid w:val="00413BFB"/>
    <w:rsid w:val="00413CE0"/>
    <w:rsid w:val="00414B37"/>
    <w:rsid w:val="00415AB8"/>
    <w:rsid w:val="00416780"/>
    <w:rsid w:val="00422EFA"/>
    <w:rsid w:val="00427517"/>
    <w:rsid w:val="0042785C"/>
    <w:rsid w:val="00434F2B"/>
    <w:rsid w:val="0043583D"/>
    <w:rsid w:val="004367DF"/>
    <w:rsid w:val="00440918"/>
    <w:rsid w:val="00443446"/>
    <w:rsid w:val="004446B1"/>
    <w:rsid w:val="00451288"/>
    <w:rsid w:val="004528AF"/>
    <w:rsid w:val="00453DBD"/>
    <w:rsid w:val="00454542"/>
    <w:rsid w:val="00457E84"/>
    <w:rsid w:val="00460E4C"/>
    <w:rsid w:val="004617F8"/>
    <w:rsid w:val="00464B36"/>
    <w:rsid w:val="00466DBC"/>
    <w:rsid w:val="00473823"/>
    <w:rsid w:val="004739DB"/>
    <w:rsid w:val="00477132"/>
    <w:rsid w:val="0048409E"/>
    <w:rsid w:val="004877EA"/>
    <w:rsid w:val="00497032"/>
    <w:rsid w:val="004A46F9"/>
    <w:rsid w:val="004A736E"/>
    <w:rsid w:val="004B0C6C"/>
    <w:rsid w:val="004B3FC6"/>
    <w:rsid w:val="004B50E3"/>
    <w:rsid w:val="004B6157"/>
    <w:rsid w:val="004B701A"/>
    <w:rsid w:val="004C05AC"/>
    <w:rsid w:val="004C1CDB"/>
    <w:rsid w:val="004C338C"/>
    <w:rsid w:val="004C4A1D"/>
    <w:rsid w:val="004C6DAF"/>
    <w:rsid w:val="004D1228"/>
    <w:rsid w:val="004D65FF"/>
    <w:rsid w:val="004E4EB1"/>
    <w:rsid w:val="004E6EAF"/>
    <w:rsid w:val="004F149E"/>
    <w:rsid w:val="004F1F44"/>
    <w:rsid w:val="004F43B7"/>
    <w:rsid w:val="004F5195"/>
    <w:rsid w:val="0050114D"/>
    <w:rsid w:val="0050413A"/>
    <w:rsid w:val="00504C5B"/>
    <w:rsid w:val="00506005"/>
    <w:rsid w:val="005107AE"/>
    <w:rsid w:val="00515747"/>
    <w:rsid w:val="00520B7C"/>
    <w:rsid w:val="00522254"/>
    <w:rsid w:val="00523A26"/>
    <w:rsid w:val="00524EC4"/>
    <w:rsid w:val="005309D3"/>
    <w:rsid w:val="00532406"/>
    <w:rsid w:val="00532438"/>
    <w:rsid w:val="00536057"/>
    <w:rsid w:val="00541AB9"/>
    <w:rsid w:val="00541C13"/>
    <w:rsid w:val="005457CC"/>
    <w:rsid w:val="00547305"/>
    <w:rsid w:val="005531D3"/>
    <w:rsid w:val="00554673"/>
    <w:rsid w:val="00571116"/>
    <w:rsid w:val="00581847"/>
    <w:rsid w:val="005922B5"/>
    <w:rsid w:val="005953F9"/>
    <w:rsid w:val="005A0D5D"/>
    <w:rsid w:val="005A36A3"/>
    <w:rsid w:val="005A3C9D"/>
    <w:rsid w:val="005A45DC"/>
    <w:rsid w:val="005A4CD9"/>
    <w:rsid w:val="005B1C39"/>
    <w:rsid w:val="005B2028"/>
    <w:rsid w:val="005B61C8"/>
    <w:rsid w:val="005B69B8"/>
    <w:rsid w:val="005C0D6A"/>
    <w:rsid w:val="005C3454"/>
    <w:rsid w:val="005C3A1C"/>
    <w:rsid w:val="005C44A5"/>
    <w:rsid w:val="005D6D49"/>
    <w:rsid w:val="005D71C7"/>
    <w:rsid w:val="005E0A49"/>
    <w:rsid w:val="005E21B7"/>
    <w:rsid w:val="005E2D09"/>
    <w:rsid w:val="005E52E2"/>
    <w:rsid w:val="005E540E"/>
    <w:rsid w:val="005F4F83"/>
    <w:rsid w:val="005F537D"/>
    <w:rsid w:val="005F67F7"/>
    <w:rsid w:val="006050E4"/>
    <w:rsid w:val="00605D95"/>
    <w:rsid w:val="00606DA4"/>
    <w:rsid w:val="00607F4C"/>
    <w:rsid w:val="00610D12"/>
    <w:rsid w:val="006156F2"/>
    <w:rsid w:val="006161AC"/>
    <w:rsid w:val="00623742"/>
    <w:rsid w:val="00625C89"/>
    <w:rsid w:val="00634C0F"/>
    <w:rsid w:val="00634C76"/>
    <w:rsid w:val="006356F0"/>
    <w:rsid w:val="00643865"/>
    <w:rsid w:val="0065165A"/>
    <w:rsid w:val="00653794"/>
    <w:rsid w:val="00653DF8"/>
    <w:rsid w:val="00657377"/>
    <w:rsid w:val="00657F2B"/>
    <w:rsid w:val="00664450"/>
    <w:rsid w:val="00667ECA"/>
    <w:rsid w:val="006709FE"/>
    <w:rsid w:val="00673CBA"/>
    <w:rsid w:val="00673E12"/>
    <w:rsid w:val="00676012"/>
    <w:rsid w:val="006807E1"/>
    <w:rsid w:val="00684103"/>
    <w:rsid w:val="0068458B"/>
    <w:rsid w:val="00686FF1"/>
    <w:rsid w:val="00691F12"/>
    <w:rsid w:val="0069391E"/>
    <w:rsid w:val="006972B9"/>
    <w:rsid w:val="006A146C"/>
    <w:rsid w:val="006A33D6"/>
    <w:rsid w:val="006A73CA"/>
    <w:rsid w:val="006B1910"/>
    <w:rsid w:val="006B4114"/>
    <w:rsid w:val="006B66D2"/>
    <w:rsid w:val="006B7551"/>
    <w:rsid w:val="006C5354"/>
    <w:rsid w:val="006D37B3"/>
    <w:rsid w:val="006D4C55"/>
    <w:rsid w:val="006E4228"/>
    <w:rsid w:val="006E516C"/>
    <w:rsid w:val="006E6960"/>
    <w:rsid w:val="006E6C0E"/>
    <w:rsid w:val="006F10BF"/>
    <w:rsid w:val="006F2A52"/>
    <w:rsid w:val="006F413F"/>
    <w:rsid w:val="006F4D98"/>
    <w:rsid w:val="006F6950"/>
    <w:rsid w:val="00700C37"/>
    <w:rsid w:val="00705242"/>
    <w:rsid w:val="00705D05"/>
    <w:rsid w:val="00706529"/>
    <w:rsid w:val="007066FF"/>
    <w:rsid w:val="00712213"/>
    <w:rsid w:val="0071666A"/>
    <w:rsid w:val="00725778"/>
    <w:rsid w:val="00727E5A"/>
    <w:rsid w:val="00731858"/>
    <w:rsid w:val="00734721"/>
    <w:rsid w:val="00736D3F"/>
    <w:rsid w:val="0074191F"/>
    <w:rsid w:val="0074428E"/>
    <w:rsid w:val="0075102D"/>
    <w:rsid w:val="00753E57"/>
    <w:rsid w:val="00756B98"/>
    <w:rsid w:val="0076057C"/>
    <w:rsid w:val="007609E1"/>
    <w:rsid w:val="00760C59"/>
    <w:rsid w:val="007657EC"/>
    <w:rsid w:val="00775AE0"/>
    <w:rsid w:val="0078572A"/>
    <w:rsid w:val="00787BB9"/>
    <w:rsid w:val="00796004"/>
    <w:rsid w:val="007A034E"/>
    <w:rsid w:val="007A0B1B"/>
    <w:rsid w:val="007C1DD6"/>
    <w:rsid w:val="007C455C"/>
    <w:rsid w:val="007C5B19"/>
    <w:rsid w:val="007C5B45"/>
    <w:rsid w:val="007D0EC6"/>
    <w:rsid w:val="007D2D5A"/>
    <w:rsid w:val="007D35C9"/>
    <w:rsid w:val="007D36FE"/>
    <w:rsid w:val="007D7666"/>
    <w:rsid w:val="007E2F98"/>
    <w:rsid w:val="007E7F33"/>
    <w:rsid w:val="007F68B3"/>
    <w:rsid w:val="007F6D89"/>
    <w:rsid w:val="007F7E0F"/>
    <w:rsid w:val="008007AC"/>
    <w:rsid w:val="00802DFC"/>
    <w:rsid w:val="00803B11"/>
    <w:rsid w:val="008058EA"/>
    <w:rsid w:val="00811C77"/>
    <w:rsid w:val="00815A67"/>
    <w:rsid w:val="0081683B"/>
    <w:rsid w:val="00827051"/>
    <w:rsid w:val="00827E66"/>
    <w:rsid w:val="008351E6"/>
    <w:rsid w:val="00836019"/>
    <w:rsid w:val="00837583"/>
    <w:rsid w:val="008416BB"/>
    <w:rsid w:val="0084322F"/>
    <w:rsid w:val="00851C53"/>
    <w:rsid w:val="00852253"/>
    <w:rsid w:val="00854F17"/>
    <w:rsid w:val="00857398"/>
    <w:rsid w:val="0087173D"/>
    <w:rsid w:val="00874220"/>
    <w:rsid w:val="00874D0C"/>
    <w:rsid w:val="00877025"/>
    <w:rsid w:val="00877076"/>
    <w:rsid w:val="00877F73"/>
    <w:rsid w:val="00890096"/>
    <w:rsid w:val="00893892"/>
    <w:rsid w:val="00896AF1"/>
    <w:rsid w:val="008A4107"/>
    <w:rsid w:val="008B169A"/>
    <w:rsid w:val="008B4389"/>
    <w:rsid w:val="008D1435"/>
    <w:rsid w:val="008D2218"/>
    <w:rsid w:val="008D471E"/>
    <w:rsid w:val="008D74E9"/>
    <w:rsid w:val="008E079B"/>
    <w:rsid w:val="008E2A70"/>
    <w:rsid w:val="008F4561"/>
    <w:rsid w:val="008F5BB7"/>
    <w:rsid w:val="008F7C68"/>
    <w:rsid w:val="00901025"/>
    <w:rsid w:val="00901089"/>
    <w:rsid w:val="0090171D"/>
    <w:rsid w:val="009109AC"/>
    <w:rsid w:val="00912C83"/>
    <w:rsid w:val="00917173"/>
    <w:rsid w:val="009251E3"/>
    <w:rsid w:val="0093255E"/>
    <w:rsid w:val="0093666F"/>
    <w:rsid w:val="00937CEF"/>
    <w:rsid w:val="009402DF"/>
    <w:rsid w:val="00947128"/>
    <w:rsid w:val="009472E1"/>
    <w:rsid w:val="009500FE"/>
    <w:rsid w:val="009508A0"/>
    <w:rsid w:val="00950F71"/>
    <w:rsid w:val="00952A31"/>
    <w:rsid w:val="00952B72"/>
    <w:rsid w:val="009536CD"/>
    <w:rsid w:val="009546EF"/>
    <w:rsid w:val="00961617"/>
    <w:rsid w:val="0096468C"/>
    <w:rsid w:val="00970F76"/>
    <w:rsid w:val="009722E2"/>
    <w:rsid w:val="00974169"/>
    <w:rsid w:val="009805FB"/>
    <w:rsid w:val="00982490"/>
    <w:rsid w:val="00990913"/>
    <w:rsid w:val="00993CBE"/>
    <w:rsid w:val="009953CC"/>
    <w:rsid w:val="009A3665"/>
    <w:rsid w:val="009A43F9"/>
    <w:rsid w:val="009A7E9A"/>
    <w:rsid w:val="009C1D2C"/>
    <w:rsid w:val="009C3B64"/>
    <w:rsid w:val="009C4B6D"/>
    <w:rsid w:val="009C7EA1"/>
    <w:rsid w:val="009D1006"/>
    <w:rsid w:val="009D6045"/>
    <w:rsid w:val="009E15D8"/>
    <w:rsid w:val="009E1F23"/>
    <w:rsid w:val="009E7A3D"/>
    <w:rsid w:val="009F755A"/>
    <w:rsid w:val="00A01568"/>
    <w:rsid w:val="00A03870"/>
    <w:rsid w:val="00A2059C"/>
    <w:rsid w:val="00A21CCD"/>
    <w:rsid w:val="00A22CE4"/>
    <w:rsid w:val="00A25047"/>
    <w:rsid w:val="00A255D1"/>
    <w:rsid w:val="00A274DE"/>
    <w:rsid w:val="00A27C41"/>
    <w:rsid w:val="00A3006E"/>
    <w:rsid w:val="00A30992"/>
    <w:rsid w:val="00A31F21"/>
    <w:rsid w:val="00A323E5"/>
    <w:rsid w:val="00A32909"/>
    <w:rsid w:val="00A34114"/>
    <w:rsid w:val="00A3712B"/>
    <w:rsid w:val="00A371FA"/>
    <w:rsid w:val="00A4028C"/>
    <w:rsid w:val="00A42BE2"/>
    <w:rsid w:val="00A54D45"/>
    <w:rsid w:val="00A5628E"/>
    <w:rsid w:val="00A563B4"/>
    <w:rsid w:val="00A565E6"/>
    <w:rsid w:val="00A577D8"/>
    <w:rsid w:val="00A6443E"/>
    <w:rsid w:val="00A66897"/>
    <w:rsid w:val="00A66D97"/>
    <w:rsid w:val="00A670E9"/>
    <w:rsid w:val="00A67324"/>
    <w:rsid w:val="00A702EC"/>
    <w:rsid w:val="00A735E8"/>
    <w:rsid w:val="00A81709"/>
    <w:rsid w:val="00A81B0C"/>
    <w:rsid w:val="00A8367C"/>
    <w:rsid w:val="00A90BD3"/>
    <w:rsid w:val="00A917FB"/>
    <w:rsid w:val="00A93566"/>
    <w:rsid w:val="00AA264C"/>
    <w:rsid w:val="00AA2781"/>
    <w:rsid w:val="00AA6FA2"/>
    <w:rsid w:val="00AC4CEB"/>
    <w:rsid w:val="00AC57A4"/>
    <w:rsid w:val="00AC6C92"/>
    <w:rsid w:val="00AD4FEF"/>
    <w:rsid w:val="00AD5647"/>
    <w:rsid w:val="00AD6734"/>
    <w:rsid w:val="00AE2AA5"/>
    <w:rsid w:val="00AF7F71"/>
    <w:rsid w:val="00B00BDA"/>
    <w:rsid w:val="00B03946"/>
    <w:rsid w:val="00B0394F"/>
    <w:rsid w:val="00B04BB7"/>
    <w:rsid w:val="00B05D41"/>
    <w:rsid w:val="00B07326"/>
    <w:rsid w:val="00B134C8"/>
    <w:rsid w:val="00B17C41"/>
    <w:rsid w:val="00B26882"/>
    <w:rsid w:val="00B30196"/>
    <w:rsid w:val="00B34B4E"/>
    <w:rsid w:val="00B3726E"/>
    <w:rsid w:val="00B43C9E"/>
    <w:rsid w:val="00B44630"/>
    <w:rsid w:val="00B465C1"/>
    <w:rsid w:val="00B4756D"/>
    <w:rsid w:val="00B540E5"/>
    <w:rsid w:val="00B54BAD"/>
    <w:rsid w:val="00B62654"/>
    <w:rsid w:val="00B65539"/>
    <w:rsid w:val="00B71DCC"/>
    <w:rsid w:val="00B744FA"/>
    <w:rsid w:val="00B74BEE"/>
    <w:rsid w:val="00B76798"/>
    <w:rsid w:val="00B909BA"/>
    <w:rsid w:val="00B92FF7"/>
    <w:rsid w:val="00BA08E2"/>
    <w:rsid w:val="00BA0A1D"/>
    <w:rsid w:val="00BA0CA2"/>
    <w:rsid w:val="00BA15E2"/>
    <w:rsid w:val="00BA21E8"/>
    <w:rsid w:val="00BB0F4E"/>
    <w:rsid w:val="00BB3455"/>
    <w:rsid w:val="00BB6894"/>
    <w:rsid w:val="00BC22CC"/>
    <w:rsid w:val="00BC38EB"/>
    <w:rsid w:val="00BC434B"/>
    <w:rsid w:val="00BC6507"/>
    <w:rsid w:val="00BD4160"/>
    <w:rsid w:val="00BD4303"/>
    <w:rsid w:val="00BF28EE"/>
    <w:rsid w:val="00BF4439"/>
    <w:rsid w:val="00C03AC8"/>
    <w:rsid w:val="00C04669"/>
    <w:rsid w:val="00C0506F"/>
    <w:rsid w:val="00C07AC9"/>
    <w:rsid w:val="00C07DE9"/>
    <w:rsid w:val="00C12AE9"/>
    <w:rsid w:val="00C134AC"/>
    <w:rsid w:val="00C15C83"/>
    <w:rsid w:val="00C21EF6"/>
    <w:rsid w:val="00C2440D"/>
    <w:rsid w:val="00C26A74"/>
    <w:rsid w:val="00C47A2D"/>
    <w:rsid w:val="00C57C0B"/>
    <w:rsid w:val="00C61C80"/>
    <w:rsid w:val="00C67031"/>
    <w:rsid w:val="00C70D19"/>
    <w:rsid w:val="00C75A59"/>
    <w:rsid w:val="00C767BA"/>
    <w:rsid w:val="00C76C2E"/>
    <w:rsid w:val="00C819CF"/>
    <w:rsid w:val="00C8385D"/>
    <w:rsid w:val="00C902E1"/>
    <w:rsid w:val="00C911FD"/>
    <w:rsid w:val="00C92CD6"/>
    <w:rsid w:val="00CA236C"/>
    <w:rsid w:val="00CA7668"/>
    <w:rsid w:val="00CB7240"/>
    <w:rsid w:val="00CC5F92"/>
    <w:rsid w:val="00CC77DC"/>
    <w:rsid w:val="00CC7B05"/>
    <w:rsid w:val="00CD0F2E"/>
    <w:rsid w:val="00CD23F3"/>
    <w:rsid w:val="00CD5C49"/>
    <w:rsid w:val="00CD5CEA"/>
    <w:rsid w:val="00CD62BD"/>
    <w:rsid w:val="00CE3377"/>
    <w:rsid w:val="00CE3A79"/>
    <w:rsid w:val="00CE42FC"/>
    <w:rsid w:val="00CE7B96"/>
    <w:rsid w:val="00CF1E3E"/>
    <w:rsid w:val="00CF3CA0"/>
    <w:rsid w:val="00D00943"/>
    <w:rsid w:val="00D024AD"/>
    <w:rsid w:val="00D02A86"/>
    <w:rsid w:val="00D0494B"/>
    <w:rsid w:val="00D06355"/>
    <w:rsid w:val="00D07A09"/>
    <w:rsid w:val="00D106D1"/>
    <w:rsid w:val="00D15BD4"/>
    <w:rsid w:val="00D17D6E"/>
    <w:rsid w:val="00D3259A"/>
    <w:rsid w:val="00D327D2"/>
    <w:rsid w:val="00D331C0"/>
    <w:rsid w:val="00D40C12"/>
    <w:rsid w:val="00D418BB"/>
    <w:rsid w:val="00D45038"/>
    <w:rsid w:val="00D50348"/>
    <w:rsid w:val="00D50B4B"/>
    <w:rsid w:val="00D55ABB"/>
    <w:rsid w:val="00D601EE"/>
    <w:rsid w:val="00D61A14"/>
    <w:rsid w:val="00D671D7"/>
    <w:rsid w:val="00D83885"/>
    <w:rsid w:val="00D90444"/>
    <w:rsid w:val="00D929B4"/>
    <w:rsid w:val="00DA27DD"/>
    <w:rsid w:val="00DA4291"/>
    <w:rsid w:val="00DB2EEB"/>
    <w:rsid w:val="00DB66F5"/>
    <w:rsid w:val="00DC20D2"/>
    <w:rsid w:val="00DC2BA4"/>
    <w:rsid w:val="00DC3628"/>
    <w:rsid w:val="00DD077A"/>
    <w:rsid w:val="00DD225B"/>
    <w:rsid w:val="00DD4B42"/>
    <w:rsid w:val="00DD5F84"/>
    <w:rsid w:val="00DE2470"/>
    <w:rsid w:val="00DF272A"/>
    <w:rsid w:val="00DF4ED6"/>
    <w:rsid w:val="00E00EF9"/>
    <w:rsid w:val="00E02145"/>
    <w:rsid w:val="00E027BD"/>
    <w:rsid w:val="00E06447"/>
    <w:rsid w:val="00E177A3"/>
    <w:rsid w:val="00E22315"/>
    <w:rsid w:val="00E237E0"/>
    <w:rsid w:val="00E253F8"/>
    <w:rsid w:val="00E25FEC"/>
    <w:rsid w:val="00E26A8A"/>
    <w:rsid w:val="00E30516"/>
    <w:rsid w:val="00E30733"/>
    <w:rsid w:val="00E32908"/>
    <w:rsid w:val="00E35127"/>
    <w:rsid w:val="00E417C9"/>
    <w:rsid w:val="00E4334E"/>
    <w:rsid w:val="00E43ADA"/>
    <w:rsid w:val="00E44A48"/>
    <w:rsid w:val="00E44D99"/>
    <w:rsid w:val="00E450B9"/>
    <w:rsid w:val="00E47AB3"/>
    <w:rsid w:val="00E50FC9"/>
    <w:rsid w:val="00E535C5"/>
    <w:rsid w:val="00E53F04"/>
    <w:rsid w:val="00E56AF7"/>
    <w:rsid w:val="00E57464"/>
    <w:rsid w:val="00E72A20"/>
    <w:rsid w:val="00E72CA4"/>
    <w:rsid w:val="00E74B06"/>
    <w:rsid w:val="00E75245"/>
    <w:rsid w:val="00E803F6"/>
    <w:rsid w:val="00E80D3D"/>
    <w:rsid w:val="00E819B0"/>
    <w:rsid w:val="00E82631"/>
    <w:rsid w:val="00E85F69"/>
    <w:rsid w:val="00E962A2"/>
    <w:rsid w:val="00EA4A31"/>
    <w:rsid w:val="00EB1266"/>
    <w:rsid w:val="00EB1E1E"/>
    <w:rsid w:val="00EB613A"/>
    <w:rsid w:val="00EB77A9"/>
    <w:rsid w:val="00EB7F30"/>
    <w:rsid w:val="00EC3D43"/>
    <w:rsid w:val="00EC60DF"/>
    <w:rsid w:val="00ED2A26"/>
    <w:rsid w:val="00ED31C5"/>
    <w:rsid w:val="00ED3492"/>
    <w:rsid w:val="00ED3AA9"/>
    <w:rsid w:val="00ED4E2E"/>
    <w:rsid w:val="00ED5584"/>
    <w:rsid w:val="00EE0327"/>
    <w:rsid w:val="00EE067D"/>
    <w:rsid w:val="00EE0C0A"/>
    <w:rsid w:val="00EE338E"/>
    <w:rsid w:val="00EE3EF9"/>
    <w:rsid w:val="00EE5D5F"/>
    <w:rsid w:val="00EE731E"/>
    <w:rsid w:val="00EF0761"/>
    <w:rsid w:val="00EF4541"/>
    <w:rsid w:val="00EF51E3"/>
    <w:rsid w:val="00EF53F3"/>
    <w:rsid w:val="00EF6D1A"/>
    <w:rsid w:val="00F017A4"/>
    <w:rsid w:val="00F030E7"/>
    <w:rsid w:val="00F041EC"/>
    <w:rsid w:val="00F10ABE"/>
    <w:rsid w:val="00F1268D"/>
    <w:rsid w:val="00F13942"/>
    <w:rsid w:val="00F15B85"/>
    <w:rsid w:val="00F15C19"/>
    <w:rsid w:val="00F212A1"/>
    <w:rsid w:val="00F22207"/>
    <w:rsid w:val="00F2434C"/>
    <w:rsid w:val="00F336F9"/>
    <w:rsid w:val="00F35999"/>
    <w:rsid w:val="00F40EE3"/>
    <w:rsid w:val="00F414A6"/>
    <w:rsid w:val="00F44B90"/>
    <w:rsid w:val="00F47FA5"/>
    <w:rsid w:val="00F5382B"/>
    <w:rsid w:val="00F53EDE"/>
    <w:rsid w:val="00F5586E"/>
    <w:rsid w:val="00F57644"/>
    <w:rsid w:val="00F57BE5"/>
    <w:rsid w:val="00F62425"/>
    <w:rsid w:val="00F65252"/>
    <w:rsid w:val="00F652B3"/>
    <w:rsid w:val="00F66F98"/>
    <w:rsid w:val="00F70267"/>
    <w:rsid w:val="00F72EA9"/>
    <w:rsid w:val="00F75581"/>
    <w:rsid w:val="00F75D43"/>
    <w:rsid w:val="00F7712C"/>
    <w:rsid w:val="00F77336"/>
    <w:rsid w:val="00F81973"/>
    <w:rsid w:val="00F854AD"/>
    <w:rsid w:val="00F862A1"/>
    <w:rsid w:val="00F9266A"/>
    <w:rsid w:val="00F9644B"/>
    <w:rsid w:val="00FA27F7"/>
    <w:rsid w:val="00FA399D"/>
    <w:rsid w:val="00FA54AB"/>
    <w:rsid w:val="00FB295A"/>
    <w:rsid w:val="00FB50E3"/>
    <w:rsid w:val="00FC177D"/>
    <w:rsid w:val="00FC7CDB"/>
    <w:rsid w:val="00FD0926"/>
    <w:rsid w:val="00FD39A7"/>
    <w:rsid w:val="00FD4B54"/>
    <w:rsid w:val="00FD7183"/>
    <w:rsid w:val="00FE4D6C"/>
    <w:rsid w:val="00FE751A"/>
    <w:rsid w:val="00FE7995"/>
    <w:rsid w:val="00FF37C4"/>
    <w:rsid w:val="00FF70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134AC"/>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Nagwek2">
    <w:name w:val="heading 2"/>
    <w:basedOn w:val="Normalny"/>
    <w:next w:val="Normalny"/>
    <w:link w:val="Nagwek2Znak"/>
    <w:uiPriority w:val="9"/>
    <w:unhideWhenUsed/>
    <w:qFormat/>
    <w:rsid w:val="00C134AC"/>
    <w:pPr>
      <w:keepNext/>
      <w:keepLines/>
      <w:spacing w:before="200" w:after="0"/>
      <w:outlineLvl w:val="1"/>
    </w:pPr>
    <w:rPr>
      <w:rFonts w:asciiTheme="majorHAnsi" w:eastAsiaTheme="majorEastAsia" w:hAnsiTheme="majorHAnsi" w:cstheme="majorBidi"/>
      <w:b/>
      <w:bCs/>
      <w:color w:val="4F81BD" w:themeColor="accen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A0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08E2"/>
    <w:rPr>
      <w:rFonts w:ascii="Tahoma" w:hAnsi="Tahoma" w:cs="Tahoma"/>
      <w:sz w:val="16"/>
      <w:szCs w:val="16"/>
    </w:rPr>
  </w:style>
  <w:style w:type="table" w:styleId="Tabela-Siatka">
    <w:name w:val="Table Grid"/>
    <w:basedOn w:val="Standardowy"/>
    <w:uiPriority w:val="59"/>
    <w:rsid w:val="00040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70D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0D19"/>
  </w:style>
  <w:style w:type="paragraph" w:styleId="Stopka">
    <w:name w:val="footer"/>
    <w:basedOn w:val="Normalny"/>
    <w:link w:val="StopkaZnak"/>
    <w:uiPriority w:val="99"/>
    <w:unhideWhenUsed/>
    <w:rsid w:val="00C70D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0D19"/>
  </w:style>
  <w:style w:type="character" w:customStyle="1" w:styleId="Nagwek1Znak">
    <w:name w:val="Nagłówek 1 Znak"/>
    <w:basedOn w:val="Domylnaczcionkaakapitu"/>
    <w:link w:val="Nagwek1"/>
    <w:uiPriority w:val="9"/>
    <w:rsid w:val="00C134AC"/>
    <w:rPr>
      <w:rFonts w:asciiTheme="majorHAnsi" w:eastAsiaTheme="majorEastAsia" w:hAnsiTheme="majorHAnsi" w:cstheme="majorBidi"/>
      <w:b/>
      <w:bCs/>
      <w:color w:val="365F91" w:themeColor="accent1" w:themeShade="BF"/>
      <w:sz w:val="24"/>
      <w:szCs w:val="28"/>
    </w:rPr>
  </w:style>
  <w:style w:type="character" w:customStyle="1" w:styleId="Nagwek2Znak">
    <w:name w:val="Nagłówek 2 Znak"/>
    <w:basedOn w:val="Domylnaczcionkaakapitu"/>
    <w:link w:val="Nagwek2"/>
    <w:uiPriority w:val="9"/>
    <w:rsid w:val="00C134AC"/>
    <w:rPr>
      <w:rFonts w:asciiTheme="majorHAnsi" w:eastAsiaTheme="majorEastAsia" w:hAnsiTheme="majorHAnsi" w:cstheme="majorBidi"/>
      <w:b/>
      <w:bCs/>
      <w:color w:val="4F81BD" w:themeColor="accent1"/>
      <w:sz w:val="24"/>
      <w:szCs w:val="26"/>
    </w:rPr>
  </w:style>
  <w:style w:type="paragraph" w:styleId="Tytu">
    <w:name w:val="Title"/>
    <w:basedOn w:val="Normalny"/>
    <w:next w:val="Normalny"/>
    <w:link w:val="TytuZnak"/>
    <w:uiPriority w:val="10"/>
    <w:qFormat/>
    <w:rsid w:val="00C134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ytuZnak">
    <w:name w:val="Tytuł Znak"/>
    <w:basedOn w:val="Domylnaczcionkaakapitu"/>
    <w:link w:val="Tytu"/>
    <w:uiPriority w:val="10"/>
    <w:rsid w:val="00C134AC"/>
    <w:rPr>
      <w:rFonts w:asciiTheme="majorHAnsi" w:eastAsiaTheme="majorEastAsia" w:hAnsiTheme="majorHAnsi" w:cstheme="majorBidi"/>
      <w:color w:val="17365D" w:themeColor="text2" w:themeShade="BF"/>
      <w:spacing w:val="5"/>
      <w:kern w:val="28"/>
      <w:sz w:val="28"/>
      <w:szCs w:val="52"/>
    </w:rPr>
  </w:style>
  <w:style w:type="paragraph" w:styleId="Podtytu">
    <w:name w:val="Subtitle"/>
    <w:basedOn w:val="Normalny"/>
    <w:next w:val="Normalny"/>
    <w:link w:val="PodtytuZnak"/>
    <w:uiPriority w:val="11"/>
    <w:qFormat/>
    <w:rsid w:val="00C134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C134AC"/>
    <w:rPr>
      <w:rFonts w:asciiTheme="majorHAnsi" w:eastAsiaTheme="majorEastAsia" w:hAnsiTheme="majorHAnsi" w:cstheme="majorBidi"/>
      <w:i/>
      <w:iCs/>
      <w:color w:val="4F81BD" w:themeColor="accent1"/>
      <w:spacing w:val="15"/>
      <w:sz w:val="24"/>
      <w:szCs w:val="24"/>
    </w:rPr>
  </w:style>
  <w:style w:type="paragraph" w:styleId="Legenda">
    <w:name w:val="caption"/>
    <w:basedOn w:val="Normalny"/>
    <w:next w:val="Normalny"/>
    <w:qFormat/>
    <w:rsid w:val="00852253"/>
    <w:pPr>
      <w:spacing w:after="0" w:line="240" w:lineRule="auto"/>
    </w:pPr>
    <w:rPr>
      <w:rFonts w:ascii="Times New Roman" w:eastAsia="Times New Roman" w:hAnsi="Times New Roman" w:cs="Times New Roman"/>
      <w:b/>
      <w:bCs/>
      <w:sz w:val="20"/>
      <w:szCs w:val="20"/>
    </w:rPr>
  </w:style>
  <w:style w:type="paragraph" w:styleId="Tekstprzypisukocowego">
    <w:name w:val="endnote text"/>
    <w:basedOn w:val="Normalny"/>
    <w:link w:val="TekstprzypisukocowegoZnak"/>
    <w:uiPriority w:val="99"/>
    <w:semiHidden/>
    <w:unhideWhenUsed/>
    <w:rsid w:val="0045454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4542"/>
    <w:rPr>
      <w:sz w:val="20"/>
      <w:szCs w:val="20"/>
    </w:rPr>
  </w:style>
  <w:style w:type="character" w:styleId="Odwoanieprzypisukocowego">
    <w:name w:val="endnote reference"/>
    <w:basedOn w:val="Domylnaczcionkaakapitu"/>
    <w:uiPriority w:val="99"/>
    <w:semiHidden/>
    <w:unhideWhenUsed/>
    <w:rsid w:val="004545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134AC"/>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Nagwek2">
    <w:name w:val="heading 2"/>
    <w:basedOn w:val="Normalny"/>
    <w:next w:val="Normalny"/>
    <w:link w:val="Nagwek2Znak"/>
    <w:uiPriority w:val="9"/>
    <w:unhideWhenUsed/>
    <w:qFormat/>
    <w:rsid w:val="00C134AC"/>
    <w:pPr>
      <w:keepNext/>
      <w:keepLines/>
      <w:spacing w:before="200" w:after="0"/>
      <w:outlineLvl w:val="1"/>
    </w:pPr>
    <w:rPr>
      <w:rFonts w:asciiTheme="majorHAnsi" w:eastAsiaTheme="majorEastAsia" w:hAnsiTheme="majorHAnsi" w:cstheme="majorBidi"/>
      <w:b/>
      <w:bCs/>
      <w:color w:val="4F81BD" w:themeColor="accen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A0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08E2"/>
    <w:rPr>
      <w:rFonts w:ascii="Tahoma" w:hAnsi="Tahoma" w:cs="Tahoma"/>
      <w:sz w:val="16"/>
      <w:szCs w:val="16"/>
    </w:rPr>
  </w:style>
  <w:style w:type="table" w:styleId="Tabela-Siatka">
    <w:name w:val="Table Grid"/>
    <w:basedOn w:val="Standardowy"/>
    <w:uiPriority w:val="59"/>
    <w:rsid w:val="00040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70D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0D19"/>
  </w:style>
  <w:style w:type="paragraph" w:styleId="Stopka">
    <w:name w:val="footer"/>
    <w:basedOn w:val="Normalny"/>
    <w:link w:val="StopkaZnak"/>
    <w:uiPriority w:val="99"/>
    <w:unhideWhenUsed/>
    <w:rsid w:val="00C70D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0D19"/>
  </w:style>
  <w:style w:type="character" w:customStyle="1" w:styleId="Nagwek1Znak">
    <w:name w:val="Nagłówek 1 Znak"/>
    <w:basedOn w:val="Domylnaczcionkaakapitu"/>
    <w:link w:val="Nagwek1"/>
    <w:uiPriority w:val="9"/>
    <w:rsid w:val="00C134AC"/>
    <w:rPr>
      <w:rFonts w:asciiTheme="majorHAnsi" w:eastAsiaTheme="majorEastAsia" w:hAnsiTheme="majorHAnsi" w:cstheme="majorBidi"/>
      <w:b/>
      <w:bCs/>
      <w:color w:val="365F91" w:themeColor="accent1" w:themeShade="BF"/>
      <w:sz w:val="24"/>
      <w:szCs w:val="28"/>
    </w:rPr>
  </w:style>
  <w:style w:type="character" w:customStyle="1" w:styleId="Nagwek2Znak">
    <w:name w:val="Nagłówek 2 Znak"/>
    <w:basedOn w:val="Domylnaczcionkaakapitu"/>
    <w:link w:val="Nagwek2"/>
    <w:uiPriority w:val="9"/>
    <w:rsid w:val="00C134AC"/>
    <w:rPr>
      <w:rFonts w:asciiTheme="majorHAnsi" w:eastAsiaTheme="majorEastAsia" w:hAnsiTheme="majorHAnsi" w:cstheme="majorBidi"/>
      <w:b/>
      <w:bCs/>
      <w:color w:val="4F81BD" w:themeColor="accent1"/>
      <w:sz w:val="24"/>
      <w:szCs w:val="26"/>
    </w:rPr>
  </w:style>
  <w:style w:type="paragraph" w:styleId="Tytu">
    <w:name w:val="Title"/>
    <w:basedOn w:val="Normalny"/>
    <w:next w:val="Normalny"/>
    <w:link w:val="TytuZnak"/>
    <w:uiPriority w:val="10"/>
    <w:qFormat/>
    <w:rsid w:val="00C134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ytuZnak">
    <w:name w:val="Tytuł Znak"/>
    <w:basedOn w:val="Domylnaczcionkaakapitu"/>
    <w:link w:val="Tytu"/>
    <w:uiPriority w:val="10"/>
    <w:rsid w:val="00C134AC"/>
    <w:rPr>
      <w:rFonts w:asciiTheme="majorHAnsi" w:eastAsiaTheme="majorEastAsia" w:hAnsiTheme="majorHAnsi" w:cstheme="majorBidi"/>
      <w:color w:val="17365D" w:themeColor="text2" w:themeShade="BF"/>
      <w:spacing w:val="5"/>
      <w:kern w:val="28"/>
      <w:sz w:val="28"/>
      <w:szCs w:val="52"/>
    </w:rPr>
  </w:style>
  <w:style w:type="paragraph" w:styleId="Podtytu">
    <w:name w:val="Subtitle"/>
    <w:basedOn w:val="Normalny"/>
    <w:next w:val="Normalny"/>
    <w:link w:val="PodtytuZnak"/>
    <w:uiPriority w:val="11"/>
    <w:qFormat/>
    <w:rsid w:val="00C134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C134AC"/>
    <w:rPr>
      <w:rFonts w:asciiTheme="majorHAnsi" w:eastAsiaTheme="majorEastAsia" w:hAnsiTheme="majorHAnsi" w:cstheme="majorBidi"/>
      <w:i/>
      <w:iCs/>
      <w:color w:val="4F81BD" w:themeColor="accent1"/>
      <w:spacing w:val="15"/>
      <w:sz w:val="24"/>
      <w:szCs w:val="24"/>
    </w:rPr>
  </w:style>
  <w:style w:type="paragraph" w:styleId="Legenda">
    <w:name w:val="caption"/>
    <w:basedOn w:val="Normalny"/>
    <w:next w:val="Normalny"/>
    <w:qFormat/>
    <w:rsid w:val="00852253"/>
    <w:pPr>
      <w:spacing w:after="0" w:line="240" w:lineRule="auto"/>
    </w:pPr>
    <w:rPr>
      <w:rFonts w:ascii="Times New Roman" w:eastAsia="Times New Roman" w:hAnsi="Times New Roman" w:cs="Times New Roman"/>
      <w:b/>
      <w:bCs/>
      <w:sz w:val="20"/>
      <w:szCs w:val="20"/>
    </w:rPr>
  </w:style>
  <w:style w:type="paragraph" w:styleId="Tekstprzypisukocowego">
    <w:name w:val="endnote text"/>
    <w:basedOn w:val="Normalny"/>
    <w:link w:val="TekstprzypisukocowegoZnak"/>
    <w:uiPriority w:val="99"/>
    <w:semiHidden/>
    <w:unhideWhenUsed/>
    <w:rsid w:val="0045454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4542"/>
    <w:rPr>
      <w:sz w:val="20"/>
      <w:szCs w:val="20"/>
    </w:rPr>
  </w:style>
  <w:style w:type="character" w:styleId="Odwoanieprzypisukocowego">
    <w:name w:val="endnote reference"/>
    <w:basedOn w:val="Domylnaczcionkaakapitu"/>
    <w:uiPriority w:val="99"/>
    <w:semiHidden/>
    <w:unhideWhenUsed/>
    <w:rsid w:val="004545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8287">
      <w:bodyDiv w:val="1"/>
      <w:marLeft w:val="0"/>
      <w:marRight w:val="0"/>
      <w:marTop w:val="0"/>
      <w:marBottom w:val="0"/>
      <w:divBdr>
        <w:top w:val="none" w:sz="0" w:space="0" w:color="auto"/>
        <w:left w:val="none" w:sz="0" w:space="0" w:color="auto"/>
        <w:bottom w:val="none" w:sz="0" w:space="0" w:color="auto"/>
        <w:right w:val="none" w:sz="0" w:space="0" w:color="auto"/>
      </w:divBdr>
    </w:div>
    <w:div w:id="336621392">
      <w:bodyDiv w:val="1"/>
      <w:marLeft w:val="0"/>
      <w:marRight w:val="0"/>
      <w:marTop w:val="0"/>
      <w:marBottom w:val="0"/>
      <w:divBdr>
        <w:top w:val="none" w:sz="0" w:space="0" w:color="auto"/>
        <w:left w:val="none" w:sz="0" w:space="0" w:color="auto"/>
        <w:bottom w:val="none" w:sz="0" w:space="0" w:color="auto"/>
        <w:right w:val="none" w:sz="0" w:space="0" w:color="auto"/>
      </w:divBdr>
    </w:div>
    <w:div w:id="352153218">
      <w:bodyDiv w:val="1"/>
      <w:marLeft w:val="0"/>
      <w:marRight w:val="0"/>
      <w:marTop w:val="0"/>
      <w:marBottom w:val="0"/>
      <w:divBdr>
        <w:top w:val="none" w:sz="0" w:space="0" w:color="auto"/>
        <w:left w:val="none" w:sz="0" w:space="0" w:color="auto"/>
        <w:bottom w:val="none" w:sz="0" w:space="0" w:color="auto"/>
        <w:right w:val="none" w:sz="0" w:space="0" w:color="auto"/>
      </w:divBdr>
    </w:div>
    <w:div w:id="772020202">
      <w:bodyDiv w:val="1"/>
      <w:marLeft w:val="0"/>
      <w:marRight w:val="0"/>
      <w:marTop w:val="0"/>
      <w:marBottom w:val="0"/>
      <w:divBdr>
        <w:top w:val="none" w:sz="0" w:space="0" w:color="auto"/>
        <w:left w:val="none" w:sz="0" w:space="0" w:color="auto"/>
        <w:bottom w:val="none" w:sz="0" w:space="0" w:color="auto"/>
        <w:right w:val="none" w:sz="0" w:space="0" w:color="auto"/>
      </w:divBdr>
    </w:div>
    <w:div w:id="918179439">
      <w:bodyDiv w:val="1"/>
      <w:marLeft w:val="0"/>
      <w:marRight w:val="0"/>
      <w:marTop w:val="0"/>
      <w:marBottom w:val="0"/>
      <w:divBdr>
        <w:top w:val="none" w:sz="0" w:space="0" w:color="auto"/>
        <w:left w:val="none" w:sz="0" w:space="0" w:color="auto"/>
        <w:bottom w:val="none" w:sz="0" w:space="0" w:color="auto"/>
        <w:right w:val="none" w:sz="0" w:space="0" w:color="auto"/>
      </w:divBdr>
    </w:div>
    <w:div w:id="1472096879">
      <w:bodyDiv w:val="1"/>
      <w:marLeft w:val="0"/>
      <w:marRight w:val="0"/>
      <w:marTop w:val="0"/>
      <w:marBottom w:val="0"/>
      <w:divBdr>
        <w:top w:val="none" w:sz="0" w:space="0" w:color="auto"/>
        <w:left w:val="none" w:sz="0" w:space="0" w:color="auto"/>
        <w:bottom w:val="none" w:sz="0" w:space="0" w:color="auto"/>
        <w:right w:val="none" w:sz="0" w:space="0" w:color="auto"/>
      </w:divBdr>
    </w:div>
    <w:div w:id="1762481258">
      <w:bodyDiv w:val="1"/>
      <w:marLeft w:val="0"/>
      <w:marRight w:val="0"/>
      <w:marTop w:val="0"/>
      <w:marBottom w:val="0"/>
      <w:divBdr>
        <w:top w:val="none" w:sz="0" w:space="0" w:color="auto"/>
        <w:left w:val="none" w:sz="0" w:space="0" w:color="auto"/>
        <w:bottom w:val="none" w:sz="0" w:space="0" w:color="auto"/>
        <w:right w:val="none" w:sz="0" w:space="0" w:color="auto"/>
      </w:divBdr>
    </w:div>
    <w:div w:id="1797259473">
      <w:bodyDiv w:val="1"/>
      <w:marLeft w:val="0"/>
      <w:marRight w:val="0"/>
      <w:marTop w:val="0"/>
      <w:marBottom w:val="0"/>
      <w:divBdr>
        <w:top w:val="none" w:sz="0" w:space="0" w:color="auto"/>
        <w:left w:val="none" w:sz="0" w:space="0" w:color="auto"/>
        <w:bottom w:val="none" w:sz="0" w:space="0" w:color="auto"/>
        <w:right w:val="none" w:sz="0" w:space="0" w:color="auto"/>
      </w:divBdr>
    </w:div>
    <w:div w:id="213721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414634146341459E-2"/>
          <c:y val="4.6218487394957986E-2"/>
          <c:w val="0.91463414634146345"/>
          <c:h val="0.63445378151260501"/>
        </c:manualLayout>
      </c:layout>
      <c:lineChart>
        <c:grouping val="standard"/>
        <c:varyColors val="0"/>
        <c:ser>
          <c:idx val="0"/>
          <c:order val="0"/>
          <c:tx>
            <c:strRef>
              <c:f>Sheet1!$B$1</c:f>
              <c:strCache>
                <c:ptCount val="1"/>
                <c:pt idx="0">
                  <c:v>Sto</c:v>
                </c:pt>
              </c:strCache>
            </c:strRef>
          </c:tx>
          <c:spPr>
            <a:ln w="19072">
              <a:solidFill>
                <a:srgbClr val="000000"/>
              </a:solidFill>
              <a:prstDash val="solid"/>
            </a:ln>
          </c:spPr>
          <c:marker>
            <c:symbol val="none"/>
          </c:marker>
          <c:cat>
            <c:strRef>
              <c:f>Sheet1!$A$2:$A$50</c:f>
              <c:strCache>
                <c:ptCount val="49"/>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pt idx="25">
                  <c:v>II 16</c:v>
                </c:pt>
                <c:pt idx="26">
                  <c:v>III 16</c:v>
                </c:pt>
                <c:pt idx="27">
                  <c:v>IV  16</c:v>
                </c:pt>
                <c:pt idx="28">
                  <c:v>V 16</c:v>
                </c:pt>
                <c:pt idx="29">
                  <c:v>VI 16</c:v>
                </c:pt>
                <c:pt idx="30">
                  <c:v>VII  16</c:v>
                </c:pt>
                <c:pt idx="31">
                  <c:v>VIII 16</c:v>
                </c:pt>
                <c:pt idx="32">
                  <c:v>IX 16</c:v>
                </c:pt>
                <c:pt idx="33">
                  <c:v>X  16</c:v>
                </c:pt>
                <c:pt idx="34">
                  <c:v>XI 16</c:v>
                </c:pt>
                <c:pt idx="35">
                  <c:v>XII 16</c:v>
                </c:pt>
                <c:pt idx="36">
                  <c:v>I  17</c:v>
                </c:pt>
                <c:pt idx="37">
                  <c:v>II 17</c:v>
                </c:pt>
                <c:pt idx="38">
                  <c:v>III 17</c:v>
                </c:pt>
                <c:pt idx="39">
                  <c:v>IV  17</c:v>
                </c:pt>
                <c:pt idx="40">
                  <c:v>V 17</c:v>
                </c:pt>
                <c:pt idx="41">
                  <c:v>VI 17</c:v>
                </c:pt>
                <c:pt idx="42">
                  <c:v>VII 17</c:v>
                </c:pt>
                <c:pt idx="43">
                  <c:v>VIII 17</c:v>
                </c:pt>
                <c:pt idx="44">
                  <c:v>IX 17</c:v>
                </c:pt>
                <c:pt idx="45">
                  <c:v>X 17</c:v>
                </c:pt>
                <c:pt idx="46">
                  <c:v>XI 17</c:v>
                </c:pt>
                <c:pt idx="47">
                  <c:v>XII 17</c:v>
                </c:pt>
                <c:pt idx="48">
                  <c:v>I 18</c:v>
                </c:pt>
              </c:strCache>
            </c:strRef>
          </c:cat>
          <c:val>
            <c:numRef>
              <c:f>Sheet1!$B$2:$B$50</c:f>
              <c:numCache>
                <c:formatCode>General</c:formatCode>
                <c:ptCount val="49"/>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numCache>
            </c:numRef>
          </c:val>
          <c:smooth val="1"/>
          <c:extLst xmlns:c16r2="http://schemas.microsoft.com/office/drawing/2015/06/chart">
            <c:ext xmlns:c16="http://schemas.microsoft.com/office/drawing/2014/chart" uri="{C3380CC4-5D6E-409C-BE32-E72D297353CC}">
              <c16:uniqueId val="{00000000-8E30-4976-AA36-14EB78A62847}"/>
            </c:ext>
          </c:extLst>
        </c:ser>
        <c:ser>
          <c:idx val="1"/>
          <c:order val="1"/>
          <c:tx>
            <c:strRef>
              <c:f>Sheet1!$C$1</c:f>
              <c:strCache>
                <c:ptCount val="1"/>
                <c:pt idx="0">
                  <c:v>Potencjalny popyt</c:v>
                </c:pt>
              </c:strCache>
            </c:strRef>
          </c:tx>
          <c:spPr>
            <a:ln w="19072">
              <a:solidFill>
                <a:srgbClr val="00FF00"/>
              </a:solidFill>
              <a:prstDash val="solid"/>
            </a:ln>
          </c:spPr>
          <c:marker>
            <c:symbol val="none"/>
          </c:marker>
          <c:cat>
            <c:strRef>
              <c:f>Sheet1!$A$2:$A$50</c:f>
              <c:strCache>
                <c:ptCount val="49"/>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pt idx="25">
                  <c:v>II 16</c:v>
                </c:pt>
                <c:pt idx="26">
                  <c:v>III 16</c:v>
                </c:pt>
                <c:pt idx="27">
                  <c:v>IV  16</c:v>
                </c:pt>
                <c:pt idx="28">
                  <c:v>V 16</c:v>
                </c:pt>
                <c:pt idx="29">
                  <c:v>VI 16</c:v>
                </c:pt>
                <c:pt idx="30">
                  <c:v>VII  16</c:v>
                </c:pt>
                <c:pt idx="31">
                  <c:v>VIII 16</c:v>
                </c:pt>
                <c:pt idx="32">
                  <c:v>IX 16</c:v>
                </c:pt>
                <c:pt idx="33">
                  <c:v>X  16</c:v>
                </c:pt>
                <c:pt idx="34">
                  <c:v>XI 16</c:v>
                </c:pt>
                <c:pt idx="35">
                  <c:v>XII 16</c:v>
                </c:pt>
                <c:pt idx="36">
                  <c:v>I  17</c:v>
                </c:pt>
                <c:pt idx="37">
                  <c:v>II 17</c:v>
                </c:pt>
                <c:pt idx="38">
                  <c:v>III 17</c:v>
                </c:pt>
                <c:pt idx="39">
                  <c:v>IV  17</c:v>
                </c:pt>
                <c:pt idx="40">
                  <c:v>V 17</c:v>
                </c:pt>
                <c:pt idx="41">
                  <c:v>VI 17</c:v>
                </c:pt>
                <c:pt idx="42">
                  <c:v>VII 17</c:v>
                </c:pt>
                <c:pt idx="43">
                  <c:v>VIII 17</c:v>
                </c:pt>
                <c:pt idx="44">
                  <c:v>IX 17</c:v>
                </c:pt>
                <c:pt idx="45">
                  <c:v>X 17</c:v>
                </c:pt>
                <c:pt idx="46">
                  <c:v>XI 17</c:v>
                </c:pt>
                <c:pt idx="47">
                  <c:v>XII 17</c:v>
                </c:pt>
                <c:pt idx="48">
                  <c:v>I 18</c:v>
                </c:pt>
              </c:strCache>
            </c:strRef>
          </c:cat>
          <c:val>
            <c:numRef>
              <c:f>Sheet1!$C$2:$C$50</c:f>
              <c:numCache>
                <c:formatCode>General</c:formatCode>
                <c:ptCount val="49"/>
                <c:pt idx="0">
                  <c:v>101</c:v>
                </c:pt>
                <c:pt idx="1">
                  <c:v>99.8</c:v>
                </c:pt>
                <c:pt idx="2">
                  <c:v>99.6</c:v>
                </c:pt>
                <c:pt idx="3">
                  <c:v>100.3</c:v>
                </c:pt>
                <c:pt idx="4">
                  <c:v>99.8</c:v>
                </c:pt>
                <c:pt idx="5">
                  <c:v>99.6</c:v>
                </c:pt>
                <c:pt idx="6">
                  <c:v>99.6</c:v>
                </c:pt>
                <c:pt idx="7">
                  <c:v>100.5</c:v>
                </c:pt>
                <c:pt idx="8">
                  <c:v>100.4</c:v>
                </c:pt>
                <c:pt idx="9">
                  <c:v>100.2</c:v>
                </c:pt>
                <c:pt idx="10">
                  <c:v>100.6</c:v>
                </c:pt>
                <c:pt idx="11">
                  <c:v>100.6</c:v>
                </c:pt>
                <c:pt idx="12">
                  <c:v>101.1</c:v>
                </c:pt>
                <c:pt idx="13">
                  <c:v>100</c:v>
                </c:pt>
                <c:pt idx="14">
                  <c:v>100.4</c:v>
                </c:pt>
                <c:pt idx="15">
                  <c:v>101.4</c:v>
                </c:pt>
                <c:pt idx="16">
                  <c:v>99.7</c:v>
                </c:pt>
                <c:pt idx="17">
                  <c:v>100</c:v>
                </c:pt>
                <c:pt idx="18">
                  <c:v>99.9</c:v>
                </c:pt>
                <c:pt idx="19">
                  <c:v>101.2</c:v>
                </c:pt>
                <c:pt idx="20">
                  <c:v>101</c:v>
                </c:pt>
                <c:pt idx="21">
                  <c:v>99.7</c:v>
                </c:pt>
                <c:pt idx="22">
                  <c:v>101.1</c:v>
                </c:pt>
                <c:pt idx="23">
                  <c:v>101.2</c:v>
                </c:pt>
                <c:pt idx="24">
                  <c:v>101.1</c:v>
                </c:pt>
                <c:pt idx="25">
                  <c:v>99.4</c:v>
                </c:pt>
                <c:pt idx="26">
                  <c:v>100.2</c:v>
                </c:pt>
                <c:pt idx="27">
                  <c:v>100.8</c:v>
                </c:pt>
                <c:pt idx="28">
                  <c:v>100</c:v>
                </c:pt>
                <c:pt idx="29">
                  <c:v>100.1</c:v>
                </c:pt>
                <c:pt idx="30">
                  <c:v>100</c:v>
                </c:pt>
                <c:pt idx="31">
                  <c:v>101.1</c:v>
                </c:pt>
                <c:pt idx="32">
                  <c:v>100.9</c:v>
                </c:pt>
                <c:pt idx="33">
                  <c:v>100.2</c:v>
                </c:pt>
                <c:pt idx="34">
                  <c:v>100.8</c:v>
                </c:pt>
                <c:pt idx="35">
                  <c:v>101.2</c:v>
                </c:pt>
                <c:pt idx="36">
                  <c:v>101</c:v>
                </c:pt>
                <c:pt idx="37">
                  <c:v>100.2</c:v>
                </c:pt>
                <c:pt idx="38">
                  <c:v>99.6</c:v>
                </c:pt>
                <c:pt idx="39">
                  <c:v>101.2</c:v>
                </c:pt>
                <c:pt idx="40">
                  <c:v>100</c:v>
                </c:pt>
                <c:pt idx="41">
                  <c:v>100.5</c:v>
                </c:pt>
                <c:pt idx="42">
                  <c:v>100.2</c:v>
                </c:pt>
                <c:pt idx="43">
                  <c:v>101.1</c:v>
                </c:pt>
                <c:pt idx="44">
                  <c:v>102.1</c:v>
                </c:pt>
                <c:pt idx="45">
                  <c:v>100</c:v>
                </c:pt>
                <c:pt idx="46">
                  <c:v>101.8</c:v>
                </c:pt>
                <c:pt idx="47">
                  <c:v>100.8</c:v>
                </c:pt>
                <c:pt idx="48">
                  <c:v>101.1</c:v>
                </c:pt>
              </c:numCache>
            </c:numRef>
          </c:val>
          <c:smooth val="1"/>
          <c:extLst xmlns:c16r2="http://schemas.microsoft.com/office/drawing/2015/06/chart">
            <c:ext xmlns:c16="http://schemas.microsoft.com/office/drawing/2014/chart" uri="{C3380CC4-5D6E-409C-BE32-E72D297353CC}">
              <c16:uniqueId val="{00000001-8E30-4976-AA36-14EB78A62847}"/>
            </c:ext>
          </c:extLst>
        </c:ser>
        <c:ser>
          <c:idx val="2"/>
          <c:order val="2"/>
          <c:tx>
            <c:strRef>
              <c:f>Sheet1!$D$1</c:f>
              <c:strCache>
                <c:ptCount val="1"/>
                <c:pt idx="0">
                  <c:v>Nożyce cen</c:v>
                </c:pt>
              </c:strCache>
            </c:strRef>
          </c:tx>
          <c:spPr>
            <a:ln w="19072">
              <a:solidFill>
                <a:srgbClr val="FF0000"/>
              </a:solidFill>
              <a:prstDash val="solid"/>
            </a:ln>
          </c:spPr>
          <c:marker>
            <c:symbol val="none"/>
          </c:marker>
          <c:cat>
            <c:strRef>
              <c:f>Sheet1!$A$2:$A$50</c:f>
              <c:strCache>
                <c:ptCount val="49"/>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pt idx="25">
                  <c:v>II 16</c:v>
                </c:pt>
                <c:pt idx="26">
                  <c:v>III 16</c:v>
                </c:pt>
                <c:pt idx="27">
                  <c:v>IV  16</c:v>
                </c:pt>
                <c:pt idx="28">
                  <c:v>V 16</c:v>
                </c:pt>
                <c:pt idx="29">
                  <c:v>VI 16</c:v>
                </c:pt>
                <c:pt idx="30">
                  <c:v>VII  16</c:v>
                </c:pt>
                <c:pt idx="31">
                  <c:v>VIII 16</c:v>
                </c:pt>
                <c:pt idx="32">
                  <c:v>IX 16</c:v>
                </c:pt>
                <c:pt idx="33">
                  <c:v>X  16</c:v>
                </c:pt>
                <c:pt idx="34">
                  <c:v>XI 16</c:v>
                </c:pt>
                <c:pt idx="35">
                  <c:v>XII 16</c:v>
                </c:pt>
                <c:pt idx="36">
                  <c:v>I  17</c:v>
                </c:pt>
                <c:pt idx="37">
                  <c:v>II 17</c:v>
                </c:pt>
                <c:pt idx="38">
                  <c:v>III 17</c:v>
                </c:pt>
                <c:pt idx="39">
                  <c:v>IV  17</c:v>
                </c:pt>
                <c:pt idx="40">
                  <c:v>V 17</c:v>
                </c:pt>
                <c:pt idx="41">
                  <c:v>VI 17</c:v>
                </c:pt>
                <c:pt idx="42">
                  <c:v>VII 17</c:v>
                </c:pt>
                <c:pt idx="43">
                  <c:v>VIII 17</c:v>
                </c:pt>
                <c:pt idx="44">
                  <c:v>IX 17</c:v>
                </c:pt>
                <c:pt idx="45">
                  <c:v>X 17</c:v>
                </c:pt>
                <c:pt idx="46">
                  <c:v>XI 17</c:v>
                </c:pt>
                <c:pt idx="47">
                  <c:v>XII 17</c:v>
                </c:pt>
                <c:pt idx="48">
                  <c:v>I 18</c:v>
                </c:pt>
              </c:strCache>
            </c:strRef>
          </c:cat>
          <c:val>
            <c:numRef>
              <c:f>Sheet1!$D$2:$D$50</c:f>
              <c:numCache>
                <c:formatCode>General</c:formatCode>
                <c:ptCount val="49"/>
                <c:pt idx="0">
                  <c:v>99.8</c:v>
                </c:pt>
                <c:pt idx="1">
                  <c:v>99.6</c:v>
                </c:pt>
                <c:pt idx="2">
                  <c:v>100.4</c:v>
                </c:pt>
                <c:pt idx="3">
                  <c:v>100</c:v>
                </c:pt>
                <c:pt idx="4">
                  <c:v>100.4</c:v>
                </c:pt>
                <c:pt idx="5">
                  <c:v>99.9</c:v>
                </c:pt>
                <c:pt idx="6">
                  <c:v>99.7</c:v>
                </c:pt>
                <c:pt idx="7">
                  <c:v>99.3</c:v>
                </c:pt>
                <c:pt idx="8">
                  <c:v>99.2</c:v>
                </c:pt>
                <c:pt idx="9">
                  <c:v>98.6</c:v>
                </c:pt>
                <c:pt idx="10">
                  <c:v>97.8</c:v>
                </c:pt>
                <c:pt idx="11">
                  <c:v>98</c:v>
                </c:pt>
                <c:pt idx="12">
                  <c:v>98</c:v>
                </c:pt>
                <c:pt idx="13">
                  <c:v>98.6</c:v>
                </c:pt>
                <c:pt idx="14">
                  <c:v>99.2</c:v>
                </c:pt>
                <c:pt idx="15">
                  <c:v>99.8</c:v>
                </c:pt>
                <c:pt idx="16">
                  <c:v>99.9</c:v>
                </c:pt>
                <c:pt idx="17">
                  <c:v>99.6</c:v>
                </c:pt>
                <c:pt idx="18">
                  <c:v>99.7</c:v>
                </c:pt>
                <c:pt idx="19">
                  <c:v>99.7</c:v>
                </c:pt>
                <c:pt idx="20">
                  <c:v>99.3</c:v>
                </c:pt>
                <c:pt idx="21">
                  <c:v>99.2</c:v>
                </c:pt>
                <c:pt idx="22">
                  <c:v>99.6</c:v>
                </c:pt>
                <c:pt idx="23">
                  <c:v>99.9</c:v>
                </c:pt>
                <c:pt idx="24">
                  <c:v>99.6</c:v>
                </c:pt>
                <c:pt idx="25">
                  <c:v>99.5</c:v>
                </c:pt>
                <c:pt idx="26">
                  <c:v>99.7</c:v>
                </c:pt>
                <c:pt idx="27">
                  <c:v>99.5</c:v>
                </c:pt>
                <c:pt idx="28">
                  <c:v>99.4</c:v>
                </c:pt>
                <c:pt idx="29">
                  <c:v>99.9</c:v>
                </c:pt>
                <c:pt idx="30">
                  <c:v>100.2</c:v>
                </c:pt>
                <c:pt idx="31">
                  <c:v>100.4</c:v>
                </c:pt>
                <c:pt idx="32">
                  <c:v>100.4</c:v>
                </c:pt>
                <c:pt idx="33">
                  <c:v>100.7</c:v>
                </c:pt>
                <c:pt idx="34">
                  <c:v>100.7</c:v>
                </c:pt>
                <c:pt idx="35">
                  <c:v>100.8</c:v>
                </c:pt>
                <c:pt idx="36">
                  <c:v>101</c:v>
                </c:pt>
                <c:pt idx="37">
                  <c:v>100.5</c:v>
                </c:pt>
                <c:pt idx="38">
                  <c:v>100.7</c:v>
                </c:pt>
                <c:pt idx="39">
                  <c:v>100.9</c:v>
                </c:pt>
                <c:pt idx="40">
                  <c:v>101.3</c:v>
                </c:pt>
                <c:pt idx="41">
                  <c:v>101.2</c:v>
                </c:pt>
                <c:pt idx="42">
                  <c:v>101</c:v>
                </c:pt>
                <c:pt idx="43">
                  <c:v>101.1</c:v>
                </c:pt>
                <c:pt idx="44">
                  <c:v>100.6</c:v>
                </c:pt>
                <c:pt idx="45">
                  <c:v>100.3</c:v>
                </c:pt>
                <c:pt idx="46">
                  <c:v>99.9</c:v>
                </c:pt>
                <c:pt idx="47">
                  <c:v>99.4</c:v>
                </c:pt>
                <c:pt idx="48">
                  <c:v>99.3</c:v>
                </c:pt>
              </c:numCache>
            </c:numRef>
          </c:val>
          <c:smooth val="1"/>
          <c:extLst xmlns:c16r2="http://schemas.microsoft.com/office/drawing/2015/06/chart">
            <c:ext xmlns:c16="http://schemas.microsoft.com/office/drawing/2014/chart" uri="{C3380CC4-5D6E-409C-BE32-E72D297353CC}">
              <c16:uniqueId val="{00000002-8E30-4976-AA36-14EB78A62847}"/>
            </c:ext>
          </c:extLst>
        </c:ser>
        <c:ser>
          <c:idx val="3"/>
          <c:order val="3"/>
          <c:tx>
            <c:strRef>
              <c:f>Sheet1!$E$1</c:f>
              <c:strCache>
                <c:ptCount val="1"/>
                <c:pt idx="0">
                  <c:v>SWKR</c:v>
                </c:pt>
              </c:strCache>
            </c:strRef>
          </c:tx>
          <c:spPr>
            <a:ln w="19072">
              <a:solidFill>
                <a:srgbClr val="0000FF"/>
              </a:solidFill>
              <a:prstDash val="solid"/>
            </a:ln>
          </c:spPr>
          <c:marker>
            <c:symbol val="none"/>
          </c:marker>
          <c:cat>
            <c:strRef>
              <c:f>Sheet1!$A$2:$A$50</c:f>
              <c:strCache>
                <c:ptCount val="49"/>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pt idx="25">
                  <c:v>II 16</c:v>
                </c:pt>
                <c:pt idx="26">
                  <c:v>III 16</c:v>
                </c:pt>
                <c:pt idx="27">
                  <c:v>IV  16</c:v>
                </c:pt>
                <c:pt idx="28">
                  <c:v>V 16</c:v>
                </c:pt>
                <c:pt idx="29">
                  <c:v>VI 16</c:v>
                </c:pt>
                <c:pt idx="30">
                  <c:v>VII  16</c:v>
                </c:pt>
                <c:pt idx="31">
                  <c:v>VIII 16</c:v>
                </c:pt>
                <c:pt idx="32">
                  <c:v>IX 16</c:v>
                </c:pt>
                <c:pt idx="33">
                  <c:v>X  16</c:v>
                </c:pt>
                <c:pt idx="34">
                  <c:v>XI 16</c:v>
                </c:pt>
                <c:pt idx="35">
                  <c:v>XII 16</c:v>
                </c:pt>
                <c:pt idx="36">
                  <c:v>I  17</c:v>
                </c:pt>
                <c:pt idx="37">
                  <c:v>II 17</c:v>
                </c:pt>
                <c:pt idx="38">
                  <c:v>III 17</c:v>
                </c:pt>
                <c:pt idx="39">
                  <c:v>IV  17</c:v>
                </c:pt>
                <c:pt idx="40">
                  <c:v>V 17</c:v>
                </c:pt>
                <c:pt idx="41">
                  <c:v>VI 17</c:v>
                </c:pt>
                <c:pt idx="42">
                  <c:v>VII 17</c:v>
                </c:pt>
                <c:pt idx="43">
                  <c:v>VIII 17</c:v>
                </c:pt>
                <c:pt idx="44">
                  <c:v>IX 17</c:v>
                </c:pt>
                <c:pt idx="45">
                  <c:v>X 17</c:v>
                </c:pt>
                <c:pt idx="46">
                  <c:v>XI 17</c:v>
                </c:pt>
                <c:pt idx="47">
                  <c:v>XII 17</c:v>
                </c:pt>
                <c:pt idx="48">
                  <c:v>I 18</c:v>
                </c:pt>
              </c:strCache>
            </c:strRef>
          </c:cat>
          <c:val>
            <c:numRef>
              <c:f>Sheet1!$E$2:$E$50</c:f>
              <c:numCache>
                <c:formatCode>General</c:formatCode>
                <c:ptCount val="49"/>
                <c:pt idx="0">
                  <c:v>100.4</c:v>
                </c:pt>
                <c:pt idx="1">
                  <c:v>99.7</c:v>
                </c:pt>
                <c:pt idx="2">
                  <c:v>100</c:v>
                </c:pt>
                <c:pt idx="3">
                  <c:v>100.2</c:v>
                </c:pt>
                <c:pt idx="4">
                  <c:v>100.1</c:v>
                </c:pt>
                <c:pt idx="5">
                  <c:v>99.8</c:v>
                </c:pt>
                <c:pt idx="6">
                  <c:v>99.7</c:v>
                </c:pt>
                <c:pt idx="7">
                  <c:v>99.9</c:v>
                </c:pt>
                <c:pt idx="8">
                  <c:v>99.8</c:v>
                </c:pt>
                <c:pt idx="9">
                  <c:v>99.4</c:v>
                </c:pt>
                <c:pt idx="10">
                  <c:v>99.2</c:v>
                </c:pt>
                <c:pt idx="11">
                  <c:v>99.3</c:v>
                </c:pt>
                <c:pt idx="12">
                  <c:v>99.6</c:v>
                </c:pt>
                <c:pt idx="13">
                  <c:v>99.3</c:v>
                </c:pt>
                <c:pt idx="14">
                  <c:v>99.8</c:v>
                </c:pt>
                <c:pt idx="15">
                  <c:v>100.6</c:v>
                </c:pt>
                <c:pt idx="16">
                  <c:v>99.8</c:v>
                </c:pt>
                <c:pt idx="17">
                  <c:v>99.8</c:v>
                </c:pt>
                <c:pt idx="18">
                  <c:v>99.8</c:v>
                </c:pt>
                <c:pt idx="19">
                  <c:v>100.5</c:v>
                </c:pt>
                <c:pt idx="20">
                  <c:v>100.1</c:v>
                </c:pt>
                <c:pt idx="21">
                  <c:v>99.5</c:v>
                </c:pt>
                <c:pt idx="22">
                  <c:v>100.4</c:v>
                </c:pt>
                <c:pt idx="23">
                  <c:v>100.5</c:v>
                </c:pt>
                <c:pt idx="24">
                  <c:v>100.4</c:v>
                </c:pt>
                <c:pt idx="25">
                  <c:v>99.5</c:v>
                </c:pt>
                <c:pt idx="26">
                  <c:v>100</c:v>
                </c:pt>
                <c:pt idx="27">
                  <c:v>100.2</c:v>
                </c:pt>
                <c:pt idx="28">
                  <c:v>99.7</c:v>
                </c:pt>
                <c:pt idx="29">
                  <c:v>100</c:v>
                </c:pt>
                <c:pt idx="30">
                  <c:v>100.1</c:v>
                </c:pt>
                <c:pt idx="31">
                  <c:v>100.8</c:v>
                </c:pt>
                <c:pt idx="32">
                  <c:v>100.6</c:v>
                </c:pt>
                <c:pt idx="33">
                  <c:v>100.4</c:v>
                </c:pt>
                <c:pt idx="34">
                  <c:v>100.8</c:v>
                </c:pt>
                <c:pt idx="35">
                  <c:v>101</c:v>
                </c:pt>
                <c:pt idx="36">
                  <c:v>101</c:v>
                </c:pt>
                <c:pt idx="37">
                  <c:v>100.3</c:v>
                </c:pt>
                <c:pt idx="38">
                  <c:v>100.2</c:v>
                </c:pt>
                <c:pt idx="39">
                  <c:v>101.1</c:v>
                </c:pt>
                <c:pt idx="40">
                  <c:v>100.6</c:v>
                </c:pt>
                <c:pt idx="41">
                  <c:v>100.9</c:v>
                </c:pt>
                <c:pt idx="42">
                  <c:v>100.6</c:v>
                </c:pt>
                <c:pt idx="43">
                  <c:v>101.1</c:v>
                </c:pt>
                <c:pt idx="44">
                  <c:v>101.4</c:v>
                </c:pt>
                <c:pt idx="45">
                  <c:v>100.2</c:v>
                </c:pt>
                <c:pt idx="46">
                  <c:v>100.8</c:v>
                </c:pt>
                <c:pt idx="47">
                  <c:v>100.1</c:v>
                </c:pt>
                <c:pt idx="48">
                  <c:v>100.2</c:v>
                </c:pt>
              </c:numCache>
            </c:numRef>
          </c:val>
          <c:smooth val="1"/>
          <c:extLst xmlns:c16r2="http://schemas.microsoft.com/office/drawing/2015/06/chart">
            <c:ext xmlns:c16="http://schemas.microsoft.com/office/drawing/2014/chart" uri="{C3380CC4-5D6E-409C-BE32-E72D297353CC}">
              <c16:uniqueId val="{00000003-8E30-4976-AA36-14EB78A62847}"/>
            </c:ext>
          </c:extLst>
        </c:ser>
        <c:ser>
          <c:idx val="9"/>
          <c:order val="4"/>
          <c:tx>
            <c:strRef>
              <c:f>Sheet1!$K$1</c:f>
              <c:strCache>
                <c:ptCount val="1"/>
              </c:strCache>
            </c:strRef>
          </c:tx>
          <c:spPr>
            <a:ln w="9536">
              <a:solidFill>
                <a:srgbClr val="CCFFFF"/>
              </a:solidFill>
              <a:prstDash val="solid"/>
            </a:ln>
          </c:spPr>
          <c:marker>
            <c:symbol val="diamond"/>
            <c:size val="3"/>
            <c:spPr>
              <a:solidFill>
                <a:srgbClr val="CCFFFF"/>
              </a:solidFill>
              <a:ln>
                <a:solidFill>
                  <a:srgbClr val="CCFFFF"/>
                </a:solidFill>
                <a:prstDash val="solid"/>
              </a:ln>
            </c:spPr>
          </c:marker>
          <c:cat>
            <c:strRef>
              <c:f>Sheet1!$A$2:$A$50</c:f>
              <c:strCache>
                <c:ptCount val="49"/>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pt idx="25">
                  <c:v>II 16</c:v>
                </c:pt>
                <c:pt idx="26">
                  <c:v>III 16</c:v>
                </c:pt>
                <c:pt idx="27">
                  <c:v>IV  16</c:v>
                </c:pt>
                <c:pt idx="28">
                  <c:v>V 16</c:v>
                </c:pt>
                <c:pt idx="29">
                  <c:v>VI 16</c:v>
                </c:pt>
                <c:pt idx="30">
                  <c:v>VII  16</c:v>
                </c:pt>
                <c:pt idx="31">
                  <c:v>VIII 16</c:v>
                </c:pt>
                <c:pt idx="32">
                  <c:v>IX 16</c:v>
                </c:pt>
                <c:pt idx="33">
                  <c:v>X  16</c:v>
                </c:pt>
                <c:pt idx="34">
                  <c:v>XI 16</c:v>
                </c:pt>
                <c:pt idx="35">
                  <c:v>XII 16</c:v>
                </c:pt>
                <c:pt idx="36">
                  <c:v>I  17</c:v>
                </c:pt>
                <c:pt idx="37">
                  <c:v>II 17</c:v>
                </c:pt>
                <c:pt idx="38">
                  <c:v>III 17</c:v>
                </c:pt>
                <c:pt idx="39">
                  <c:v>IV  17</c:v>
                </c:pt>
                <c:pt idx="40">
                  <c:v>V 17</c:v>
                </c:pt>
                <c:pt idx="41">
                  <c:v>VI 17</c:v>
                </c:pt>
                <c:pt idx="42">
                  <c:v>VII 17</c:v>
                </c:pt>
                <c:pt idx="43">
                  <c:v>VIII 17</c:v>
                </c:pt>
                <c:pt idx="44">
                  <c:v>IX 17</c:v>
                </c:pt>
                <c:pt idx="45">
                  <c:v>X 17</c:v>
                </c:pt>
                <c:pt idx="46">
                  <c:v>XI 17</c:v>
                </c:pt>
                <c:pt idx="47">
                  <c:v>XII 17</c:v>
                </c:pt>
                <c:pt idx="48">
                  <c:v>I 18</c:v>
                </c:pt>
              </c:strCache>
            </c:strRef>
          </c:cat>
          <c:val>
            <c:numRef>
              <c:f>Sheet1!$K$2:$K$50</c:f>
              <c:numCache>
                <c:formatCode>General</c:formatCode>
                <c:ptCount val="49"/>
              </c:numCache>
            </c:numRef>
          </c:val>
          <c:smooth val="0"/>
          <c:extLst xmlns:c16r2="http://schemas.microsoft.com/office/drawing/2015/06/chart">
            <c:ext xmlns:c16="http://schemas.microsoft.com/office/drawing/2014/chart" uri="{C3380CC4-5D6E-409C-BE32-E72D297353CC}">
              <c16:uniqueId val="{00000004-8E30-4976-AA36-14EB78A62847}"/>
            </c:ext>
          </c:extLst>
        </c:ser>
        <c:dLbls>
          <c:showLegendKey val="0"/>
          <c:showVal val="0"/>
          <c:showCatName val="0"/>
          <c:showSerName val="0"/>
          <c:showPercent val="0"/>
          <c:showBubbleSize val="0"/>
        </c:dLbls>
        <c:marker val="1"/>
        <c:smooth val="0"/>
        <c:axId val="148170624"/>
        <c:axId val="148344832"/>
      </c:lineChart>
      <c:catAx>
        <c:axId val="148170624"/>
        <c:scaling>
          <c:orientation val="minMax"/>
        </c:scaling>
        <c:delete val="0"/>
        <c:axPos val="b"/>
        <c:numFmt formatCode="General" sourceLinked="1"/>
        <c:majorTickMark val="out"/>
        <c:minorTickMark val="none"/>
        <c:tickLblPos val="nextTo"/>
        <c:spPr>
          <a:ln w="2384">
            <a:solidFill>
              <a:srgbClr val="000000"/>
            </a:solidFill>
            <a:prstDash val="solid"/>
          </a:ln>
        </c:spPr>
        <c:txPr>
          <a:bodyPr rot="0" vert="horz"/>
          <a:lstStyle/>
          <a:p>
            <a:pPr>
              <a:defRPr sz="619" b="1" i="0" u="none" strike="noStrike" baseline="0">
                <a:solidFill>
                  <a:srgbClr val="000000"/>
                </a:solidFill>
                <a:latin typeface="Arial"/>
                <a:ea typeface="Arial"/>
                <a:cs typeface="Arial"/>
              </a:defRPr>
            </a:pPr>
            <a:endParaRPr lang="pl-PL"/>
          </a:p>
        </c:txPr>
        <c:crossAx val="148344832"/>
        <c:crosses val="autoZero"/>
        <c:auto val="1"/>
        <c:lblAlgn val="ctr"/>
        <c:lblOffset val="100"/>
        <c:tickLblSkip val="3"/>
        <c:tickMarkSkip val="3"/>
        <c:noMultiLvlLbl val="0"/>
      </c:catAx>
      <c:valAx>
        <c:axId val="148344832"/>
        <c:scaling>
          <c:orientation val="minMax"/>
          <c:max val="103"/>
          <c:min val="97"/>
        </c:scaling>
        <c:delete val="0"/>
        <c:axPos val="l"/>
        <c:numFmt formatCode="General" sourceLinked="1"/>
        <c:majorTickMark val="out"/>
        <c:minorTickMark val="none"/>
        <c:tickLblPos val="nextTo"/>
        <c:spPr>
          <a:ln w="2384">
            <a:solidFill>
              <a:srgbClr val="000000"/>
            </a:solidFill>
            <a:prstDash val="solid"/>
          </a:ln>
        </c:spPr>
        <c:txPr>
          <a:bodyPr rot="0" vert="horz"/>
          <a:lstStyle/>
          <a:p>
            <a:pPr>
              <a:defRPr sz="619" b="1" i="0" u="none" strike="noStrike" baseline="0">
                <a:solidFill>
                  <a:srgbClr val="000000"/>
                </a:solidFill>
                <a:latin typeface="Arial"/>
                <a:ea typeface="Arial"/>
                <a:cs typeface="Arial"/>
              </a:defRPr>
            </a:pPr>
            <a:endParaRPr lang="pl-PL"/>
          </a:p>
        </c:txPr>
        <c:crossAx val="148170624"/>
        <c:crosses val="autoZero"/>
        <c:crossBetween val="between"/>
        <c:majorUnit val="1"/>
      </c:valAx>
      <c:spPr>
        <a:noFill/>
        <a:ln w="19072">
          <a:noFill/>
        </a:ln>
      </c:spPr>
    </c:plotArea>
    <c:legend>
      <c:legendPos val="b"/>
      <c:legendEntry>
        <c:idx val="4"/>
        <c:delete val="1"/>
      </c:legendEntry>
      <c:layout>
        <c:manualLayout>
          <c:xMode val="edge"/>
          <c:yMode val="edge"/>
          <c:x val="0"/>
          <c:y val="0.86974789915966388"/>
          <c:w val="0.99695121951219512"/>
          <c:h val="0.12605042016806722"/>
        </c:manualLayout>
      </c:layout>
      <c:overlay val="0"/>
      <c:spPr>
        <a:noFill/>
        <a:ln w="19072">
          <a:noFill/>
        </a:ln>
      </c:spPr>
      <c:txPr>
        <a:bodyPr/>
        <a:lstStyle/>
        <a:p>
          <a:pPr>
            <a:defRPr sz="552"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638" b="1" i="0" u="none" strike="noStrike" baseline="0">
          <a:solidFill>
            <a:srgbClr val="000000"/>
          </a:solidFill>
          <a:latin typeface="Arial"/>
          <a:ea typeface="Arial"/>
          <a:cs typeface="Arial"/>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783281733746126E-2"/>
          <c:y val="4.7008547008547008E-2"/>
          <c:w val="0.90402476780185759"/>
          <c:h val="0.6495726495726496"/>
        </c:manualLayout>
      </c:layout>
      <c:lineChart>
        <c:grouping val="standard"/>
        <c:varyColors val="0"/>
        <c:ser>
          <c:idx val="1"/>
          <c:order val="0"/>
          <c:tx>
            <c:strRef>
              <c:f>Sheet1!$B$1</c:f>
              <c:strCache>
                <c:ptCount val="1"/>
                <c:pt idx="0">
                  <c:v>Sto</c:v>
                </c:pt>
              </c:strCache>
            </c:strRef>
          </c:tx>
          <c:spPr>
            <a:ln w="25296">
              <a:solidFill>
                <a:srgbClr val="000000"/>
              </a:solidFill>
              <a:prstDash val="solid"/>
            </a:ln>
          </c:spPr>
          <c:marker>
            <c:symbol val="none"/>
          </c:marker>
          <c:cat>
            <c:strRef>
              <c:f>Sheet1!$A$2:$A$50</c:f>
              <c:strCache>
                <c:ptCount val="49"/>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pt idx="25">
                  <c:v>II 16</c:v>
                </c:pt>
                <c:pt idx="26">
                  <c:v>III 16</c:v>
                </c:pt>
                <c:pt idx="27">
                  <c:v>IV  16</c:v>
                </c:pt>
                <c:pt idx="28">
                  <c:v>V 16</c:v>
                </c:pt>
                <c:pt idx="29">
                  <c:v>VI 16</c:v>
                </c:pt>
                <c:pt idx="30">
                  <c:v>VII  16</c:v>
                </c:pt>
                <c:pt idx="31">
                  <c:v>VIII 16</c:v>
                </c:pt>
                <c:pt idx="32">
                  <c:v>IX 16</c:v>
                </c:pt>
                <c:pt idx="33">
                  <c:v>X  16</c:v>
                </c:pt>
                <c:pt idx="34">
                  <c:v>XI 16</c:v>
                </c:pt>
                <c:pt idx="35">
                  <c:v>XII 16</c:v>
                </c:pt>
                <c:pt idx="36">
                  <c:v>I  17</c:v>
                </c:pt>
                <c:pt idx="37">
                  <c:v>II 17</c:v>
                </c:pt>
                <c:pt idx="38">
                  <c:v>III 17</c:v>
                </c:pt>
                <c:pt idx="39">
                  <c:v>IV  17</c:v>
                </c:pt>
                <c:pt idx="40">
                  <c:v>V 17</c:v>
                </c:pt>
                <c:pt idx="41">
                  <c:v>VI 17</c:v>
                </c:pt>
                <c:pt idx="42">
                  <c:v>VII 17</c:v>
                </c:pt>
                <c:pt idx="43">
                  <c:v>VIII 17</c:v>
                </c:pt>
                <c:pt idx="44">
                  <c:v>IX 17</c:v>
                </c:pt>
                <c:pt idx="45">
                  <c:v>X 17</c:v>
                </c:pt>
                <c:pt idx="46">
                  <c:v>XI 17</c:v>
                </c:pt>
                <c:pt idx="47">
                  <c:v>XII 17</c:v>
                </c:pt>
                <c:pt idx="48">
                  <c:v>I 18</c:v>
                </c:pt>
              </c:strCache>
            </c:strRef>
          </c:cat>
          <c:val>
            <c:numRef>
              <c:f>Sheet1!$B$2:$B$50</c:f>
              <c:numCache>
                <c:formatCode>General</c:formatCode>
                <c:ptCount val="49"/>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numCache>
            </c:numRef>
          </c:val>
          <c:smooth val="1"/>
          <c:extLst xmlns:c16r2="http://schemas.microsoft.com/office/drawing/2015/06/chart">
            <c:ext xmlns:c16="http://schemas.microsoft.com/office/drawing/2014/chart" uri="{C3380CC4-5D6E-409C-BE32-E72D297353CC}">
              <c16:uniqueId val="{00000000-69A5-4909-8470-767083FE9445}"/>
            </c:ext>
          </c:extLst>
        </c:ser>
        <c:ser>
          <c:idx val="2"/>
          <c:order val="1"/>
          <c:tx>
            <c:strRef>
              <c:f>Sheet1!$C$1</c:f>
              <c:strCache>
                <c:ptCount val="1"/>
                <c:pt idx="0">
                  <c:v>Inflacja</c:v>
                </c:pt>
              </c:strCache>
            </c:strRef>
          </c:tx>
          <c:spPr>
            <a:ln w="25296">
              <a:solidFill>
                <a:srgbClr val="FF0000"/>
              </a:solidFill>
              <a:prstDash val="solid"/>
            </a:ln>
          </c:spPr>
          <c:marker>
            <c:symbol val="none"/>
          </c:marker>
          <c:cat>
            <c:strRef>
              <c:f>Sheet1!$A$2:$A$50</c:f>
              <c:strCache>
                <c:ptCount val="49"/>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pt idx="25">
                  <c:v>II 16</c:v>
                </c:pt>
                <c:pt idx="26">
                  <c:v>III 16</c:v>
                </c:pt>
                <c:pt idx="27">
                  <c:v>IV  16</c:v>
                </c:pt>
                <c:pt idx="28">
                  <c:v>V 16</c:v>
                </c:pt>
                <c:pt idx="29">
                  <c:v>VI 16</c:v>
                </c:pt>
                <c:pt idx="30">
                  <c:v>VII  16</c:v>
                </c:pt>
                <c:pt idx="31">
                  <c:v>VIII 16</c:v>
                </c:pt>
                <c:pt idx="32">
                  <c:v>IX 16</c:v>
                </c:pt>
                <c:pt idx="33">
                  <c:v>X  16</c:v>
                </c:pt>
                <c:pt idx="34">
                  <c:v>XI 16</c:v>
                </c:pt>
                <c:pt idx="35">
                  <c:v>XII 16</c:v>
                </c:pt>
                <c:pt idx="36">
                  <c:v>I  17</c:v>
                </c:pt>
                <c:pt idx="37">
                  <c:v>II 17</c:v>
                </c:pt>
                <c:pt idx="38">
                  <c:v>III 17</c:v>
                </c:pt>
                <c:pt idx="39">
                  <c:v>IV  17</c:v>
                </c:pt>
                <c:pt idx="40">
                  <c:v>V 17</c:v>
                </c:pt>
                <c:pt idx="41">
                  <c:v>VI 17</c:v>
                </c:pt>
                <c:pt idx="42">
                  <c:v>VII 17</c:v>
                </c:pt>
                <c:pt idx="43">
                  <c:v>VIII 17</c:v>
                </c:pt>
                <c:pt idx="44">
                  <c:v>IX 17</c:v>
                </c:pt>
                <c:pt idx="45">
                  <c:v>X 17</c:v>
                </c:pt>
                <c:pt idx="46">
                  <c:v>XI 17</c:v>
                </c:pt>
                <c:pt idx="47">
                  <c:v>XII 17</c:v>
                </c:pt>
                <c:pt idx="48">
                  <c:v>I 18</c:v>
                </c:pt>
              </c:strCache>
            </c:strRef>
          </c:cat>
          <c:val>
            <c:numRef>
              <c:f>Sheet1!$C$2:$C$50</c:f>
              <c:numCache>
                <c:formatCode>General</c:formatCode>
                <c:ptCount val="49"/>
                <c:pt idx="0">
                  <c:v>100</c:v>
                </c:pt>
                <c:pt idx="1">
                  <c:v>100</c:v>
                </c:pt>
                <c:pt idx="2">
                  <c:v>100.1</c:v>
                </c:pt>
                <c:pt idx="3">
                  <c:v>100.1</c:v>
                </c:pt>
                <c:pt idx="4">
                  <c:v>100.1</c:v>
                </c:pt>
                <c:pt idx="5">
                  <c:v>100.1</c:v>
                </c:pt>
                <c:pt idx="6">
                  <c:v>100.1</c:v>
                </c:pt>
                <c:pt idx="7">
                  <c:v>100</c:v>
                </c:pt>
                <c:pt idx="8">
                  <c:v>100</c:v>
                </c:pt>
                <c:pt idx="9">
                  <c:v>99.9</c:v>
                </c:pt>
                <c:pt idx="10">
                  <c:v>99.9</c:v>
                </c:pt>
                <c:pt idx="11">
                  <c:v>99.9</c:v>
                </c:pt>
                <c:pt idx="12">
                  <c:v>99.8</c:v>
                </c:pt>
                <c:pt idx="13">
                  <c:v>99.8</c:v>
                </c:pt>
                <c:pt idx="14">
                  <c:v>99.8</c:v>
                </c:pt>
                <c:pt idx="15">
                  <c:v>99.9</c:v>
                </c:pt>
                <c:pt idx="16">
                  <c:v>100</c:v>
                </c:pt>
                <c:pt idx="17">
                  <c:v>100</c:v>
                </c:pt>
                <c:pt idx="18">
                  <c:v>100.1</c:v>
                </c:pt>
                <c:pt idx="19">
                  <c:v>100.1</c:v>
                </c:pt>
                <c:pt idx="20">
                  <c:v>100</c:v>
                </c:pt>
                <c:pt idx="21">
                  <c:v>99.9</c:v>
                </c:pt>
                <c:pt idx="22">
                  <c:v>99.9</c:v>
                </c:pt>
                <c:pt idx="23">
                  <c:v>99.9</c:v>
                </c:pt>
                <c:pt idx="24">
                  <c:v>99.8</c:v>
                </c:pt>
                <c:pt idx="25">
                  <c:v>99.8</c:v>
                </c:pt>
                <c:pt idx="26">
                  <c:v>99.8</c:v>
                </c:pt>
                <c:pt idx="27">
                  <c:v>99.9</c:v>
                </c:pt>
                <c:pt idx="28">
                  <c:v>99.9</c:v>
                </c:pt>
                <c:pt idx="29">
                  <c:v>100</c:v>
                </c:pt>
                <c:pt idx="30">
                  <c:v>100</c:v>
                </c:pt>
                <c:pt idx="31">
                  <c:v>100.1</c:v>
                </c:pt>
                <c:pt idx="32">
                  <c:v>100</c:v>
                </c:pt>
                <c:pt idx="33">
                  <c:v>100</c:v>
                </c:pt>
                <c:pt idx="34">
                  <c:v>100.1</c:v>
                </c:pt>
                <c:pt idx="35">
                  <c:v>100.1</c:v>
                </c:pt>
                <c:pt idx="36">
                  <c:v>100.1</c:v>
                </c:pt>
                <c:pt idx="37">
                  <c:v>100.3</c:v>
                </c:pt>
                <c:pt idx="38">
                  <c:v>100.3</c:v>
                </c:pt>
                <c:pt idx="39">
                  <c:v>100.3</c:v>
                </c:pt>
                <c:pt idx="40">
                  <c:v>100.3</c:v>
                </c:pt>
                <c:pt idx="41">
                  <c:v>100.3</c:v>
                </c:pt>
                <c:pt idx="42">
                  <c:v>100.1</c:v>
                </c:pt>
                <c:pt idx="43">
                  <c:v>100</c:v>
                </c:pt>
                <c:pt idx="44">
                  <c:v>100</c:v>
                </c:pt>
                <c:pt idx="45">
                  <c:v>100</c:v>
                </c:pt>
                <c:pt idx="46">
                  <c:v>100.1</c:v>
                </c:pt>
                <c:pt idx="47">
                  <c:v>100.2</c:v>
                </c:pt>
                <c:pt idx="48">
                  <c:v>100.2</c:v>
                </c:pt>
              </c:numCache>
            </c:numRef>
          </c:val>
          <c:smooth val="1"/>
          <c:extLst xmlns:c16r2="http://schemas.microsoft.com/office/drawing/2015/06/chart">
            <c:ext xmlns:c16="http://schemas.microsoft.com/office/drawing/2014/chart" uri="{C3380CC4-5D6E-409C-BE32-E72D297353CC}">
              <c16:uniqueId val="{00000001-69A5-4909-8470-767083FE9445}"/>
            </c:ext>
          </c:extLst>
        </c:ser>
        <c:ser>
          <c:idx val="3"/>
          <c:order val="2"/>
          <c:tx>
            <c:strRef>
              <c:f>Sheet1!$D$1</c:f>
              <c:strCache>
                <c:ptCount val="1"/>
                <c:pt idx="0">
                  <c:v>Żywność</c:v>
                </c:pt>
              </c:strCache>
            </c:strRef>
          </c:tx>
          <c:spPr>
            <a:ln w="25296">
              <a:solidFill>
                <a:srgbClr val="00FF00"/>
              </a:solidFill>
              <a:prstDash val="solid"/>
            </a:ln>
          </c:spPr>
          <c:marker>
            <c:symbol val="none"/>
          </c:marker>
          <c:cat>
            <c:strRef>
              <c:f>Sheet1!$A$2:$A$50</c:f>
              <c:strCache>
                <c:ptCount val="49"/>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pt idx="25">
                  <c:v>II 16</c:v>
                </c:pt>
                <c:pt idx="26">
                  <c:v>III 16</c:v>
                </c:pt>
                <c:pt idx="27">
                  <c:v>IV  16</c:v>
                </c:pt>
                <c:pt idx="28">
                  <c:v>V 16</c:v>
                </c:pt>
                <c:pt idx="29">
                  <c:v>VI 16</c:v>
                </c:pt>
                <c:pt idx="30">
                  <c:v>VII  16</c:v>
                </c:pt>
                <c:pt idx="31">
                  <c:v>VIII 16</c:v>
                </c:pt>
                <c:pt idx="32">
                  <c:v>IX 16</c:v>
                </c:pt>
                <c:pt idx="33">
                  <c:v>X  16</c:v>
                </c:pt>
                <c:pt idx="34">
                  <c:v>XI 16</c:v>
                </c:pt>
                <c:pt idx="35">
                  <c:v>XII 16</c:v>
                </c:pt>
                <c:pt idx="36">
                  <c:v>I  17</c:v>
                </c:pt>
                <c:pt idx="37">
                  <c:v>II 17</c:v>
                </c:pt>
                <c:pt idx="38">
                  <c:v>III 17</c:v>
                </c:pt>
                <c:pt idx="39">
                  <c:v>IV  17</c:v>
                </c:pt>
                <c:pt idx="40">
                  <c:v>V 17</c:v>
                </c:pt>
                <c:pt idx="41">
                  <c:v>VI 17</c:v>
                </c:pt>
                <c:pt idx="42">
                  <c:v>VII 17</c:v>
                </c:pt>
                <c:pt idx="43">
                  <c:v>VIII 17</c:v>
                </c:pt>
                <c:pt idx="44">
                  <c:v>IX 17</c:v>
                </c:pt>
                <c:pt idx="45">
                  <c:v>X 17</c:v>
                </c:pt>
                <c:pt idx="46">
                  <c:v>XI 17</c:v>
                </c:pt>
                <c:pt idx="47">
                  <c:v>XII 17</c:v>
                </c:pt>
                <c:pt idx="48">
                  <c:v>I 18</c:v>
                </c:pt>
              </c:strCache>
            </c:strRef>
          </c:cat>
          <c:val>
            <c:numRef>
              <c:f>Sheet1!$D$2:$D$50</c:f>
              <c:numCache>
                <c:formatCode>General</c:formatCode>
                <c:ptCount val="49"/>
                <c:pt idx="0">
                  <c:v>99.9</c:v>
                </c:pt>
                <c:pt idx="1">
                  <c:v>100.1</c:v>
                </c:pt>
                <c:pt idx="2">
                  <c:v>100.5</c:v>
                </c:pt>
                <c:pt idx="3">
                  <c:v>100.5</c:v>
                </c:pt>
                <c:pt idx="4">
                  <c:v>100.4</c:v>
                </c:pt>
                <c:pt idx="5">
                  <c:v>100.3</c:v>
                </c:pt>
                <c:pt idx="6">
                  <c:v>100.1</c:v>
                </c:pt>
                <c:pt idx="7">
                  <c:v>100</c:v>
                </c:pt>
                <c:pt idx="8">
                  <c:v>99.5</c:v>
                </c:pt>
                <c:pt idx="9">
                  <c:v>99.3</c:v>
                </c:pt>
                <c:pt idx="10">
                  <c:v>99.4</c:v>
                </c:pt>
                <c:pt idx="11">
                  <c:v>99.4</c:v>
                </c:pt>
                <c:pt idx="12">
                  <c:v>99.5</c:v>
                </c:pt>
                <c:pt idx="13">
                  <c:v>99.7</c:v>
                </c:pt>
                <c:pt idx="14">
                  <c:v>99.9</c:v>
                </c:pt>
                <c:pt idx="15">
                  <c:v>100.1</c:v>
                </c:pt>
                <c:pt idx="16">
                  <c:v>100.2</c:v>
                </c:pt>
                <c:pt idx="17">
                  <c:v>100.2</c:v>
                </c:pt>
                <c:pt idx="18">
                  <c:v>100.2</c:v>
                </c:pt>
                <c:pt idx="19">
                  <c:v>99.9</c:v>
                </c:pt>
                <c:pt idx="20">
                  <c:v>99.8</c:v>
                </c:pt>
                <c:pt idx="21">
                  <c:v>99.9</c:v>
                </c:pt>
                <c:pt idx="22">
                  <c:v>99.9</c:v>
                </c:pt>
                <c:pt idx="23">
                  <c:v>99.8</c:v>
                </c:pt>
                <c:pt idx="24">
                  <c:v>99.8</c:v>
                </c:pt>
                <c:pt idx="25">
                  <c:v>100.2</c:v>
                </c:pt>
                <c:pt idx="26">
                  <c:v>100.3</c:v>
                </c:pt>
                <c:pt idx="27">
                  <c:v>100.3</c:v>
                </c:pt>
                <c:pt idx="28">
                  <c:v>100.3</c:v>
                </c:pt>
                <c:pt idx="29">
                  <c:v>100.3</c:v>
                </c:pt>
                <c:pt idx="30">
                  <c:v>100.4</c:v>
                </c:pt>
                <c:pt idx="31">
                  <c:v>100</c:v>
                </c:pt>
                <c:pt idx="32">
                  <c:v>99.9</c:v>
                </c:pt>
                <c:pt idx="33">
                  <c:v>99.8</c:v>
                </c:pt>
                <c:pt idx="34">
                  <c:v>99.8</c:v>
                </c:pt>
                <c:pt idx="35">
                  <c:v>99.9</c:v>
                </c:pt>
                <c:pt idx="36">
                  <c:v>100.1</c:v>
                </c:pt>
                <c:pt idx="37">
                  <c:v>100.5</c:v>
                </c:pt>
                <c:pt idx="38">
                  <c:v>100.8</c:v>
                </c:pt>
                <c:pt idx="39">
                  <c:v>100.8</c:v>
                </c:pt>
                <c:pt idx="40">
                  <c:v>100.7</c:v>
                </c:pt>
                <c:pt idx="41">
                  <c:v>100.7</c:v>
                </c:pt>
                <c:pt idx="42">
                  <c:v>100.6</c:v>
                </c:pt>
                <c:pt idx="43">
                  <c:v>100.2</c:v>
                </c:pt>
                <c:pt idx="44">
                  <c:v>100</c:v>
                </c:pt>
                <c:pt idx="45">
                  <c:v>100.1</c:v>
                </c:pt>
                <c:pt idx="46">
                  <c:v>100.2</c:v>
                </c:pt>
                <c:pt idx="47">
                  <c:v>100.3</c:v>
                </c:pt>
                <c:pt idx="48">
                  <c:v>100.3</c:v>
                </c:pt>
              </c:numCache>
            </c:numRef>
          </c:val>
          <c:smooth val="1"/>
          <c:extLst xmlns:c16r2="http://schemas.microsoft.com/office/drawing/2015/06/chart">
            <c:ext xmlns:c16="http://schemas.microsoft.com/office/drawing/2014/chart" uri="{C3380CC4-5D6E-409C-BE32-E72D297353CC}">
              <c16:uniqueId val="{00000002-69A5-4909-8470-767083FE9445}"/>
            </c:ext>
          </c:extLst>
        </c:ser>
        <c:ser>
          <c:idx val="4"/>
          <c:order val="3"/>
          <c:tx>
            <c:strRef>
              <c:f>Sheet1!$E$1</c:f>
              <c:strCache>
                <c:ptCount val="1"/>
                <c:pt idx="0">
                  <c:v>Wynagrodzenia</c:v>
                </c:pt>
              </c:strCache>
            </c:strRef>
          </c:tx>
          <c:spPr>
            <a:ln w="25296">
              <a:solidFill>
                <a:srgbClr val="0000FF"/>
              </a:solidFill>
              <a:prstDash val="solid"/>
            </a:ln>
          </c:spPr>
          <c:marker>
            <c:symbol val="none"/>
          </c:marker>
          <c:cat>
            <c:strRef>
              <c:f>Sheet1!$A$2:$A$50</c:f>
              <c:strCache>
                <c:ptCount val="49"/>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pt idx="25">
                  <c:v>II 16</c:v>
                </c:pt>
                <c:pt idx="26">
                  <c:v>III 16</c:v>
                </c:pt>
                <c:pt idx="27">
                  <c:v>IV  16</c:v>
                </c:pt>
                <c:pt idx="28">
                  <c:v>V 16</c:v>
                </c:pt>
                <c:pt idx="29">
                  <c:v>VI 16</c:v>
                </c:pt>
                <c:pt idx="30">
                  <c:v>VII  16</c:v>
                </c:pt>
                <c:pt idx="31">
                  <c:v>VIII 16</c:v>
                </c:pt>
                <c:pt idx="32">
                  <c:v>IX 16</c:v>
                </c:pt>
                <c:pt idx="33">
                  <c:v>X  16</c:v>
                </c:pt>
                <c:pt idx="34">
                  <c:v>XI 16</c:v>
                </c:pt>
                <c:pt idx="35">
                  <c:v>XII 16</c:v>
                </c:pt>
                <c:pt idx="36">
                  <c:v>I  17</c:v>
                </c:pt>
                <c:pt idx="37">
                  <c:v>II 17</c:v>
                </c:pt>
                <c:pt idx="38">
                  <c:v>III 17</c:v>
                </c:pt>
                <c:pt idx="39">
                  <c:v>IV  17</c:v>
                </c:pt>
                <c:pt idx="40">
                  <c:v>V 17</c:v>
                </c:pt>
                <c:pt idx="41">
                  <c:v>VI 17</c:v>
                </c:pt>
                <c:pt idx="42">
                  <c:v>VII 17</c:v>
                </c:pt>
                <c:pt idx="43">
                  <c:v>VIII 17</c:v>
                </c:pt>
                <c:pt idx="44">
                  <c:v>IX 17</c:v>
                </c:pt>
                <c:pt idx="45">
                  <c:v>X 17</c:v>
                </c:pt>
                <c:pt idx="46">
                  <c:v>XI 17</c:v>
                </c:pt>
                <c:pt idx="47">
                  <c:v>XII 17</c:v>
                </c:pt>
                <c:pt idx="48">
                  <c:v>I 18</c:v>
                </c:pt>
              </c:strCache>
            </c:strRef>
          </c:cat>
          <c:val>
            <c:numRef>
              <c:f>Sheet1!$E$2:$E$50</c:f>
              <c:numCache>
                <c:formatCode>General</c:formatCode>
                <c:ptCount val="49"/>
                <c:pt idx="0">
                  <c:v>101.8</c:v>
                </c:pt>
                <c:pt idx="1">
                  <c:v>100.1</c:v>
                </c:pt>
                <c:pt idx="2">
                  <c:v>100.6</c:v>
                </c:pt>
                <c:pt idx="3">
                  <c:v>101.2</c:v>
                </c:pt>
                <c:pt idx="4">
                  <c:v>100.8</c:v>
                </c:pt>
                <c:pt idx="5">
                  <c:v>100.1</c:v>
                </c:pt>
                <c:pt idx="6">
                  <c:v>99</c:v>
                </c:pt>
                <c:pt idx="7">
                  <c:v>100.7</c:v>
                </c:pt>
                <c:pt idx="8">
                  <c:v>100.2</c:v>
                </c:pt>
                <c:pt idx="9">
                  <c:v>99.5</c:v>
                </c:pt>
                <c:pt idx="10">
                  <c:v>100.1</c:v>
                </c:pt>
                <c:pt idx="11">
                  <c:v>100.6</c:v>
                </c:pt>
                <c:pt idx="12">
                  <c:v>101.9</c:v>
                </c:pt>
                <c:pt idx="13">
                  <c:v>100.1</c:v>
                </c:pt>
                <c:pt idx="14">
                  <c:v>100.6</c:v>
                </c:pt>
                <c:pt idx="15">
                  <c:v>101.4</c:v>
                </c:pt>
                <c:pt idx="16">
                  <c:v>100.7</c:v>
                </c:pt>
                <c:pt idx="17">
                  <c:v>100.1</c:v>
                </c:pt>
                <c:pt idx="18">
                  <c:v>98.7</c:v>
                </c:pt>
                <c:pt idx="19">
                  <c:v>100.6</c:v>
                </c:pt>
                <c:pt idx="20">
                  <c:v>100.2</c:v>
                </c:pt>
                <c:pt idx="21">
                  <c:v>99.4</c:v>
                </c:pt>
                <c:pt idx="22">
                  <c:v>100</c:v>
                </c:pt>
                <c:pt idx="23">
                  <c:v>100.7</c:v>
                </c:pt>
                <c:pt idx="24">
                  <c:v>101.9</c:v>
                </c:pt>
                <c:pt idx="25">
                  <c:v>100.2</c:v>
                </c:pt>
                <c:pt idx="26">
                  <c:v>100.6</c:v>
                </c:pt>
                <c:pt idx="27">
                  <c:v>101.3</c:v>
                </c:pt>
                <c:pt idx="28">
                  <c:v>101</c:v>
                </c:pt>
                <c:pt idx="29">
                  <c:v>100.2</c:v>
                </c:pt>
                <c:pt idx="30">
                  <c:v>99.1</c:v>
                </c:pt>
                <c:pt idx="31">
                  <c:v>100.8</c:v>
                </c:pt>
                <c:pt idx="32">
                  <c:v>100.4</c:v>
                </c:pt>
                <c:pt idx="33">
                  <c:v>99.5</c:v>
                </c:pt>
                <c:pt idx="34">
                  <c:v>99.8</c:v>
                </c:pt>
                <c:pt idx="35">
                  <c:v>100.7</c:v>
                </c:pt>
                <c:pt idx="36">
                  <c:v>101.5</c:v>
                </c:pt>
                <c:pt idx="37">
                  <c:v>100.1</c:v>
                </c:pt>
                <c:pt idx="38">
                  <c:v>100.5</c:v>
                </c:pt>
                <c:pt idx="39">
                  <c:v>101.5</c:v>
                </c:pt>
                <c:pt idx="40">
                  <c:v>101</c:v>
                </c:pt>
                <c:pt idx="41">
                  <c:v>100.4</c:v>
                </c:pt>
                <c:pt idx="42">
                  <c:v>99.6</c:v>
                </c:pt>
                <c:pt idx="43">
                  <c:v>100.9</c:v>
                </c:pt>
                <c:pt idx="44">
                  <c:v>100.8</c:v>
                </c:pt>
                <c:pt idx="45">
                  <c:v>99.7</c:v>
                </c:pt>
                <c:pt idx="46">
                  <c:v>100.4</c:v>
                </c:pt>
                <c:pt idx="47">
                  <c:v>100.9</c:v>
                </c:pt>
                <c:pt idx="48">
                  <c:v>101.7</c:v>
                </c:pt>
              </c:numCache>
            </c:numRef>
          </c:val>
          <c:smooth val="1"/>
          <c:extLst xmlns:c16r2="http://schemas.microsoft.com/office/drawing/2015/06/chart">
            <c:ext xmlns:c16="http://schemas.microsoft.com/office/drawing/2014/chart" uri="{C3380CC4-5D6E-409C-BE32-E72D297353CC}">
              <c16:uniqueId val="{00000003-69A5-4909-8470-767083FE9445}"/>
            </c:ext>
          </c:extLst>
        </c:ser>
        <c:dLbls>
          <c:showLegendKey val="0"/>
          <c:showVal val="0"/>
          <c:showCatName val="0"/>
          <c:showSerName val="0"/>
          <c:showPercent val="0"/>
          <c:showBubbleSize val="0"/>
        </c:dLbls>
        <c:marker val="1"/>
        <c:smooth val="0"/>
        <c:axId val="151269376"/>
        <c:axId val="151270912"/>
      </c:lineChart>
      <c:catAx>
        <c:axId val="151269376"/>
        <c:scaling>
          <c:orientation val="minMax"/>
        </c:scaling>
        <c:delete val="0"/>
        <c:axPos val="b"/>
        <c:numFmt formatCode="General" sourceLinked="1"/>
        <c:majorTickMark val="out"/>
        <c:minorTickMark val="none"/>
        <c:tickLblPos val="nextTo"/>
        <c:spPr>
          <a:ln w="3162">
            <a:solidFill>
              <a:srgbClr val="000000"/>
            </a:solidFill>
            <a:prstDash val="solid"/>
          </a:ln>
        </c:spPr>
        <c:txPr>
          <a:bodyPr rot="0" vert="horz"/>
          <a:lstStyle/>
          <a:p>
            <a:pPr>
              <a:defRPr sz="797" b="1" i="0" u="none" strike="noStrike" baseline="0">
                <a:solidFill>
                  <a:srgbClr val="000000"/>
                </a:solidFill>
                <a:latin typeface="Arial"/>
                <a:ea typeface="Arial"/>
                <a:cs typeface="Arial"/>
              </a:defRPr>
            </a:pPr>
            <a:endParaRPr lang="pl-PL"/>
          </a:p>
        </c:txPr>
        <c:crossAx val="151270912"/>
        <c:crosses val="autoZero"/>
        <c:auto val="1"/>
        <c:lblAlgn val="ctr"/>
        <c:lblOffset val="100"/>
        <c:tickLblSkip val="3"/>
        <c:tickMarkSkip val="3"/>
        <c:noMultiLvlLbl val="0"/>
      </c:catAx>
      <c:valAx>
        <c:axId val="151270912"/>
        <c:scaling>
          <c:orientation val="minMax"/>
          <c:max val="103"/>
          <c:min val="98"/>
        </c:scaling>
        <c:delete val="0"/>
        <c:axPos val="l"/>
        <c:numFmt formatCode="General" sourceLinked="1"/>
        <c:majorTickMark val="out"/>
        <c:minorTickMark val="none"/>
        <c:tickLblPos val="nextTo"/>
        <c:spPr>
          <a:ln w="3162">
            <a:solidFill>
              <a:srgbClr val="000000"/>
            </a:solidFill>
            <a:prstDash val="solid"/>
          </a:ln>
        </c:spPr>
        <c:txPr>
          <a:bodyPr rot="0" vert="horz"/>
          <a:lstStyle/>
          <a:p>
            <a:pPr>
              <a:defRPr sz="797" b="1" i="0" u="none" strike="noStrike" baseline="0">
                <a:solidFill>
                  <a:srgbClr val="000000"/>
                </a:solidFill>
                <a:latin typeface="Arial"/>
                <a:ea typeface="Arial"/>
                <a:cs typeface="Arial"/>
              </a:defRPr>
            </a:pPr>
            <a:endParaRPr lang="pl-PL"/>
          </a:p>
        </c:txPr>
        <c:crossAx val="151269376"/>
        <c:crosses val="autoZero"/>
        <c:crossBetween val="between"/>
        <c:majorUnit val="1"/>
      </c:valAx>
      <c:spPr>
        <a:noFill/>
        <a:ln w="25296">
          <a:noFill/>
        </a:ln>
      </c:spPr>
    </c:plotArea>
    <c:legend>
      <c:legendPos val="b"/>
      <c:layout>
        <c:manualLayout>
          <c:xMode val="edge"/>
          <c:yMode val="edge"/>
          <c:x val="0"/>
          <c:y val="0.87179487179487181"/>
          <c:w val="1"/>
          <c:h val="0.12393162393162394"/>
        </c:manualLayout>
      </c:layout>
      <c:overlay val="0"/>
      <c:spPr>
        <a:noFill/>
        <a:ln w="25296">
          <a:noFill/>
        </a:ln>
      </c:spPr>
      <c:txPr>
        <a:bodyPr/>
        <a:lstStyle/>
        <a:p>
          <a:pPr>
            <a:defRPr sz="732"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797" b="1" i="0" u="none" strike="noStrike" baseline="0">
          <a:solidFill>
            <a:srgbClr val="000000"/>
          </a:solidFill>
          <a:latin typeface="Arial"/>
          <a:ea typeface="Arial"/>
          <a:cs typeface="Arial"/>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342679127725853E-2"/>
          <c:y val="4.9107142857142856E-2"/>
          <c:w val="0.90342679127725856"/>
          <c:h val="0.6517857142857143"/>
        </c:manualLayout>
      </c:layout>
      <c:lineChart>
        <c:grouping val="standard"/>
        <c:varyColors val="0"/>
        <c:ser>
          <c:idx val="1"/>
          <c:order val="0"/>
          <c:tx>
            <c:strRef>
              <c:f>Sheet1!$B$1</c:f>
              <c:strCache>
                <c:ptCount val="1"/>
                <c:pt idx="0">
                  <c:v>Sto</c:v>
                </c:pt>
              </c:strCache>
            </c:strRef>
          </c:tx>
          <c:spPr>
            <a:ln w="19071">
              <a:solidFill>
                <a:srgbClr val="000000"/>
              </a:solidFill>
              <a:prstDash val="solid"/>
            </a:ln>
          </c:spPr>
          <c:marker>
            <c:symbol val="none"/>
          </c:marker>
          <c:cat>
            <c:strRef>
              <c:f>Sheet1!$A$2:$A$50</c:f>
              <c:strCache>
                <c:ptCount val="49"/>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pt idx="25">
                  <c:v>II 16</c:v>
                </c:pt>
                <c:pt idx="26">
                  <c:v>III 16</c:v>
                </c:pt>
                <c:pt idx="27">
                  <c:v>IV  16</c:v>
                </c:pt>
                <c:pt idx="28">
                  <c:v>V 16</c:v>
                </c:pt>
                <c:pt idx="29">
                  <c:v>VI 16</c:v>
                </c:pt>
                <c:pt idx="30">
                  <c:v>VII  16</c:v>
                </c:pt>
                <c:pt idx="31">
                  <c:v>VIII 16</c:v>
                </c:pt>
                <c:pt idx="32">
                  <c:v>IX 16</c:v>
                </c:pt>
                <c:pt idx="33">
                  <c:v>X  16</c:v>
                </c:pt>
                <c:pt idx="34">
                  <c:v>XI 16</c:v>
                </c:pt>
                <c:pt idx="35">
                  <c:v>XII 16</c:v>
                </c:pt>
                <c:pt idx="36">
                  <c:v>I  17</c:v>
                </c:pt>
                <c:pt idx="37">
                  <c:v>II 17</c:v>
                </c:pt>
                <c:pt idx="38">
                  <c:v>III 17</c:v>
                </c:pt>
                <c:pt idx="39">
                  <c:v>IV  17</c:v>
                </c:pt>
                <c:pt idx="40">
                  <c:v>V 17</c:v>
                </c:pt>
                <c:pt idx="41">
                  <c:v>VI 17</c:v>
                </c:pt>
                <c:pt idx="42">
                  <c:v>VII 17</c:v>
                </c:pt>
                <c:pt idx="43">
                  <c:v>VIII 17</c:v>
                </c:pt>
                <c:pt idx="44">
                  <c:v>IX 17</c:v>
                </c:pt>
                <c:pt idx="45">
                  <c:v>X 17</c:v>
                </c:pt>
                <c:pt idx="46">
                  <c:v>XI 17</c:v>
                </c:pt>
                <c:pt idx="47">
                  <c:v>XII 17</c:v>
                </c:pt>
                <c:pt idx="48">
                  <c:v>I 18</c:v>
                </c:pt>
              </c:strCache>
            </c:strRef>
          </c:cat>
          <c:val>
            <c:numRef>
              <c:f>Sheet1!$B$2:$B$50</c:f>
              <c:numCache>
                <c:formatCode>General</c:formatCode>
                <c:ptCount val="49"/>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numCache>
            </c:numRef>
          </c:val>
          <c:smooth val="1"/>
          <c:extLst xmlns:c16r2="http://schemas.microsoft.com/office/drawing/2015/06/chart">
            <c:ext xmlns:c16="http://schemas.microsoft.com/office/drawing/2014/chart" uri="{C3380CC4-5D6E-409C-BE32-E72D297353CC}">
              <c16:uniqueId val="{00000000-6D64-4B60-9841-D125175B0F24}"/>
            </c:ext>
          </c:extLst>
        </c:ser>
        <c:ser>
          <c:idx val="2"/>
          <c:order val="1"/>
          <c:tx>
            <c:strRef>
              <c:f>Sheet1!$C$1</c:f>
              <c:strCache>
                <c:ptCount val="1"/>
                <c:pt idx="0">
                  <c:v>Cen środ. produkcji</c:v>
                </c:pt>
              </c:strCache>
            </c:strRef>
          </c:tx>
          <c:spPr>
            <a:ln w="19071">
              <a:solidFill>
                <a:srgbClr val="FF0000"/>
              </a:solidFill>
              <a:prstDash val="solid"/>
            </a:ln>
          </c:spPr>
          <c:marker>
            <c:symbol val="none"/>
          </c:marker>
          <c:cat>
            <c:strRef>
              <c:f>Sheet1!$A$2:$A$50</c:f>
              <c:strCache>
                <c:ptCount val="49"/>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pt idx="25">
                  <c:v>II 16</c:v>
                </c:pt>
                <c:pt idx="26">
                  <c:v>III 16</c:v>
                </c:pt>
                <c:pt idx="27">
                  <c:v>IV  16</c:v>
                </c:pt>
                <c:pt idx="28">
                  <c:v>V 16</c:v>
                </c:pt>
                <c:pt idx="29">
                  <c:v>VI 16</c:v>
                </c:pt>
                <c:pt idx="30">
                  <c:v>VII  16</c:v>
                </c:pt>
                <c:pt idx="31">
                  <c:v>VIII 16</c:v>
                </c:pt>
                <c:pt idx="32">
                  <c:v>IX 16</c:v>
                </c:pt>
                <c:pt idx="33">
                  <c:v>X  16</c:v>
                </c:pt>
                <c:pt idx="34">
                  <c:v>XI 16</c:v>
                </c:pt>
                <c:pt idx="35">
                  <c:v>XII 16</c:v>
                </c:pt>
                <c:pt idx="36">
                  <c:v>I  17</c:v>
                </c:pt>
                <c:pt idx="37">
                  <c:v>II 17</c:v>
                </c:pt>
                <c:pt idx="38">
                  <c:v>III 17</c:v>
                </c:pt>
                <c:pt idx="39">
                  <c:v>IV  17</c:v>
                </c:pt>
                <c:pt idx="40">
                  <c:v>V 17</c:v>
                </c:pt>
                <c:pt idx="41">
                  <c:v>VI 17</c:v>
                </c:pt>
                <c:pt idx="42">
                  <c:v>VII 17</c:v>
                </c:pt>
                <c:pt idx="43">
                  <c:v>VIII 17</c:v>
                </c:pt>
                <c:pt idx="44">
                  <c:v>IX 17</c:v>
                </c:pt>
                <c:pt idx="45">
                  <c:v>X 17</c:v>
                </c:pt>
                <c:pt idx="46">
                  <c:v>XI 17</c:v>
                </c:pt>
                <c:pt idx="47">
                  <c:v>XII 17</c:v>
                </c:pt>
                <c:pt idx="48">
                  <c:v>I 18</c:v>
                </c:pt>
              </c:strCache>
            </c:strRef>
          </c:cat>
          <c:val>
            <c:numRef>
              <c:f>Sheet1!$C$2:$C$50</c:f>
              <c:numCache>
                <c:formatCode>General</c:formatCode>
                <c:ptCount val="49"/>
                <c:pt idx="0">
                  <c:v>99.9</c:v>
                </c:pt>
                <c:pt idx="1">
                  <c:v>99.8</c:v>
                </c:pt>
                <c:pt idx="2">
                  <c:v>99.8</c:v>
                </c:pt>
                <c:pt idx="3">
                  <c:v>99.8</c:v>
                </c:pt>
                <c:pt idx="4">
                  <c:v>99.8</c:v>
                </c:pt>
                <c:pt idx="5">
                  <c:v>99.9</c:v>
                </c:pt>
                <c:pt idx="6">
                  <c:v>99.9</c:v>
                </c:pt>
                <c:pt idx="7">
                  <c:v>99.9</c:v>
                </c:pt>
                <c:pt idx="8">
                  <c:v>99.9</c:v>
                </c:pt>
                <c:pt idx="9">
                  <c:v>99.9</c:v>
                </c:pt>
                <c:pt idx="10">
                  <c:v>99.8</c:v>
                </c:pt>
                <c:pt idx="11">
                  <c:v>99.8</c:v>
                </c:pt>
                <c:pt idx="12">
                  <c:v>99.8</c:v>
                </c:pt>
                <c:pt idx="13">
                  <c:v>99.8</c:v>
                </c:pt>
                <c:pt idx="14">
                  <c:v>99.8</c:v>
                </c:pt>
                <c:pt idx="15">
                  <c:v>99.8</c:v>
                </c:pt>
                <c:pt idx="16">
                  <c:v>99.9</c:v>
                </c:pt>
                <c:pt idx="17">
                  <c:v>100</c:v>
                </c:pt>
                <c:pt idx="18">
                  <c:v>100.1</c:v>
                </c:pt>
                <c:pt idx="19">
                  <c:v>100.1</c:v>
                </c:pt>
                <c:pt idx="20">
                  <c:v>100.1</c:v>
                </c:pt>
                <c:pt idx="21">
                  <c:v>100.1</c:v>
                </c:pt>
                <c:pt idx="22">
                  <c:v>99.9</c:v>
                </c:pt>
                <c:pt idx="23">
                  <c:v>99.9</c:v>
                </c:pt>
                <c:pt idx="24">
                  <c:v>99.9</c:v>
                </c:pt>
                <c:pt idx="25">
                  <c:v>99.8</c:v>
                </c:pt>
                <c:pt idx="26">
                  <c:v>99.8</c:v>
                </c:pt>
                <c:pt idx="27">
                  <c:v>99.8</c:v>
                </c:pt>
                <c:pt idx="28">
                  <c:v>99.8</c:v>
                </c:pt>
                <c:pt idx="29">
                  <c:v>99.9</c:v>
                </c:pt>
                <c:pt idx="30">
                  <c:v>99.9</c:v>
                </c:pt>
                <c:pt idx="31">
                  <c:v>99.9</c:v>
                </c:pt>
                <c:pt idx="32">
                  <c:v>99.9</c:v>
                </c:pt>
                <c:pt idx="33">
                  <c:v>100</c:v>
                </c:pt>
                <c:pt idx="34">
                  <c:v>100</c:v>
                </c:pt>
                <c:pt idx="35">
                  <c:v>99.9</c:v>
                </c:pt>
                <c:pt idx="36">
                  <c:v>100</c:v>
                </c:pt>
                <c:pt idx="37">
                  <c:v>100.1</c:v>
                </c:pt>
                <c:pt idx="38">
                  <c:v>100.2</c:v>
                </c:pt>
                <c:pt idx="39">
                  <c:v>100.2</c:v>
                </c:pt>
                <c:pt idx="40">
                  <c:v>100.2</c:v>
                </c:pt>
                <c:pt idx="41">
                  <c:v>100.2</c:v>
                </c:pt>
                <c:pt idx="42">
                  <c:v>100.1</c:v>
                </c:pt>
                <c:pt idx="43">
                  <c:v>100</c:v>
                </c:pt>
                <c:pt idx="44">
                  <c:v>100</c:v>
                </c:pt>
                <c:pt idx="45">
                  <c:v>100.1</c:v>
                </c:pt>
                <c:pt idx="46">
                  <c:v>100.1</c:v>
                </c:pt>
                <c:pt idx="47">
                  <c:v>100.3</c:v>
                </c:pt>
                <c:pt idx="48">
                  <c:v>100.3</c:v>
                </c:pt>
              </c:numCache>
            </c:numRef>
          </c:val>
          <c:smooth val="1"/>
          <c:extLst xmlns:c16r2="http://schemas.microsoft.com/office/drawing/2015/06/chart">
            <c:ext xmlns:c16="http://schemas.microsoft.com/office/drawing/2014/chart" uri="{C3380CC4-5D6E-409C-BE32-E72D297353CC}">
              <c16:uniqueId val="{00000001-6D64-4B60-9841-D125175B0F24}"/>
            </c:ext>
          </c:extLst>
        </c:ser>
        <c:ser>
          <c:idx val="0"/>
          <c:order val="2"/>
          <c:tx>
            <c:strRef>
              <c:f>Sheet1!$D$1</c:f>
              <c:strCache>
                <c:ptCount val="1"/>
                <c:pt idx="0">
                  <c:v>Cen skupu</c:v>
                </c:pt>
              </c:strCache>
            </c:strRef>
          </c:tx>
          <c:spPr>
            <a:ln w="19071">
              <a:solidFill>
                <a:srgbClr val="0000FF"/>
              </a:solidFill>
              <a:prstDash val="solid"/>
            </a:ln>
          </c:spPr>
          <c:marker>
            <c:symbol val="none"/>
          </c:marker>
          <c:cat>
            <c:strRef>
              <c:f>Sheet1!$A$2:$A$50</c:f>
              <c:strCache>
                <c:ptCount val="49"/>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pt idx="25">
                  <c:v>II 16</c:v>
                </c:pt>
                <c:pt idx="26">
                  <c:v>III 16</c:v>
                </c:pt>
                <c:pt idx="27">
                  <c:v>IV  16</c:v>
                </c:pt>
                <c:pt idx="28">
                  <c:v>V 16</c:v>
                </c:pt>
                <c:pt idx="29">
                  <c:v>VI 16</c:v>
                </c:pt>
                <c:pt idx="30">
                  <c:v>VII  16</c:v>
                </c:pt>
                <c:pt idx="31">
                  <c:v>VIII 16</c:v>
                </c:pt>
                <c:pt idx="32">
                  <c:v>IX 16</c:v>
                </c:pt>
                <c:pt idx="33">
                  <c:v>X  16</c:v>
                </c:pt>
                <c:pt idx="34">
                  <c:v>XI 16</c:v>
                </c:pt>
                <c:pt idx="35">
                  <c:v>XII 16</c:v>
                </c:pt>
                <c:pt idx="36">
                  <c:v>I  17</c:v>
                </c:pt>
                <c:pt idx="37">
                  <c:v>II 17</c:v>
                </c:pt>
                <c:pt idx="38">
                  <c:v>III 17</c:v>
                </c:pt>
                <c:pt idx="39">
                  <c:v>IV  17</c:v>
                </c:pt>
                <c:pt idx="40">
                  <c:v>V 17</c:v>
                </c:pt>
                <c:pt idx="41">
                  <c:v>VI 17</c:v>
                </c:pt>
                <c:pt idx="42">
                  <c:v>VII 17</c:v>
                </c:pt>
                <c:pt idx="43">
                  <c:v>VIII 17</c:v>
                </c:pt>
                <c:pt idx="44">
                  <c:v>IX 17</c:v>
                </c:pt>
                <c:pt idx="45">
                  <c:v>X 17</c:v>
                </c:pt>
                <c:pt idx="46">
                  <c:v>XI 17</c:v>
                </c:pt>
                <c:pt idx="47">
                  <c:v>XII 17</c:v>
                </c:pt>
                <c:pt idx="48">
                  <c:v>I 18</c:v>
                </c:pt>
              </c:strCache>
            </c:strRef>
          </c:cat>
          <c:val>
            <c:numRef>
              <c:f>Sheet1!$D$2:$D$50</c:f>
              <c:numCache>
                <c:formatCode>General</c:formatCode>
                <c:ptCount val="49"/>
                <c:pt idx="0">
                  <c:v>99.6</c:v>
                </c:pt>
                <c:pt idx="1">
                  <c:v>99.4</c:v>
                </c:pt>
                <c:pt idx="2">
                  <c:v>100.2</c:v>
                </c:pt>
                <c:pt idx="3">
                  <c:v>99.9</c:v>
                </c:pt>
                <c:pt idx="4">
                  <c:v>100.2</c:v>
                </c:pt>
                <c:pt idx="5">
                  <c:v>99.9</c:v>
                </c:pt>
                <c:pt idx="6">
                  <c:v>99.7</c:v>
                </c:pt>
                <c:pt idx="7">
                  <c:v>99.3</c:v>
                </c:pt>
                <c:pt idx="8">
                  <c:v>99.1</c:v>
                </c:pt>
                <c:pt idx="9">
                  <c:v>98.4</c:v>
                </c:pt>
                <c:pt idx="10">
                  <c:v>97.6</c:v>
                </c:pt>
                <c:pt idx="11">
                  <c:v>97.8</c:v>
                </c:pt>
                <c:pt idx="12">
                  <c:v>97.8</c:v>
                </c:pt>
                <c:pt idx="13">
                  <c:v>98.4</c:v>
                </c:pt>
                <c:pt idx="14">
                  <c:v>99</c:v>
                </c:pt>
                <c:pt idx="15">
                  <c:v>99.6</c:v>
                </c:pt>
                <c:pt idx="16">
                  <c:v>99.9</c:v>
                </c:pt>
                <c:pt idx="17">
                  <c:v>99.6</c:v>
                </c:pt>
                <c:pt idx="18">
                  <c:v>99.8</c:v>
                </c:pt>
                <c:pt idx="19">
                  <c:v>99.8</c:v>
                </c:pt>
                <c:pt idx="20">
                  <c:v>99.4</c:v>
                </c:pt>
                <c:pt idx="21">
                  <c:v>99.3</c:v>
                </c:pt>
                <c:pt idx="22">
                  <c:v>99.6</c:v>
                </c:pt>
                <c:pt idx="23">
                  <c:v>99.8</c:v>
                </c:pt>
                <c:pt idx="24">
                  <c:v>99.5</c:v>
                </c:pt>
                <c:pt idx="25">
                  <c:v>99.4</c:v>
                </c:pt>
                <c:pt idx="26">
                  <c:v>99.5</c:v>
                </c:pt>
                <c:pt idx="27">
                  <c:v>99.3</c:v>
                </c:pt>
                <c:pt idx="28">
                  <c:v>99.2</c:v>
                </c:pt>
                <c:pt idx="29">
                  <c:v>99.7</c:v>
                </c:pt>
                <c:pt idx="30">
                  <c:v>100.1</c:v>
                </c:pt>
                <c:pt idx="31">
                  <c:v>100.4</c:v>
                </c:pt>
                <c:pt idx="32">
                  <c:v>100.3</c:v>
                </c:pt>
                <c:pt idx="33">
                  <c:v>100.6</c:v>
                </c:pt>
                <c:pt idx="34">
                  <c:v>100.7</c:v>
                </c:pt>
                <c:pt idx="35">
                  <c:v>100.8</c:v>
                </c:pt>
                <c:pt idx="36">
                  <c:v>101.1</c:v>
                </c:pt>
                <c:pt idx="37">
                  <c:v>100.6</c:v>
                </c:pt>
                <c:pt idx="38">
                  <c:v>100.9</c:v>
                </c:pt>
                <c:pt idx="39">
                  <c:v>101.2</c:v>
                </c:pt>
                <c:pt idx="40">
                  <c:v>101.5</c:v>
                </c:pt>
                <c:pt idx="41">
                  <c:v>101.4</c:v>
                </c:pt>
                <c:pt idx="42">
                  <c:v>101</c:v>
                </c:pt>
                <c:pt idx="43">
                  <c:v>101.1</c:v>
                </c:pt>
                <c:pt idx="44">
                  <c:v>100.6</c:v>
                </c:pt>
                <c:pt idx="45">
                  <c:v>100.4</c:v>
                </c:pt>
                <c:pt idx="46">
                  <c:v>100</c:v>
                </c:pt>
                <c:pt idx="47">
                  <c:v>99.7</c:v>
                </c:pt>
                <c:pt idx="48">
                  <c:v>99.6</c:v>
                </c:pt>
              </c:numCache>
            </c:numRef>
          </c:val>
          <c:smooth val="1"/>
          <c:extLst xmlns:c16r2="http://schemas.microsoft.com/office/drawing/2015/06/chart">
            <c:ext xmlns:c16="http://schemas.microsoft.com/office/drawing/2014/chart" uri="{C3380CC4-5D6E-409C-BE32-E72D297353CC}">
              <c16:uniqueId val="{00000002-6D64-4B60-9841-D125175B0F24}"/>
            </c:ext>
          </c:extLst>
        </c:ser>
        <c:dLbls>
          <c:showLegendKey val="0"/>
          <c:showVal val="0"/>
          <c:showCatName val="0"/>
          <c:showSerName val="0"/>
          <c:showPercent val="0"/>
          <c:showBubbleSize val="0"/>
        </c:dLbls>
        <c:marker val="1"/>
        <c:smooth val="0"/>
        <c:axId val="213458944"/>
        <c:axId val="213460480"/>
      </c:lineChart>
      <c:catAx>
        <c:axId val="213458944"/>
        <c:scaling>
          <c:orientation val="minMax"/>
        </c:scaling>
        <c:delete val="0"/>
        <c:axPos val="b"/>
        <c:numFmt formatCode="General" sourceLinked="1"/>
        <c:majorTickMark val="out"/>
        <c:minorTickMark val="none"/>
        <c:tickLblPos val="nextTo"/>
        <c:spPr>
          <a:ln w="2384">
            <a:solidFill>
              <a:srgbClr val="000000"/>
            </a:solidFill>
            <a:prstDash val="solid"/>
          </a:ln>
        </c:spPr>
        <c:txPr>
          <a:bodyPr rot="0" vert="horz"/>
          <a:lstStyle/>
          <a:p>
            <a:pPr>
              <a:defRPr sz="601" b="1" i="0" u="none" strike="noStrike" baseline="0">
                <a:solidFill>
                  <a:srgbClr val="000000"/>
                </a:solidFill>
                <a:latin typeface="Arial"/>
                <a:ea typeface="Arial"/>
                <a:cs typeface="Arial"/>
              </a:defRPr>
            </a:pPr>
            <a:endParaRPr lang="pl-PL"/>
          </a:p>
        </c:txPr>
        <c:crossAx val="213460480"/>
        <c:crosses val="autoZero"/>
        <c:auto val="1"/>
        <c:lblAlgn val="ctr"/>
        <c:lblOffset val="100"/>
        <c:tickLblSkip val="3"/>
        <c:tickMarkSkip val="3"/>
        <c:noMultiLvlLbl val="0"/>
      </c:catAx>
      <c:valAx>
        <c:axId val="213460480"/>
        <c:scaling>
          <c:orientation val="minMax"/>
          <c:max val="102"/>
          <c:min val="97"/>
        </c:scaling>
        <c:delete val="0"/>
        <c:axPos val="l"/>
        <c:numFmt formatCode="General" sourceLinked="1"/>
        <c:majorTickMark val="out"/>
        <c:minorTickMark val="none"/>
        <c:tickLblPos val="nextTo"/>
        <c:spPr>
          <a:ln w="2384">
            <a:solidFill>
              <a:srgbClr val="000000"/>
            </a:solidFill>
            <a:prstDash val="solid"/>
          </a:ln>
        </c:spPr>
        <c:txPr>
          <a:bodyPr rot="0" vert="horz"/>
          <a:lstStyle/>
          <a:p>
            <a:pPr>
              <a:defRPr sz="601" b="1" i="0" u="none" strike="noStrike" baseline="0">
                <a:solidFill>
                  <a:srgbClr val="000000"/>
                </a:solidFill>
                <a:latin typeface="Arial"/>
                <a:ea typeface="Arial"/>
                <a:cs typeface="Arial"/>
              </a:defRPr>
            </a:pPr>
            <a:endParaRPr lang="pl-PL"/>
          </a:p>
        </c:txPr>
        <c:crossAx val="213458944"/>
        <c:crosses val="autoZero"/>
        <c:crossBetween val="between"/>
        <c:majorUnit val="1"/>
      </c:valAx>
      <c:spPr>
        <a:noFill/>
        <a:ln w="19071">
          <a:noFill/>
        </a:ln>
      </c:spPr>
    </c:plotArea>
    <c:legend>
      <c:legendPos val="b"/>
      <c:layout>
        <c:manualLayout>
          <c:xMode val="edge"/>
          <c:yMode val="edge"/>
          <c:x val="1.2461059190031152E-2"/>
          <c:y val="0.8928571428571429"/>
          <c:w val="0.9719626168224299"/>
          <c:h val="0.10714285714285714"/>
        </c:manualLayout>
      </c:layout>
      <c:overlay val="0"/>
      <c:spPr>
        <a:noFill/>
        <a:ln w="19071">
          <a:noFill/>
        </a:ln>
      </c:spPr>
      <c:txPr>
        <a:bodyPr/>
        <a:lstStyle/>
        <a:p>
          <a:pPr>
            <a:defRPr sz="552"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601" b="1" i="0" u="none" strike="noStrike" baseline="0">
          <a:solidFill>
            <a:srgbClr val="000000"/>
          </a:solidFill>
          <a:latin typeface="Arial"/>
          <a:ea typeface="Arial"/>
          <a:cs typeface="Arial"/>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167701863354033E-2"/>
          <c:y val="4.9327354260089683E-2"/>
          <c:w val="0.90993788819875776"/>
          <c:h val="0.65919282511210764"/>
        </c:manualLayout>
      </c:layout>
      <c:lineChart>
        <c:grouping val="standard"/>
        <c:varyColors val="0"/>
        <c:ser>
          <c:idx val="0"/>
          <c:order val="0"/>
          <c:tx>
            <c:strRef>
              <c:f>Sheet1!$B$1</c:f>
              <c:strCache>
                <c:ptCount val="1"/>
                <c:pt idx="0">
                  <c:v>Sto</c:v>
                </c:pt>
              </c:strCache>
            </c:strRef>
          </c:tx>
          <c:spPr>
            <a:ln w="19096">
              <a:solidFill>
                <a:srgbClr val="000000"/>
              </a:solidFill>
              <a:prstDash val="solid"/>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Sheet1!$B$2:$B$13</c:f>
              <c:numCache>
                <c:formatCode>General</c:formatCode>
                <c:ptCount val="12"/>
                <c:pt idx="0">
                  <c:v>100</c:v>
                </c:pt>
                <c:pt idx="1">
                  <c:v>100</c:v>
                </c:pt>
                <c:pt idx="2">
                  <c:v>100</c:v>
                </c:pt>
                <c:pt idx="3">
                  <c:v>100</c:v>
                </c:pt>
                <c:pt idx="4">
                  <c:v>100</c:v>
                </c:pt>
                <c:pt idx="5">
                  <c:v>100</c:v>
                </c:pt>
                <c:pt idx="6">
                  <c:v>100</c:v>
                </c:pt>
                <c:pt idx="7">
                  <c:v>100</c:v>
                </c:pt>
                <c:pt idx="8">
                  <c:v>100</c:v>
                </c:pt>
                <c:pt idx="9">
                  <c:v>100</c:v>
                </c:pt>
                <c:pt idx="10">
                  <c:v>100</c:v>
                </c:pt>
                <c:pt idx="11">
                  <c:v>100</c:v>
                </c:pt>
              </c:numCache>
            </c:numRef>
          </c:val>
          <c:smooth val="1"/>
          <c:extLst xmlns:c16r2="http://schemas.microsoft.com/office/drawing/2015/06/chart">
            <c:ext xmlns:c16="http://schemas.microsoft.com/office/drawing/2014/chart" uri="{C3380CC4-5D6E-409C-BE32-E72D297353CC}">
              <c16:uniqueId val="{00000000-9DF1-444F-8F5F-F60152BE4367}"/>
            </c:ext>
          </c:extLst>
        </c:ser>
        <c:ser>
          <c:idx val="1"/>
          <c:order val="1"/>
          <c:tx>
            <c:strRef>
              <c:f>Sheet1!$C$1</c:f>
              <c:strCache>
                <c:ptCount val="1"/>
                <c:pt idx="0">
                  <c:v>2014</c:v>
                </c:pt>
              </c:strCache>
            </c:strRef>
          </c:tx>
          <c:spPr>
            <a:ln w="19096">
              <a:solidFill>
                <a:srgbClr val="0000FF"/>
              </a:solidFill>
              <a:prstDash val="solid"/>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Sheet1!$C$2:$C$13</c:f>
              <c:numCache>
                <c:formatCode>General</c:formatCode>
                <c:ptCount val="12"/>
                <c:pt idx="0">
                  <c:v>99.3</c:v>
                </c:pt>
                <c:pt idx="1">
                  <c:v>98.14</c:v>
                </c:pt>
                <c:pt idx="2">
                  <c:v>98.82</c:v>
                </c:pt>
                <c:pt idx="3">
                  <c:v>99.57</c:v>
                </c:pt>
                <c:pt idx="4">
                  <c:v>97.81</c:v>
                </c:pt>
                <c:pt idx="5">
                  <c:v>98.47</c:v>
                </c:pt>
                <c:pt idx="6">
                  <c:v>95.4</c:v>
                </c:pt>
                <c:pt idx="7">
                  <c:v>93.43</c:v>
                </c:pt>
                <c:pt idx="8">
                  <c:v>90.46</c:v>
                </c:pt>
                <c:pt idx="9">
                  <c:v>86.85</c:v>
                </c:pt>
                <c:pt idx="10">
                  <c:v>86.43</c:v>
                </c:pt>
                <c:pt idx="11">
                  <c:v>87.12</c:v>
                </c:pt>
              </c:numCache>
            </c:numRef>
          </c:val>
          <c:smooth val="1"/>
          <c:extLst xmlns:c16r2="http://schemas.microsoft.com/office/drawing/2015/06/chart">
            <c:ext xmlns:c16="http://schemas.microsoft.com/office/drawing/2014/chart" uri="{C3380CC4-5D6E-409C-BE32-E72D297353CC}">
              <c16:uniqueId val="{00000001-9DF1-444F-8F5F-F60152BE4367}"/>
            </c:ext>
          </c:extLst>
        </c:ser>
        <c:ser>
          <c:idx val="2"/>
          <c:order val="2"/>
          <c:tx>
            <c:strRef>
              <c:f>Sheet1!$D$1</c:f>
              <c:strCache>
                <c:ptCount val="1"/>
                <c:pt idx="0">
                  <c:v>2015</c:v>
                </c:pt>
              </c:strCache>
            </c:strRef>
          </c:tx>
          <c:spPr>
            <a:ln w="19096">
              <a:solidFill>
                <a:srgbClr val="000000"/>
              </a:solidFill>
              <a:prstDash val="solid"/>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Sheet1!$D$2:$D$13</c:f>
              <c:numCache>
                <c:formatCode>General</c:formatCode>
                <c:ptCount val="12"/>
                <c:pt idx="0">
                  <c:v>100.71</c:v>
                </c:pt>
                <c:pt idx="1">
                  <c:v>102.04</c:v>
                </c:pt>
                <c:pt idx="2">
                  <c:v>102.29</c:v>
                </c:pt>
                <c:pt idx="3">
                  <c:v>99.26</c:v>
                </c:pt>
                <c:pt idx="4">
                  <c:v>96.69</c:v>
                </c:pt>
                <c:pt idx="5">
                  <c:v>98.28</c:v>
                </c:pt>
                <c:pt idx="6">
                  <c:v>98.92</c:v>
                </c:pt>
                <c:pt idx="7">
                  <c:v>97.59</c:v>
                </c:pt>
                <c:pt idx="8">
                  <c:v>97.55</c:v>
                </c:pt>
                <c:pt idx="9">
                  <c:v>97.06</c:v>
                </c:pt>
                <c:pt idx="10">
                  <c:v>95.94</c:v>
                </c:pt>
                <c:pt idx="11">
                  <c:v>95.92</c:v>
                </c:pt>
              </c:numCache>
            </c:numRef>
          </c:val>
          <c:smooth val="1"/>
          <c:extLst xmlns:c16r2="http://schemas.microsoft.com/office/drawing/2015/06/chart">
            <c:ext xmlns:c16="http://schemas.microsoft.com/office/drawing/2014/chart" uri="{C3380CC4-5D6E-409C-BE32-E72D297353CC}">
              <c16:uniqueId val="{00000002-9DF1-444F-8F5F-F60152BE4367}"/>
            </c:ext>
          </c:extLst>
        </c:ser>
        <c:ser>
          <c:idx val="4"/>
          <c:order val="3"/>
          <c:tx>
            <c:strRef>
              <c:f>Sheet1!$E$1</c:f>
              <c:strCache>
                <c:ptCount val="1"/>
                <c:pt idx="0">
                  <c:v>2016</c:v>
                </c:pt>
              </c:strCache>
            </c:strRef>
          </c:tx>
          <c:spPr>
            <a:ln w="19096">
              <a:solidFill>
                <a:srgbClr val="00FF00"/>
              </a:solidFill>
              <a:prstDash val="solid"/>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Sheet1!$E$2:$E$13</c:f>
              <c:numCache>
                <c:formatCode>General</c:formatCode>
                <c:ptCount val="12"/>
                <c:pt idx="0">
                  <c:v>100.37</c:v>
                </c:pt>
                <c:pt idx="1">
                  <c:v>100.15</c:v>
                </c:pt>
                <c:pt idx="2">
                  <c:v>98.96</c:v>
                </c:pt>
                <c:pt idx="3">
                  <c:v>97.46</c:v>
                </c:pt>
                <c:pt idx="4">
                  <c:v>99.09</c:v>
                </c:pt>
                <c:pt idx="5">
                  <c:v>101.16</c:v>
                </c:pt>
                <c:pt idx="6">
                  <c:v>102.99</c:v>
                </c:pt>
                <c:pt idx="7">
                  <c:v>102.29</c:v>
                </c:pt>
                <c:pt idx="8">
                  <c:v>103.12</c:v>
                </c:pt>
                <c:pt idx="9">
                  <c:v>101.67</c:v>
                </c:pt>
                <c:pt idx="10">
                  <c:v>104.14</c:v>
                </c:pt>
                <c:pt idx="11">
                  <c:v>107.46</c:v>
                </c:pt>
              </c:numCache>
            </c:numRef>
          </c:val>
          <c:smooth val="1"/>
          <c:extLst xmlns:c16r2="http://schemas.microsoft.com/office/drawing/2015/06/chart">
            <c:ext xmlns:c16="http://schemas.microsoft.com/office/drawing/2014/chart" uri="{C3380CC4-5D6E-409C-BE32-E72D297353CC}">
              <c16:uniqueId val="{00000003-9DF1-444F-8F5F-F60152BE4367}"/>
            </c:ext>
          </c:extLst>
        </c:ser>
        <c:ser>
          <c:idx val="3"/>
          <c:order val="4"/>
          <c:tx>
            <c:strRef>
              <c:f>Sheet1!$F$1</c:f>
              <c:strCache>
                <c:ptCount val="1"/>
                <c:pt idx="0">
                  <c:v>2017</c:v>
                </c:pt>
              </c:strCache>
            </c:strRef>
          </c:tx>
          <c:spPr>
            <a:ln w="19096">
              <a:solidFill>
                <a:srgbClr val="FF0000"/>
              </a:solidFill>
              <a:prstDash val="solid"/>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Sheet1!$F$2:$F$13</c:f>
              <c:numCache>
                <c:formatCode>General</c:formatCode>
                <c:ptCount val="12"/>
                <c:pt idx="0">
                  <c:v>98.5</c:v>
                </c:pt>
                <c:pt idx="1">
                  <c:v>99.4</c:v>
                </c:pt>
                <c:pt idx="2">
                  <c:v>101.4</c:v>
                </c:pt>
                <c:pt idx="3">
                  <c:v>102</c:v>
                </c:pt>
                <c:pt idx="4">
                  <c:v>103.8</c:v>
                </c:pt>
                <c:pt idx="5">
                  <c:v>105.9</c:v>
                </c:pt>
                <c:pt idx="6">
                  <c:v>105.1</c:v>
                </c:pt>
                <c:pt idx="7">
                  <c:v>103.1</c:v>
                </c:pt>
                <c:pt idx="8">
                  <c:v>103.5</c:v>
                </c:pt>
                <c:pt idx="9">
                  <c:v>101.3</c:v>
                </c:pt>
                <c:pt idx="10">
                  <c:v>100.4</c:v>
                </c:pt>
                <c:pt idx="11">
                  <c:v>101.3</c:v>
                </c:pt>
              </c:numCache>
            </c:numRef>
          </c:val>
          <c:smooth val="1"/>
          <c:extLst xmlns:c16r2="http://schemas.microsoft.com/office/drawing/2015/06/chart">
            <c:ext xmlns:c16="http://schemas.microsoft.com/office/drawing/2014/chart" uri="{C3380CC4-5D6E-409C-BE32-E72D297353CC}">
              <c16:uniqueId val="{00000004-9DF1-444F-8F5F-F60152BE4367}"/>
            </c:ext>
          </c:extLst>
        </c:ser>
        <c:dLbls>
          <c:showLegendKey val="0"/>
          <c:showVal val="0"/>
          <c:showCatName val="0"/>
          <c:showSerName val="0"/>
          <c:showPercent val="0"/>
          <c:showBubbleSize val="0"/>
        </c:dLbls>
        <c:marker val="1"/>
        <c:smooth val="0"/>
        <c:axId val="215587072"/>
        <c:axId val="215588864"/>
      </c:lineChart>
      <c:catAx>
        <c:axId val="215587072"/>
        <c:scaling>
          <c:orientation val="minMax"/>
        </c:scaling>
        <c:delete val="0"/>
        <c:axPos val="b"/>
        <c:numFmt formatCode="General" sourceLinked="1"/>
        <c:majorTickMark val="out"/>
        <c:minorTickMark val="none"/>
        <c:tickLblPos val="nextTo"/>
        <c:spPr>
          <a:ln w="2387">
            <a:solidFill>
              <a:srgbClr val="000000"/>
            </a:solidFill>
            <a:prstDash val="solid"/>
          </a:ln>
        </c:spPr>
        <c:txPr>
          <a:bodyPr rot="0" vert="horz"/>
          <a:lstStyle/>
          <a:p>
            <a:pPr>
              <a:defRPr sz="601" b="1" i="0" u="none" strike="noStrike" baseline="0">
                <a:solidFill>
                  <a:srgbClr val="000000"/>
                </a:solidFill>
                <a:latin typeface="Arial"/>
                <a:ea typeface="Arial"/>
                <a:cs typeface="Arial"/>
              </a:defRPr>
            </a:pPr>
            <a:endParaRPr lang="pl-PL"/>
          </a:p>
        </c:txPr>
        <c:crossAx val="215588864"/>
        <c:crosses val="autoZero"/>
        <c:auto val="1"/>
        <c:lblAlgn val="ctr"/>
        <c:lblOffset val="100"/>
        <c:tickLblSkip val="1"/>
        <c:tickMarkSkip val="1"/>
        <c:noMultiLvlLbl val="0"/>
      </c:catAx>
      <c:valAx>
        <c:axId val="215588864"/>
        <c:scaling>
          <c:orientation val="minMax"/>
          <c:max val="110"/>
          <c:min val="85"/>
        </c:scaling>
        <c:delete val="0"/>
        <c:axPos val="l"/>
        <c:numFmt formatCode="0" sourceLinked="0"/>
        <c:majorTickMark val="out"/>
        <c:minorTickMark val="none"/>
        <c:tickLblPos val="nextTo"/>
        <c:spPr>
          <a:ln w="2387">
            <a:solidFill>
              <a:srgbClr val="000000"/>
            </a:solidFill>
            <a:prstDash val="solid"/>
          </a:ln>
        </c:spPr>
        <c:txPr>
          <a:bodyPr rot="0" vert="horz"/>
          <a:lstStyle/>
          <a:p>
            <a:pPr>
              <a:defRPr sz="601" b="1" i="0" u="none" strike="noStrike" baseline="0">
                <a:solidFill>
                  <a:srgbClr val="000000"/>
                </a:solidFill>
                <a:latin typeface="Arial"/>
                <a:ea typeface="Arial"/>
                <a:cs typeface="Arial"/>
              </a:defRPr>
            </a:pPr>
            <a:endParaRPr lang="pl-PL"/>
          </a:p>
        </c:txPr>
        <c:crossAx val="215587072"/>
        <c:crosses val="autoZero"/>
        <c:crossBetween val="between"/>
        <c:majorUnit val="5"/>
        <c:minorUnit val="2.5"/>
      </c:valAx>
      <c:spPr>
        <a:noFill/>
        <a:ln w="19096">
          <a:noFill/>
        </a:ln>
      </c:spPr>
    </c:plotArea>
    <c:legend>
      <c:legendPos val="b"/>
      <c:overlay val="0"/>
      <c:spPr>
        <a:noFill/>
        <a:ln w="19096">
          <a:noFill/>
        </a:ln>
      </c:spPr>
      <c:txPr>
        <a:bodyPr/>
        <a:lstStyle/>
        <a:p>
          <a:pPr>
            <a:defRPr sz="553"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601" b="1" i="0" u="none" strike="noStrike" baseline="0">
          <a:solidFill>
            <a:srgbClr val="000000"/>
          </a:solidFill>
          <a:latin typeface="Arial"/>
          <a:ea typeface="Arial"/>
          <a:cs typeface="Arial"/>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5E14AA1-4AC3-4DCF-8288-72CFF560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4793</Words>
  <Characters>28760</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Adamski Marcin</dc:creator>
  <cp:lastModifiedBy>KZRRSP</cp:lastModifiedBy>
  <cp:revision>5</cp:revision>
  <cp:lastPrinted>2018-11-28T07:01:00Z</cp:lastPrinted>
  <dcterms:created xsi:type="dcterms:W3CDTF">2018-12-13T08:00:00Z</dcterms:created>
  <dcterms:modified xsi:type="dcterms:W3CDTF">2019-01-03T09:55:00Z</dcterms:modified>
</cp:coreProperties>
</file>